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2320" w:right="1080" w:hanging="1144"/>
        <w:spacing w:after="0" w:line="286" w:lineRule="auto"/>
        <w:tabs>
          <w:tab w:leader="none" w:pos="2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320" w:right="1080" w:hanging="1108"/>
        <w:spacing w:after="0" w:line="286" w:lineRule="auto"/>
        <w:tabs>
          <w:tab w:leader="none" w:pos="2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1-32630</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8"/>
              </w:rPr>
              <w:t>Delaware</w:t>
            </w:r>
          </w:p>
        </w:tc>
        <w:tc>
          <w:tcPr>
            <w:tcW w:w="36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8"/>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color w:val="auto"/>
                <w:w w:val="99"/>
              </w:rPr>
              <w:t>601 Riverside Avenue, Jacksonville, Florida</w:t>
            </w:r>
          </w:p>
        </w:tc>
        <w:tc>
          <w:tcPr>
            <w:tcW w:w="362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r>
        <w:trPr>
          <w:trHeight w:val="256"/>
        </w:trPr>
        <w:tc>
          <w:tcPr>
            <w:tcW w:w="780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(904) 854-8100</w:t>
            </w:r>
          </w:p>
        </w:tc>
        <w:tc>
          <w:tcPr>
            <w:tcW w:w="3620" w:type="dxa"/>
            <w:vAlign w:val="bottom"/>
          </w:tcPr>
          <w:p>
            <w:pPr>
              <w:spacing w:after="0"/>
              <w:rPr>
                <w:sz w:val="22"/>
                <w:szCs w:val="22"/>
                <w:color w:val="auto"/>
              </w:rPr>
            </w:pPr>
          </w:p>
        </w:tc>
      </w:tr>
      <w:tr>
        <w:trPr>
          <w:trHeight w:val="130"/>
        </w:trPr>
        <w:tc>
          <w:tcPr>
            <w:tcW w:w="780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4"/>
        </w:trPr>
        <w:tc>
          <w:tcPr>
            <w:tcW w:w="78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620" w:type="dxa"/>
            <w:vAlign w:val="bottom"/>
          </w:tcPr>
          <w:p>
            <w:pPr>
              <w:spacing w:after="0"/>
              <w:rPr>
                <w:sz w:val="20"/>
                <w:szCs w:val="20"/>
                <w:color w:val="auto"/>
              </w:rPr>
            </w:pPr>
          </w:p>
        </w:tc>
      </w:tr>
    </w:tbl>
    <w:p>
      <w:pPr>
        <w:spacing w:after="0" w:line="90"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8"/>
          <w:szCs w:val="18"/>
          <w:color w:val="auto"/>
        </w:rPr>
        <w:t>Smaller reporting company o</w:t>
      </w:r>
    </w:p>
    <w:p>
      <w:pPr>
        <w:spacing w:after="0" w:line="92" w:lineRule="exact"/>
        <w:rPr>
          <w:sz w:val="24"/>
          <w:szCs w:val="24"/>
          <w:color w:val="auto"/>
        </w:rPr>
      </w:pPr>
    </w:p>
    <w:p>
      <w:pPr>
        <w:jc w:val="center"/>
        <w:ind w:left="2080"/>
        <w:spacing w:after="0"/>
        <w:rPr>
          <w:sz w:val="20"/>
          <w:szCs w:val="20"/>
          <w:color w:val="auto"/>
        </w:rPr>
      </w:pPr>
      <w:r>
        <w:rPr>
          <w:rFonts w:ascii="Times New Roman" w:cs="Times New Roman" w:eastAsia="Times New Roman" w:hAnsi="Times New Roman"/>
          <w:sz w:val="18"/>
          <w:szCs w:val="18"/>
          <w:color w:val="auto"/>
        </w:rPr>
        <w:t>(Do not check if a smaller</w:t>
      </w:r>
    </w:p>
    <w:p>
      <w:pPr>
        <w:spacing w:after="0" w:line="27" w:lineRule="exact"/>
        <w:rPr>
          <w:sz w:val="24"/>
          <w:szCs w:val="24"/>
          <w:color w:val="auto"/>
        </w:rPr>
      </w:pPr>
    </w:p>
    <w:p>
      <w:pPr>
        <w:jc w:val="center"/>
        <w:ind w:left="208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220"/>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p>
      <w:pPr>
        <w:spacing w:after="0" w:line="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April 30, 2015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FNF Group Common Stock</w:t>
            </w:r>
          </w:p>
        </w:tc>
        <w:tc>
          <w:tcPr>
            <w:tcW w:w="9260" w:type="dxa"/>
            <w:vAlign w:val="bottom"/>
          </w:tcPr>
          <w:p>
            <w:pPr>
              <w:jc w:val="right"/>
              <w:ind w:right="8230"/>
              <w:spacing w:after="0"/>
              <w:rPr>
                <w:sz w:val="20"/>
                <w:szCs w:val="20"/>
                <w:color w:val="auto"/>
              </w:rPr>
            </w:pPr>
            <w:r>
              <w:rPr>
                <w:rFonts w:ascii="Times New Roman" w:cs="Times New Roman" w:eastAsia="Times New Roman" w:hAnsi="Times New Roman"/>
                <w:sz w:val="18"/>
                <w:szCs w:val="18"/>
                <w:color w:val="auto"/>
              </w:rPr>
              <w:t>280,452,717</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FNFV Group Common Stock</w:t>
            </w:r>
          </w:p>
        </w:tc>
        <w:tc>
          <w:tcPr>
            <w:tcW w:w="9260" w:type="dxa"/>
            <w:vAlign w:val="bottom"/>
          </w:tcPr>
          <w:p>
            <w:pPr>
              <w:jc w:val="right"/>
              <w:ind w:right="8150"/>
              <w:spacing w:after="0"/>
              <w:rPr>
                <w:sz w:val="20"/>
                <w:szCs w:val="20"/>
                <w:color w:val="auto"/>
              </w:rPr>
            </w:pPr>
            <w:r>
              <w:rPr>
                <w:rFonts w:ascii="Times New Roman" w:cs="Times New Roman" w:eastAsia="Times New Roman" w:hAnsi="Times New Roman"/>
                <w:sz w:val="18"/>
                <w:szCs w:val="18"/>
                <w:color w:val="auto"/>
              </w:rPr>
              <w:t>80,021,787</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 Ended March 31, 2015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274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w w:val="98"/>
              </w:rPr>
            </w:pPr>
            <w:hyperlink w:anchor="page2">
              <w:r>
                <w:rPr>
                  <w:rFonts w:ascii="Times New Roman" w:cs="Times New Roman" w:eastAsia="Times New Roman" w:hAnsi="Times New Roman"/>
                  <w:sz w:val="18"/>
                  <w:szCs w:val="18"/>
                  <w:color w:val="0000FF"/>
                  <w:w w:val="98"/>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March 31, 2015 and December 31, 2014</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2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B. Condensed Consolidated Statements of Operations for the three-month periods ended March 31, 2015 and 2014</w:t>
              </w:r>
            </w:hyperlink>
          </w:p>
        </w:tc>
        <w:tc>
          <w:tcPr>
            <w:tcW w:w="146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 Condensed Consolidated Statements of Comprehensive Earnings for the three-month periods ended March 31, 2015 and 2014</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 Condensed Consolidated Statement of Equity for the three-month period ended March 31, 2015</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E. Condensed Consolidated Statements of Cash Flows for the three-month periods ended March 31, 2015 and 2014</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F. Notes to Condensed Consolidated Financial Statements</w:t>
              </w:r>
            </w:hyperlink>
          </w:p>
        </w:tc>
        <w:tc>
          <w:tcPr>
            <w:tcW w:w="5560" w:type="dxa"/>
            <w:vAlign w:val="bottom"/>
            <w:gridSpan w:val="9"/>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10">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9"/>
          </w:tcPr>
          <w:p>
            <w:pPr>
              <w:spacing w:after="0"/>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39">
              <w:r>
                <w:rPr>
                  <w:rFonts w:ascii="Times New Roman" w:cs="Times New Roman" w:eastAsia="Times New Roman" w:hAnsi="Times New Roman"/>
                  <w:sz w:val="18"/>
                  <w:szCs w:val="18"/>
                  <w:color w:val="0000FF"/>
                  <w:w w:val="97"/>
                </w:rPr>
                <w:t>Item 4.</w:t>
              </w:r>
            </w:hyperlink>
          </w:p>
        </w:tc>
        <w:tc>
          <w:tcPr>
            <w:tcW w:w="4320" w:type="dxa"/>
            <w:vAlign w:val="bottom"/>
            <w:gridSpan w:val="8"/>
          </w:tcPr>
          <w:p>
            <w:pPr>
              <w:ind w:lef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Times New Roman" w:cs="Times New Roman" w:eastAsia="Times New Roman" w:hAnsi="Times New Roman"/>
                <w:sz w:val="18"/>
                <w:szCs w:val="18"/>
                <w:color w:val="0000FF"/>
                <w:w w:val="97"/>
              </w:rPr>
            </w:pPr>
            <w:hyperlink w:anchor="page39">
              <w:r>
                <w:rPr>
                  <w:rFonts w:ascii="Times New Roman" w:cs="Times New Roman" w:eastAsia="Times New Roman" w:hAnsi="Times New Roman"/>
                  <w:sz w:val="18"/>
                  <w:szCs w:val="18"/>
                  <w:color w:val="0000FF"/>
                  <w:w w:val="97"/>
                </w:rPr>
                <w:t>Item 1.</w:t>
              </w:r>
            </w:hyperlink>
          </w:p>
        </w:tc>
        <w:tc>
          <w:tcPr>
            <w:tcW w:w="1360" w:type="dxa"/>
            <w:vAlign w:val="bottom"/>
            <w:tcBorders>
              <w:top w:val="single" w:sz="8" w:color="0000FF"/>
            </w:tcBorders>
            <w:gridSpan w:val="2"/>
          </w:tcPr>
          <w:p>
            <w:pPr>
              <w:ind w:left="20"/>
              <w:spacing w:after="0"/>
              <w:rPr>
                <w:rFonts w:ascii="Times New Roman" w:cs="Times New Roman" w:eastAsia="Times New Roman" w:hAnsi="Times New Roman"/>
                <w:sz w:val="18"/>
                <w:szCs w:val="18"/>
                <w:color w:val="0000FF"/>
                <w:w w:val="98"/>
              </w:rPr>
            </w:pPr>
            <w:hyperlink w:anchor="page39">
              <w:r>
                <w:rPr>
                  <w:rFonts w:ascii="Times New Roman" w:cs="Times New Roman" w:eastAsia="Times New Roman" w:hAnsi="Times New Roman"/>
                  <w:sz w:val="18"/>
                  <w:szCs w:val="18"/>
                  <w:color w:val="0000FF"/>
                  <w:w w:val="9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39">
              <w:r>
                <w:rPr>
                  <w:rFonts w:ascii="Times New Roman" w:cs="Times New Roman" w:eastAsia="Times New Roman" w:hAnsi="Times New Roman"/>
                  <w:sz w:val="18"/>
                  <w:szCs w:val="18"/>
                  <w:color w:val="0000FF"/>
                  <w:w w:val="97"/>
                </w:rPr>
                <w:t>Item 2.</w:t>
              </w:r>
            </w:hyperlink>
          </w:p>
        </w:tc>
        <w:tc>
          <w:tcPr>
            <w:tcW w:w="4380" w:type="dxa"/>
            <w:vAlign w:val="bottom"/>
            <w:gridSpan w:val="9"/>
          </w:tcPr>
          <w:p>
            <w:pPr>
              <w:ind w:left="20"/>
              <w:spacing w:after="0"/>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40">
              <w:r>
                <w:rPr>
                  <w:rFonts w:ascii="Times New Roman" w:cs="Times New Roman" w:eastAsia="Times New Roman" w:hAnsi="Times New Roman"/>
                  <w:sz w:val="18"/>
                  <w:szCs w:val="18"/>
                  <w:color w:val="0000FF"/>
                  <w:w w:val="97"/>
                </w:rPr>
                <w:t>Item 6.</w:t>
              </w:r>
            </w:hyperlink>
          </w:p>
        </w:tc>
        <w:tc>
          <w:tcPr>
            <w:tcW w:w="4380" w:type="dxa"/>
            <w:vAlign w:val="bottom"/>
            <w:gridSpan w:val="9"/>
          </w:tcPr>
          <w:p>
            <w:pPr>
              <w:ind w:lef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0">
              <w:r>
                <w:rPr>
                  <w:rFonts w:ascii="Times New Roman" w:cs="Times New Roman" w:eastAsia="Times New Roman" w:hAnsi="Times New Roman"/>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Times New Roman" w:cs="Times New Roman" w:eastAsia="Times New Roman" w:hAnsi="Times New Roman"/>
                <w:sz w:val="18"/>
                <w:szCs w:val="18"/>
                <w:b w:val="1"/>
                <w:bCs w:val="1"/>
                <w:color w:val="0000EE"/>
              </w:rPr>
            </w:pPr>
            <w:hyperlink w:anchor="page1">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4"/>
                <w:szCs w:val="14"/>
                <w:color w:val="auto"/>
              </w:rPr>
              <w:t>(Dollars in millions, except share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maturity securities available for sale, at fair value, at March 31, 2015 and December 31, 2014 includes pledged fixed maturity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securities of $355 and $499, respectively, related to secured trust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Preferred stock available for sale, at fair value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 available for sale,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4,669</w:t>
            </w:r>
          </w:p>
        </w:tc>
        <w:tc>
          <w:tcPr>
            <w:tcW w:w="0" w:type="dxa"/>
            <w:vAlign w:val="bottom"/>
          </w:tcPr>
          <w:p>
            <w:pPr>
              <w:spacing w:after="0"/>
              <w:rPr>
                <w:sz w:val="1"/>
                <w:szCs w:val="1"/>
                <w:color w:val="auto"/>
              </w:rPr>
            </w:pPr>
          </w:p>
        </w:tc>
      </w:tr>
      <w:tr>
        <w:trPr>
          <w:trHeight w:val="216"/>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March 31, 2015 and December 31, 2014 includes $265 and $136, respectively, of pledged cash related to</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 of $31 and $32, at March 31, 2015 and December 31, 2014,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Title plants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13,868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7,080</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 by 33% minority holder of Black Knight Financial Services, LLC and 35% minority holder of</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ServiceLink Holdings, LLC</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FNF Group common stock, $0.0001 par value; authorized 487,000,000 shares as of March 31, 2015 and December 31, 2014; issued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280,334,456 and 279,443,239 as of March 31, 2015 and December 31, 2014,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FNFV Group common stock, $0.0001 par value; authorized 113,000,000 shares as of March 31, 2015 and December 31, 2014; issued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80,071,787 and 92,828,470 as of March 31, 2015 and December 31, 2014, respectively</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 earnings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treasury stock, 917,087 shares as of March 31, 2015 and 493,737 shares as of December 31, 2014, at cost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5,850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5,994</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13,868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482"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482"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millions)</w:t>
      </w:r>
    </w:p>
    <w:p>
      <w:pPr>
        <w:spacing w:after="0" w:line="169"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Escrow, title related and other fees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9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before income taxes and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before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earnings (loss)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(loss)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09"/>
        </w:trPr>
        <w:tc>
          <w:tcPr>
            <w:tcW w:w="9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Amounts attributable to Fidelity National Financial, Inc. common shareholders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Old FNF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FNFV Group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378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42"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 from continuing operations attributable to Old FNF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Old FNF common shareholders</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 from continuing operations attributable to Old FNF common shareholders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Old FNF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FNFV Group common shareholders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97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basic basis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diluted basis</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 per share Old FNF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176"/>
        </w:trPr>
        <w:tc>
          <w:tcPr>
            <w:tcW w:w="97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basic basis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dividends paid per share FNF Group common stock</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9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basic basis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diluted basis</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78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382"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spacing w:after="0" w:line="6"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on investments and other financial instruments, net (excluding investments in unconsolidated affiliates) (1)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on investments in unconsolidated affiliates (2)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on foreign currency translation (3)</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earnings (loss) attributable to non-controlling interests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 (loss) attributable to Fidelity National Financial, Inc.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Old FNF common shareholders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FNF Group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FNFV Group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$5 million and $5 million for the three-month periods ended March 31, 2015 and 2014, respectively.</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$8 million and $4 million for the three-month periods ended March 31, 2015 and 2014, respectively.</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 million and $2 million for the three-month periods ended March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13"/>
          </w:tcPr>
          <w:p>
            <w:pPr>
              <w:ind w:left="360"/>
              <w:spacing w:after="0"/>
              <w:rPr>
                <w:sz w:val="20"/>
                <w:szCs w:val="20"/>
                <w:color w:val="auto"/>
              </w:rPr>
            </w:pPr>
            <w:r>
              <w:rPr>
                <w:rFonts w:ascii="Times New Roman" w:cs="Times New Roman" w:eastAsia="Times New Roman" w:hAnsi="Times New Roman"/>
                <w:sz w:val="14"/>
                <w:szCs w:val="14"/>
                <w:b w:val="1"/>
                <w:bCs w:val="1"/>
                <w:color w:val="auto"/>
              </w:rPr>
              <w:t>Fidelity National Financial, Inc. Common Shareholders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FNF</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FNFV</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23"/>
                <w:szCs w:val="2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23"/>
                <w:szCs w:val="2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3"/>
                <w:szCs w:val="2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23"/>
                <w:szCs w:val="23"/>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3"/>
                <w:szCs w:val="23"/>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50"/>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Balance, December 31, 2014</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27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Treasury stock repurchased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30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Tax benefit associated with the</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 comprehensive earnings —</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financial instruments</w:t>
            </w:r>
          </w:p>
        </w:tc>
        <w:tc>
          <w:tcPr>
            <w:tcW w:w="6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Other comprehensive earnings —</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loss on investments in</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660" w:type="dxa"/>
            <w:vAlign w:val="bottom"/>
            <w:gridSpan w:val="2"/>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 comprehensive earnings —</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unrealized loss on foreign currency</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translation</w:t>
            </w:r>
          </w:p>
        </w:tc>
        <w:tc>
          <w:tcPr>
            <w:tcW w:w="6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6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Retirement of treasury shares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Purchase of additional share in non-</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controlling interests</w:t>
            </w:r>
          </w:p>
        </w:tc>
        <w:tc>
          <w:tcPr>
            <w:tcW w:w="6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30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Acquisition of non-controlling</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interests</w:t>
            </w:r>
          </w:p>
        </w:tc>
        <w:tc>
          <w:tcPr>
            <w:tcW w:w="660" w:type="dxa"/>
            <w:vAlign w:val="bottom"/>
            <w:gridSpan w:val="2"/>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Contributions to non-controlling</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interests</w:t>
            </w:r>
          </w:p>
        </w:tc>
        <w:tc>
          <w:tcPr>
            <w:tcW w:w="6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 of non-controlling interest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Subsidiary dividends declared to</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Balance, March 31, 2015</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4,691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9"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8"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earnings (loss)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earnings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Gain on sales of investments and other assets, net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Gain on sale of Cascade Timberlands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decrease in pledged cash, pledged investments, and secured trust deposits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trade receivables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accounts payable, accrued liabilities, deferred revenue and other</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 reserve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94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calls and maturities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sales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to property and equipment and capitalized software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proceeds from (purchases of) short-term investment securities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purchases of 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(Contributions to) distributions from 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other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Acquisition of Lender Processing Services, Inc.,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 of USA Industries,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Acquisition of BPG Holdings, LLC,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 of Cascades Timberlands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acquisitions/disposals of businesses,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service payments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investment in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35% of Black Knight Financial Services, LLC and ServiceLink, LLC to minority interest holder</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Subsidiary dividends paid to non-controlling interest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1,574</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 excluding pledged cash related to secured trust deposits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beginning of period</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1,630</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paid</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17" w:right="239" w:bottom="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7" w:right="239"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364"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for the year ended December 31, 2014.</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in the 2014 Condensed Consolidated Financial Statements to conform to classifications used in 2015. In addition, we have corrected a prior period error in the Statement of Cash Flows. The correction was between cash flows from operating activities and cash flows from investing activities for the three months ended March 31, 2014 and resulted in an increase in cash used in operating activities of $81 million and a decrease in cash used in investing activities of $81 million. There was no impact on our other Condensed Consolidated Financial Statements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2015, we had the following reporting segments: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Core Operations</w:t>
      </w:r>
    </w:p>
    <w:p>
      <w:pPr>
        <w:spacing w:after="0" w:line="169" w:lineRule="exact"/>
        <w:rPr>
          <w:sz w:val="20"/>
          <w:szCs w:val="20"/>
          <w:color w:val="auto"/>
        </w:rPr>
      </w:pPr>
    </w:p>
    <w:p>
      <w:pPr>
        <w:jc w:val="both"/>
        <w:ind w:left="660" w:hanging="409"/>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("LPS"), now combined with our ServiceLink business. Transaction services include other title related services used in production and management of mortgage loans, including mortgage loans that go into default.</w:t>
      </w:r>
    </w:p>
    <w:p>
      <w:pPr>
        <w:spacing w:after="0" w:line="125" w:lineRule="exact"/>
        <w:rPr>
          <w:rFonts w:ascii="Times New Roman" w:cs="Times New Roman" w:eastAsia="Times New Roman" w:hAnsi="Times New Roman"/>
          <w:sz w:val="18"/>
          <w:szCs w:val="18"/>
          <w:color w:val="auto"/>
        </w:rPr>
      </w:pPr>
    </w:p>
    <w:p>
      <w:pPr>
        <w:ind w:left="660" w:hanging="409"/>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BKFS. </w:t>
      </w:r>
      <w:r>
        <w:rPr>
          <w:rFonts w:ascii="Times New Roman" w:cs="Times New Roman" w:eastAsia="Times New Roman" w:hAnsi="Times New Roman"/>
          <w:sz w:val="18"/>
          <w:szCs w:val="18"/>
          <w:color w:val="auto"/>
        </w:rPr>
        <w:t>This segment consists of the operations of BKFS. This segment provides core technology and data and analytics services through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systems and information solutions that facilitate and automate many of the business processes across the life cycle of a mortgage.</w:t>
      </w:r>
    </w:p>
    <w:p>
      <w:pPr>
        <w:spacing w:after="0" w:line="104" w:lineRule="exact"/>
        <w:rPr>
          <w:rFonts w:ascii="Times New Roman" w:cs="Times New Roman" w:eastAsia="Times New Roman" w:hAnsi="Times New Roman"/>
          <w:sz w:val="18"/>
          <w:szCs w:val="18"/>
          <w:color w:val="auto"/>
        </w:rPr>
      </w:pPr>
    </w:p>
    <w:p>
      <w:pPr>
        <w:ind w:left="660" w:hanging="409"/>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FNF Core Corporate and Other. </w:t>
      </w:r>
      <w:r>
        <w:rPr>
          <w:rFonts w:ascii="Times New Roman" w:cs="Times New Roman" w:eastAsia="Times New Roman" w:hAnsi="Times New Roman"/>
          <w:sz w:val="18"/>
          <w:szCs w:val="18"/>
          <w:color w:val="auto"/>
        </w:rPr>
        <w:t>This segment consists of the operations of the parent holding company, certain other unallocated corporate overhead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smaller real estate and insurance related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FNFV</w:t>
      </w:r>
    </w:p>
    <w:p>
      <w:pPr>
        <w:spacing w:after="0" w:line="169" w:lineRule="exact"/>
        <w:rPr>
          <w:sz w:val="20"/>
          <w:szCs w:val="20"/>
          <w:color w:val="auto"/>
        </w:rPr>
      </w:pPr>
    </w:p>
    <w:p>
      <w:pPr>
        <w:jc w:val="both"/>
        <w:ind w:left="660" w:hanging="409"/>
        <w:spacing w:after="0" w:line="261"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ABRH, in which we have a 55% ownership interest. ABRH and its affiliates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pacing w:after="0" w:line="126" w:lineRule="exact"/>
        <w:rPr>
          <w:rFonts w:ascii="Times New Roman" w:cs="Times New Roman" w:eastAsia="Times New Roman" w:hAnsi="Times New Roman"/>
          <w:sz w:val="18"/>
          <w:szCs w:val="18"/>
          <w:i w:val="1"/>
          <w:iCs w:val="1"/>
          <w:color w:val="auto"/>
        </w:rPr>
      </w:pPr>
    </w:p>
    <w:p>
      <w:pPr>
        <w:ind w:left="660" w:right="20" w:hanging="409"/>
        <w:spacing w:after="0" w:line="284"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FNFV Corporate and Other. </w:t>
      </w:r>
      <w:r>
        <w:rPr>
          <w:rFonts w:ascii="Times New Roman" w:cs="Times New Roman" w:eastAsia="Times New Roman" w:hAnsi="Times New Roman"/>
          <w:sz w:val="18"/>
          <w:szCs w:val="18"/>
          <w:color w:val="auto"/>
        </w:rPr>
        <w:t>This segment primarily consists of our share in the operations of certain equity investments, including Ceridian,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Digital Insurance in which we own 96% and other smaller operations which are not title related.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April 23, 2015, BKFS provided notice to the holders of their senior notes ("Black Knight Senior Notes") their intention to redeem approximately $205 million in aggregate principal of the outstanding Black Knight Senior Notes at a price of 105.750%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“Redemption”) on May 29, 2015 (the “Redemption Date”), plus any accrued and unpaid interest redeemed to, but not including, the Redemption Date. BKFS will incur a charge on the Redemption of $12 million and will also reduce the bond premium by $7 million for the portion of the premium that relates to the redeemed Black Knight Senior Notes, resulting in a net charge on the Redemption of $5 million. Following the Redemption, $390 million in aggregate principal of BKFS Senior Notes will remain outstanding. The Redemption is revocable by BKFS, and is subject to the successful completion of their planned initial public offering of Black Knight Financial Services, Inc.</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16, 2015, we closed the sale of Cascade Timberlands, LLC, ("Cascade") which grows and sells timber and in which we owned a 70.2% interest, for $85 million less a replanting allowance of $1 million and an indemnity holdback of $1 million. The effect of the sale on net earnings was approximately $12 million. The revenue from the sale was recorded in Escrow, title related and other fees and the cost of the land sold was in Other operating expenses in the Condensed Consolidated Statement of Operations in the three months ended March 31, 2015. There was no effect on net earnings attributable to FNFV Group common shareholders due to offsetting amounts attributable to noncontrolling interests.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23, 2014, we filed a registration statement with the Securities and Exchange Commission (“SEC”) relating to a proposed initial public offering of Black Knight Financial Services, Inc. ("BKFSI") common stock. BKFSI is currently presented as the BKFS segment. On May 4, 2015, we filed amendment number 4 to the initial registration statement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and financial position of the entities acquired during any year are included in the Condensed Consolidated Financial Statements from and after the date of acquisition.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12, 2015, we closed the purchase of BPG Holdings, LLC ("BPG"), pursuant to a certain Membership Interest Purchase Agreement, for $46 million. We have consolidated the results of BPG as of March 31, 2015. BPG is a recognized leader in home warranty, home inspection services and commercial inspections.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2014, we completed the distribution (the "Spin-off") of all of the outstanding shares of common stock of New Remy Corp. ("New Remy") to FNFV shareholders. We continue to hold $29 million in Remy bonds, which are included in Fixed maturities available for sale on the Condensed Consolidated Balance Sheet. Prior to the Spin-off these investments were eliminated in consolidation.</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Spin-off discussed above, the results from Remy are reflected in the Condensed Consolidated Statements of Earnings as discontinued operations for the three months ended March 31, 2014. Total revenue included in discontinued operations was $302 million for the three months ended March 31, 2014. Pre-tax earnings included in discontinued operations were $10 million for the three months ended March 31, 2014.</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operations of Remy to the Statement of Operations is shown below:</w:t>
      </w:r>
    </w:p>
    <w:p>
      <w:pPr>
        <w:spacing w:after="0" w:line="34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5"/>
        </w:trPr>
        <w:tc>
          <w:tcPr>
            <w:tcW w:w="8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5"/>
        </w:trPr>
        <w:tc>
          <w:tcPr>
            <w:tcW w:w="8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parts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29"/>
        </w:trPr>
        <w:tc>
          <w:tcPr>
            <w:tcW w:w="8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tcPr>
          <w:p>
            <w:pPr>
              <w:spacing w:after="0"/>
              <w:rPr>
                <w:sz w:val="21"/>
                <w:szCs w:val="21"/>
                <w:color w:val="auto"/>
              </w:rPr>
            </w:pPr>
          </w:p>
        </w:tc>
        <w:tc>
          <w:tcPr>
            <w:tcW w:w="2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auto parts revenues</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Pr>
          <w:p>
            <w:pPr>
              <w:spacing w:after="0"/>
              <w:rPr>
                <w:sz w:val="21"/>
                <w:szCs w:val="21"/>
                <w:color w:val="auto"/>
              </w:rPr>
            </w:pPr>
          </w:p>
        </w:tc>
        <w:tc>
          <w:tcPr>
            <w:tcW w:w="2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before income taxes</w:t>
            </w:r>
          </w:p>
        </w:tc>
        <w:tc>
          <w:tcPr>
            <w:tcW w:w="120" w:type="dxa"/>
            <w:vAlign w:val="bottom"/>
          </w:tcPr>
          <w:p>
            <w:pPr>
              <w:spacing w:after="0"/>
              <w:rPr>
                <w:sz w:val="21"/>
                <w:szCs w:val="21"/>
                <w:color w:val="auto"/>
              </w:rPr>
            </w:pPr>
          </w:p>
        </w:tc>
        <w:tc>
          <w:tcPr>
            <w:tcW w:w="2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1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8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earnings from discontinued operations attributable to Fidelity National Financial, Inc.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discontinued operations data:</w:t>
            </w: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3 million antidilutive options during the three month period ended March 31, 2015. As we recorded a net loss during the three months ended March 31, 2014, there were no antidilutive options.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Condensed Consolidated Statements of Earnings for the three month period ended March 31, 2014 includes shares of Old FNF common stock. The weighted average shares outstanding presented on the Condensed Consolidated Statements of Earnings for the three month period ended March 31, 2015 includes shares of FNF Group common stock and FNFV Group common stock. Earnings per share for all periods presented is attributed to the related class of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February 2015, the Financial Accounting Standards Board ("FASB") issued Accounting Standards Update ("ASU") No. 2015-02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(Topic 810). This ASU changes the way reporting enterprises evaluate whether (a) they should consolidate limited partnerships and similar entities, (b) fees paid to a decision maker or service provider are variable interests in a variable</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or that operate under requirements similar to those in Rule 2a-7 from the U.S.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prior periods. We are evaluating the effect this new guidance will have on our consolidated financial statements and related disclosures and have not yet determined the effect of the standard on our ongoing financial reporting. This update is effective for annual and interim periods beginning on or after December 15, 2015, with early application permitted.</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April 2015, FASB issued ASU No. 2015-03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(Subtopic 835-30). The ASU was issued as part of FASB's current plan to simplify overly complex standards. To simplify presentation of debt issuance costs,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this ASU. The update requires retrospective application to all prior period amounts presented. This update is effective for annual and interim periods beginning on or after December 15, 2015, with early application permitted for financial statements that have not been issued. We do not expect the new guidance to have a significant effect on our consolidated financial statements and related disclosures, although we have not yet determined the full effect of the standard on our ongoing financial reporting.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those assets and liabilities measured at fair value on a recurring basis as of March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50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6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57"/>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261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77" w:lineRule="exact"/>
        <w:rPr>
          <w:sz w:val="20"/>
          <w:szCs w:val="20"/>
          <w:color w:val="auto"/>
        </w:rPr>
      </w:pPr>
    </w:p>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available for sale: these securities are valued using a blending of two models, a discounted cash flow model and a comparable company model utilizing earnings and multiples of similar publicly traded companies.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2015 and December 31, 2014 we held no assets nor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short-term investments, accounts receivable and notes receivable approximate fair value due to their short-term 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fair value of our investment portfolio is included in Note C.</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and fair values of our available for sale securities at March 31, 2015 and December 31, 2014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904</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20"/>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basis of fixed maturity securities available for sale includes an adjustment for amortized premium or accreted discount since the date of purchase.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March 31,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20" w:type="dxa"/>
            <w:vAlign w:val="bottom"/>
            <w:tcBorders>
              <w:bottom w:val="single" w:sz="8" w:color="auto"/>
            </w:tcBorders>
          </w:tcPr>
          <w:p>
            <w:pPr>
              <w:spacing w:after="0"/>
              <w:rPr>
                <w:sz w:val="16"/>
                <w:szCs w:val="16"/>
                <w:color w:val="auto"/>
              </w:rPr>
            </w:pPr>
          </w:p>
        </w:tc>
      </w:tr>
      <w:tr>
        <w:trPr>
          <w:trHeight w:val="259"/>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3"/>
                <w:szCs w:val="2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5"/>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Included above in amounts subject to call are $1,422 million and $1,440 million in amortized cost and fair value, respectively, of fixed maturity securities with make-whole call provisions as of March 31, 2015.</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unrealized losses on investment securities and the fair value of the related securities, aggregated by investment category and length of time that individual securities have been in a continuous unrealized loss position at March 31, 2015 and December 31, 2014, were as follows (in millions):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March 31, 2015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78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8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78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301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7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23"/>
                <w:szCs w:val="2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23"/>
                <w:szCs w:val="23"/>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recorded no impairment charges relating to investments during the three-month periods ended March 31, 2015 or 2014. As of March 31, 2015 and December 31, 2014, we held $4 million and $5 million, respectively, in fixed maturity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realized gains and losses on investments and other assets and proceeds from the sale or maturity of investments and other assets for the three-month periods ending March 31, 2015 and 2014, respectively: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26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10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8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260" w:type="dxa"/>
            <w:vAlign w:val="bottom"/>
          </w:tcPr>
          <w:p>
            <w:pPr>
              <w:spacing w:after="0"/>
              <w:rPr>
                <w:sz w:val="12"/>
                <w:szCs w:val="12"/>
                <w:color w:val="auto"/>
              </w:rPr>
            </w:pPr>
          </w:p>
        </w:tc>
        <w:tc>
          <w:tcPr>
            <w:tcW w:w="9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10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7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 As of March 31, 2015 and December 31, 2014, investments in unconsolidated affiliates consisted of the following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Ownership</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Various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investment in Ceridian bonds is included in Fixed maturity securities available for sale on the Condensed Consolidated Balance Sheets and had a fair value of $31 million and $32 million as of March 31, 2015 and December 31, 2014, respectively. We did not purchase nor dispose of any Ceridian Bonds for the three months ended March 31, 2015.</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historically accounted for our equity in Ceridian on a three-month lag. However, during the first quarter of 2014, we began to account for our equity in Ceridian on a real-time basis. Accordingly, our net earnings for the three-month period ended March 31, 2014 includes our equity in Ceridian's earnings for the six-month period ended March 31, 2014. Our net earnings for the three month period ended March 31, 2015 includes our equity in Ceridian's earnings for the corresponding three-month period ended March 31, 2015.</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2015 and 2014, we recorded $2 million and $30 million, in equity in losses of Ceridian, respectively. There were $1 million and $(1) million in equity in earnings (losses) of other unconsolidated affiliates during the three month periods ended March 31, 2015 and 2014, respectively.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Ceridian for the relevant dates and time periods included in our Condensed Consolidated Financial Statements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funds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before customer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4,931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391</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6,695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2,280</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w:t>
            </w:r>
          </w:p>
        </w:tc>
      </w:tr>
      <w:tr>
        <w:trPr>
          <w:trHeight w:val="195"/>
        </w:trPr>
        <w:tc>
          <w:tcPr>
            <w:tcW w:w="7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31, 2014</w:t>
            </w:r>
          </w:p>
        </w:tc>
      </w:tr>
      <w:tr>
        <w:trPr>
          <w:trHeight w:val="196"/>
        </w:trPr>
        <w:tc>
          <w:tcPr>
            <w:tcW w:w="7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7"/>
                <w:szCs w:val="17"/>
                <w:color w:val="auto"/>
              </w:rPr>
            </w:pPr>
          </w:p>
        </w:tc>
      </w:tr>
      <w:tr>
        <w:trPr>
          <w:trHeight w:val="255"/>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D —Notes Payable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6"/>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0"/>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7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6.60%, due May 2017</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7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FNF Term Loan, interest payable monthly at LIBOR + 1.63% (1.80% at March 31, 2015), due January 2019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r>
      <w:tr>
        <w:trPr>
          <w:trHeight w:val="225"/>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at March 31, 2015, due July 2018 with interest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payable monthly at LIBOR + 1.45%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5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Black Knight Infoserv notes, including premium, interest payable semi-annually at 5.75%, due April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w:t>
            </w:r>
          </w:p>
        </w:tc>
      </w:tr>
      <w:tr>
        <w:trPr>
          <w:trHeight w:val="241"/>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ABRH Term Loan, interest payable monthly at LIBOR + 2.75% (2.93% at March 31, 2015), due August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7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7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Digital Insurance Revolving Credit Facility, unused portion $39 at March 31, 2015, due March 31, 2020 with</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payable monthly at LIBOR + 2.50% - 3.50%</w:t>
            </w: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8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ABRH Revolving Credit Facility, unused portion of $83 at March 31, 2015, due August 2019 with interest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payable monthly at LIBOR + 2.75%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5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 Alexander's Revolving Credit Facility, unused portion of $15 at March 31, 2015, due December 2019, interest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monthly at LIBOR + 2.25%</w:t>
            </w: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March 31, 2015, the estimated fair value of our long-term debt was approximately $3,300 million or $394 million higher than its carrying value. The carrying value of our FNF and ABRH term loans approximate the fair value at March 31, 2015 as they are variable rate instruments with short reset periods which reflect current market rates. The fair value of our unsecured notes payable was $1,996 million as of March 31, 2015. The fair values of our unsecured notes payable are based on established market prices for the securities on March 31, 2015 and are considered Level 2 financial liabilities. The carrying value of the Digital Insurance revolving credit facility approximates fair value at March 31, 2015, as it was entered into during the first quarter of 2015. The revolving credit facilities are considered Level 2 financial liabilities.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Digital Insurance Facility provides for a maximum revolving loan of up to $120 million with a maturity date of March 31, 2020. The Digital Insurance Facility is guaranteed by Digital Insurance Holdings, Inc. (“DIH”) and each subsidiary of Digital Insurance (together with DIH, the “Loan Parties”) and secured by (i) a lien on all equity interests in Digital Insurance and each of its present and future subsidiaries, (ii) all property and assets of Digital Insurance and (iii) all proceeds and products of the property described in (i) and (ii) above. Pricing under the Digital Insurance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between 25 and 40 basis points on the actual daily unused portions of the Digital Insurance Facility. The Digital Insurance Facility also allows Digital Insurance to request up to $15 million in letters of credit commitments and $10 million in swingline debt from Bank of America. The Digital Insurance Facility allows Digital Insurance to elect to increase the amount of revolving commitments by up to $40 million so long as (i) no default or event of default exists under the Digital Insurance Facility at the time of such request and (ii) Digital Insurance is in compliance with its financial covenants on a pro forma basis after giving effect to such request. The Digital Insurance facility is subject to affirmative, negative and financial covenants customary for financings of this type, including, among other things, limits on Digital Insurance’s creation of liens, incurrence of indebtedness, dispositions of assets, restricted payments and transactions with affiliates. The Digital Insurance Facility includes customary events of default for 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March 31, 2015, Digital Insurance had outstanding debt of $81 million under the Digital Insurance Facility.</w:t>
      </w:r>
    </w:p>
    <w:p>
      <w:pPr>
        <w:spacing w:after="0" w:line="18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As of March 31, 2015, ABRH has no outstanding borrowings under the ABRH Revolver.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amount is also due at a rate per annum equal to between 325 and 400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 's creation of liens, sales of assets, incurrence of indebtedness, restricted payments and transactions with affiliates. The covenants 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$75 million if such dividend occurs on or before November 17, 2014, or up to $1.5 million if such dividend occurs on or before June 15, 2016. The ABRH Credit Facility 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$17 million of outstanding letters of credit and $83 million of remaining borrowing capacity under our revolving credit facility as of March 31, 2015.</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 2014, as a result of the LPS acquisition, FNF acquired $600 million aggregate principal amount of 5.75% Senior Notes due in 2023, initially issued by Black Knight Infoserv, LLC (formerly LPS, "Black Knight Infoserv") on October 12, 2012 (the "Black Knight Senior Notes"). The Black Knight Senior Notes were registered under the Securities Act of 1933, as amended,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carry an interest rate of 5.75% and will mature on April 15, 2023. Interest is payable semi-annually on the 15th day of April and October. The Black Knight Senior Notes are senior unsecured obligations and were guaranteed by us as of January 2, 2014. At any time and from time to time, prior to October 15, 2015, Black Knight Infoserv may redeem up to a maximum of 35% of the 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 (iii) transfer any property or assets to Black Knight Infoserv or certain other subsidiaries, (f) 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w:t>
      </w:r>
    </w:p>
    <w:p>
      <w:pPr>
        <w:spacing w:after="0" w:line="8" w:lineRule="exact"/>
        <w:rPr>
          <w:sz w:val="20"/>
          <w:szCs w:val="20"/>
          <w:color w:val="auto"/>
        </w:rPr>
      </w:pPr>
    </w:p>
    <w:p>
      <w:pPr>
        <w:jc w:val="both"/>
        <w:ind w:firstLine="8"/>
        <w:spacing w:after="0" w:line="252" w:lineRule="auto"/>
        <w:tabs>
          <w:tab w:leader="none" w:pos="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Black Knight Infoserv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163 basis points over LIBOR.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Revolving Credit Facility. On October 27, 2013, we amended the Term Loan Agreement to permit us to incur the indebtedness in respect of the Bridge Facility and incorporate technical changes to describe the structure of the LPS merger. As part of the acquisition of LPS on January 2, 2014, the Term Loan Agreement was fully funded.</w:t>
      </w:r>
    </w:p>
    <w:p>
      <w:pPr>
        <w:spacing w:after="0" w:line="8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amends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1.0%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 Also on October 24, 2013, FNF entered into amendments to amend the Revolving Credit Facility to permit us to incur the indebtedness in respect of the Bridge Facility and incorporate other technical changes to describe the structure of the LPS merger. As of March 31, 2015 there was no outstanding balance under the Revolving Credit Facility.</w:t>
      </w:r>
    </w:p>
    <w:p>
      <w:pPr>
        <w:spacing w:after="0" w:line="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2012, FNF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and $50 million outstanding on our revolving credit facility, with the remainder being used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10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5, 2010, FNF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principal maturities of notes payable at March 31, 2015 are as follows (in millions):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 (remaining)</w:t>
            </w:r>
          </w:p>
        </w:tc>
        <w:tc>
          <w:tcPr>
            <w:tcW w:w="7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6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6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6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580" w:type="dxa"/>
            <w:vAlign w:val="bottom"/>
            <w:vMerge w:val="restart"/>
          </w:tcPr>
          <w:p>
            <w:pPr>
              <w:jc w:val="right"/>
              <w:ind w:right="4150"/>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658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4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$90 million as of March 31, 2015 and $95 million as of December 31,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a review by the Board of Governors of the Federal Reserve System, the Federal Deposit Insurance Corporation, the Office of the Comptroller of the Currency and the Office of Thrift Supervision (collectively, the “banking agencies”), LPS entered into a consent order (the “Order”) dated April 13, 2011 with the banking agencies. The banking agencies' review of LPS' services included the services provided by its default operations to mortgage servicers regulated by the banking agencies, including 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 independent third party to conduct a risk assessment and review of its default management businesses and the document execution services we provided to servicers from January 1, 2008 through December 31, 2010.</w:t>
      </w:r>
    </w:p>
    <w:p>
      <w:pPr>
        <w:spacing w:after="0" w:line="7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is likely to continue to take longer to complete than previously anticipated. In addition, the LPS default operations that were subject to the Consent Order were contributed to ServiceLink in connection with the Internal Reorganization. To the extent such third party review, once completed, requires additional remediation of mortgage documents, ServiceLink has agreed to implement an appropriate plan to address the issues. The Consent Order contains various deadlines to accomplish the undertakings set forth therein, including the preparation of a remediation plan following the completion of the document execution review. We or the LPS default operations contributed to ServiceLink will continue to make periodic reports to the Banking Agencies on the progress with respect to each of the undertakings in the Consent Order. The Consent Order does not include any fine or other monetary penalty, although the Banking Agencies have not yet concluded their assessment of whether any civil monetary penalties should be imposed. ServiceLink has accrued for estimated losses expected to be paid for this matter in our legal and regulatory accrual.</w:t>
      </w:r>
    </w:p>
    <w:p>
      <w:pPr>
        <w:spacing w:after="0" w:line="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operating lease payments are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 (remaining)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Dividends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 2015, our Board of Directors declared cash dividends of $0.19 per share, payable on June 30, 2015, to FNF Group common shareholders of record as of June 16,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Segment Information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March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9"/>
              </w:rPr>
              <w:t>FNF Core</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FNFV</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BKFS</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858</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808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1,553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1,583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2,061</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151</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Earnings (loss) from continuing operations, before equity in earnings</w:t>
            </w: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101</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8,309</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11,972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1,749</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13,721</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4,518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4,712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and for the three months ended March 31, 2014:</w:t>
      </w:r>
    </w:p>
    <w:p>
      <w:pPr>
        <w:spacing w:after="0" w:line="157"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FNFV</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Corporate</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FNF Core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and Other (1)</w:t>
            </w:r>
          </w:p>
        </w:tc>
        <w:tc>
          <w:tcPr>
            <w:tcW w:w="7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jc w:val="center"/>
              <w:ind w:left="17"/>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900" w:type="dxa"/>
            <w:vAlign w:val="bottom"/>
            <w:vMerge w:val="continue"/>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rPr>
              <w:t>(2)</w:t>
            </w: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Title</w:t>
            </w:r>
          </w:p>
        </w:tc>
        <w:tc>
          <w:tcPr>
            <w:tcW w:w="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BKFS</w:t>
            </w:r>
          </w:p>
        </w:tc>
        <w:tc>
          <w:tcPr>
            <w:tcW w:w="108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color w:val="auto"/>
                <w:w w:val="94"/>
              </w:rPr>
              <w:t>Other</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Core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Group</w:t>
            </w:r>
          </w:p>
        </w:tc>
        <w:tc>
          <w:tcPr>
            <w:tcW w:w="10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755</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354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1,373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382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1,755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1,403</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383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1,786</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(Loss) earnings from continuing operations, before income taxes and</w:t>
            </w: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(loss) earnings of unconsolidated affiliates</w:t>
            </w: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(Loss) earnings from continuing operations, before equity in (loss)</w:t>
            </w: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of unconsolidated affiliates</w:t>
            </w: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loss of unconsolidated affiliates</w:t>
            </w: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earnings from continuing operations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8,006</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19"/>
                <w:szCs w:val="19"/>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12,066</w:t>
            </w:r>
          </w:p>
        </w:tc>
        <w:tc>
          <w:tcPr>
            <w:tcW w:w="12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2,626</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14,692</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4,232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4,709</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as of March 31, 2014 include $1,290 million for Remy, which is now presented as discontinued operations.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as of March 31, 2014 includes $263 million for Remy, which is now presented as discontinued operations.</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 Core Operations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BKFS</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Core Corporate and Other</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FNFV</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ABRH, in which we have a 55% ownership interest. ABRH and its affiliates are the 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FNFV Corporate and Other</w:t>
      </w:r>
    </w:p>
    <w:p>
      <w:pPr>
        <w:spacing w:after="0" w:line="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2014 and other filings with the Securities and Exchange Commission.</w:t>
      </w:r>
    </w:p>
    <w:p>
      <w:pPr>
        <w:spacing w:after="0" w:line="83" w:lineRule="exact"/>
        <w:rPr>
          <w:sz w:val="20"/>
          <w:szCs w:val="20"/>
          <w:color w:val="auto"/>
        </w:rPr>
      </w:pPr>
    </w:p>
    <w:p>
      <w:pPr>
        <w:ind w:right="1400" w:firstLine="324"/>
        <w:spacing w:after="0" w:line="407"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2014. </w:t>
      </w:r>
      <w:r>
        <w:rPr>
          <w:rFonts w:ascii="Times New Roman" w:cs="Times New Roman" w:eastAsia="Times New Roman" w:hAnsi="Times New Roman"/>
          <w:sz w:val="18"/>
          <w:szCs w:val="18"/>
          <w:b w:val="1"/>
          <w:bCs w:val="1"/>
          <w:color w:val="auto"/>
        </w:rPr>
        <w:t>Overview</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In addition, 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have five reporting segments as follows: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 Core Operations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BKFS</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Core Corporate and Other</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FNFV</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ABRH, in which we have a 55% ownership interest. ABRH and its affiliates are the 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FNFV Corporate and Other</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23, 2015, pursuant to Section 3.02 of the Indenture, BKFS provided notice to the holders of their senior notes ("Black Knight Senior Notes") their intention to redeem approximately $205 million in aggregate principal of the outstanding Black Knight Senior Notes at a price of 105.750% (the “Redemption”) on May 29, 2015 (the “Redemption Date”), plus any accrued and unpaid interest on the Senior Notes redeemed to, but not including, the Redemption Date. BKFS will incur a charge on the Redemption of $12 million and will also reduce the bond premium by $7 million for the portion of the premium that relates to the redeemed Black Knight Senior Notes, resulting in a net charge on the Redemption of $5 million. Following the Redemption, $390 million in aggregate principal of BKFS Senior Notes will remain outstanding. The Redemption is revocable by BKFS, and is subject to the successful completion of their planned initial public offering.</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16, 2015, we closed the sale of Cascade Timberlands, LLC, ("Cascade") which grows and sells timber and in which we owned a 70.2% interest, for $85 million less a replanting allowance of $1 million and an indemnity holdback of $1 million. The effect of the sale on net earnings was approximately $12 million. The revenue from the sale was recorded in Escrow, title related and other fees and the cost of the land sold was in Other operating expenses in the Condensed Consolidated Statement of Operations in the three months ended March 31, 2015. There was no effect on net earnings attributable to FNFV Group common shareholders due to offsetting amounts attributable to noncontrolling interests.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23, 2014, we filed a registration statement with the Securities and Exchange Commission (“SEC”) relating to a proposed initial public offering of Black Knight Financial Services, Inc. ("BKFSI") common stock. BKFSI is currently presented as the BKFS segment. On May 4, 2015, we filed amendment number 4 to the initial registration statement with the SEC.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and financial position of the entities acquired during any year are included in the Condensed Consolidated Financial Statements from and after the date of acquisition.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12, 2015, we closed the purchase of BPG Holdings, LLC ("BPG"), pursuant to a certain Membership Interest Purchase Agreement, for $46 million. We have consolidated the results of BPG as of March 31, 2015. BPG is a recognized leader in home warranty, home inspection services and commercial inspections.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2014 we completed the distribution (the "Spin-off") of all of the outstanding shares of common stock of New Remy Corp. ("New Remy") to FNFV shareholders. As a result of the Spin-off, the results from Remy are reflected in the Condensed Consolidated Statements of Earnings as discontinued operations for the three months ended March 31, 2014. Total revenue included in discontinued operations was $302 million for the three months ended March 31, 2014. Pre-tax earnings included in discontinued operations were $10 million, for the three months ended March 31, 2014.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Core Operations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FNF core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funding supply;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December 2008, the Federal Reserve has held the federal funds rate at 0.0%-0.25%. The Federal Reserve recently indicated its intentions to raise the federal funds rate in the current year; however, there are no assurances as to the timing or severity of the increase. Mortgage interest rates were at historically low levels through the beginning of 2013. During the last half of 2013, however, interest rates rose to their highest level since 2011. Through 2014, mortgage interest rates declined moderately.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2014, interest rates dropped below 4.00% and have remained between 3.50% and 4.00% through the end of March 2015.</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April 20, 2015, the Mortgage Bankers Association ("MBA") estimated the size of the U.S. mortgage originations market as shown in the following table for 2013 - 2016 in their "Mortgage Finance Forecast" (in trillions):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shown above, the originations in 2013 were driven primarily by refinance transactions, which coincided with the historically low interest rates experienced during 2012 and 2013. In 2014 there was an approximately $700 billion or 39% decrease in mortgage originations primarily driven by the decrease in refinance activity resulting from the extended period of low interest rates. The MBA predicts mortgage originations in 2015 and 2016 will remain relatively consistent with those experienced in 2014, with a slight increase in purchase transactions.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the first three months of 2015, we have experienced an increase in volume and fee per file of commercial transactions from the previous years, indicating strong commercial markets.</w:t>
      </w:r>
    </w:p>
    <w:p>
      <w:pPr>
        <w:spacing w:after="0" w:line="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has impacted our results in 2014 or may impact our results in the future.</w:t>
      </w:r>
    </w:p>
    <w:p>
      <w:pPr>
        <w:spacing w:after="0" w:line="5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our Title segment.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and LPS also entered into settlement agreements, in January 2013 with 49 States and the District of Columbia relating to certain practices within its default operations, and in February 2014, ServiceLink, a subsidiary of our Title segment and formerly part of LPS, also settled with the State of Nevada and the Federal Deposit Insurance Corporation. In April 2013, these mortgage servicers began making restitution under these settlements.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state-level regulation, segments of our FNF core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BKFS.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20, 2013, the CFPB issued additional rules regarding mortgage forms and other mortgage related disclosures with the intent to provide "easier-to-use" mortgage disclosure forms for the consumer. The additional disclosure requirements will require participants in the mortgage market, including us, to make significant changes to the manner in which they create, process, and deliver certain disclosures to consumers in connection with mortgage loan applications made on or after August 1, 2015. These changes could lead to lower mortgage volumes and/or delays in mortgage processing, particularly in the early stages of implementation. Readiness for and compliance with these rules also requires extensive planning; changes to systems, forms and processes; as well as heightened coordination among market participants. Although there can be no assurance that the Company, its agents or other market participants will be successful in their implementation efforts, we have reviewed the new requirements, and are reviewing and updating our policies, procedures and technology resources as appropriate. It is our experience that mortgage lenders have become more focused on the risk of non-compliance with these evolving regulations and are focused on technologies and solutions that help them to comply with the increased regulatory oversight and burdens. BKFS has developed solutions that target this need, which has resulted in additional revenue.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into 2015, we have seen seasonality trends return to historical patterns.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48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1,786</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1,875</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 and equity in losses of unconsolidated affiliates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losses of unconsolidated affiliates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revenues increased $275 million in the three months ended March 31, 2015, compared to the 2014 period. The increase consisted of a $180 million increase at FNF Core and a $95 million increase at FNFV.</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net earnings from continuing operations increased $180 million in the three months ended March 31, 2015, compared to the 2014 period. The increase consisted of a $148 million increase at FNF Core and $32 million increase at FNFV.</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FNF Core includes the results of operations of our Title segment and our BKFS segment as well as the FNF Core Corporate and Other segment which includes the operations of the parent holding company, certain other unallocated corporate overhead expenses, and other smaller real estate and insurance related operations.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FNFV includes our share in the operations of certain equity investments, including Ceridian, as well as the results of operations of our portfolio companies including restaurant revenue from ABRH and J. Alexander's, and within FNFV corporate and other, the results of Digital Insurance and other smaller operations which are not title related.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from the FNF Core segments and FNFV segments is discussed in further detail at the segment level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and at BKFS are incurred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(benefit) was $50 million and $(40) million in the three-month periods ended March 31, 2015 and 2014, respectively. Income tax expense (benefit) as a percentage of earnings (loss) before income taxes was 33% and 45% for the three-month periods ended March 31, 2015 and 2014, respectively. Income taxes as a percentage of earnings (loss) before income taxes fluctuates depending on our estimate of ultimate income tax liability and changes in the characteristics of net earnings, such as the weighting of operating income versus investment income. Included in income tax expense in the three-months ending March 31, 2014 is a $12 million income tax benefit related to our portion of $30 million equity in losses recorded during the period related to our minority investment in Ceridian.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in losses of unconsolidated affiliates was $1 million and $31 million for the three-month periods ended March 31, 2015 and 2014, respectively. The equity in losses in 2015 and 2014 consisted primarily of net losses related to our investment in Ceridian, which is described further at the segment level below.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FNF Core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1"/>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r>
      <w:tr>
        <w:trPr>
          <w:trHeight w:val="25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Escrow, title 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 and equity in earnings of unconsolidated affiliates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(000's)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(000's)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per file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1,858</w:t>
            </w:r>
          </w:p>
        </w:tc>
      </w:tr>
      <w:tr>
        <w:trPr>
          <w:trHeight w:val="27"/>
        </w:trPr>
        <w:tc>
          <w:tcPr>
            <w:tcW w:w="8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for the Title segment increased $153 million, or 13%, in the three months ended March 31, 2015 from the 2014 period.</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r>
      <w:tr>
        <w:trPr>
          <w:trHeight w:val="259"/>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70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premiums from direct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title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premiums increased 14% in the three months ended March 31, 2015 as compared to the 2014 period. The increase was made up of an increase in premiums from direct operations of $66 million, or 19%, and an increase in premiums from agency operations of $37 million, or 9% in the three months ended March 31, 2015.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percentages of closed title insurance orders generated by purchase and refinance transactions by our direct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6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months ended March 31, 2015 as compared to 2014 primarily due to an increase in closed order volumes. The increase in closed order volumes was primarily related to a significant increase in both refinance and purchase transactions as highlighted by the increase in closed orders. Closed order volumes were 345,000 in the three months ended March 31, 2015 compared with 295,000 in the three months ended March 31, 2014, an increase of 17%. The average fee per file in our direct operations was $1,833 in the three months ended March 31, 2015, compared to $1,858 in the three months ended March 31, 2014, with the decrease reflecting a higher volume of refinance transactions, which have a lower fee per file, offset by an increase in commercial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title premiums from agency operations is primarily the result of the overall increase in real estate activity over the comparable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consistent with the increase in direct operations, slightly offset by the higher mix of refinance transactions in our agency operations.</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Escrow, title related and other fees increased by $50 million, or 12% in the three months ending March 31, 2015 from 2014. Escrow fees, which are more directly related to our direct operations, increased $24 million, or 19%, in the three months ended March 31, 2015 compared to the 2014 period. The increase is consistent with the increase in direct title premiums.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increased $2 million in the three months ended March 31, 2015 compared to the 2014 period. The increase is due primarily to an increase in dividends on our preferred stock portfolio and distributions from our long term investments during the three months ended March 31, 2015 from the 2014 period. Income from our fixed maturity portfolio, the largest percentage of our portfolio, remained flat over the comparable period.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The $21 million, or 5% increase in the three-month period ended March 31, 2015 compared to the 2014 period is primarily due to higher commissions and bonuses associated with the higher direct title premium revenue. These increases were offset by a slightly lower headcount in the three months ended March 31, 2015 from the 2014 period. Personnel costs as a percentage of total revenues from direct title premiums and escrow, title-related and other fees were 54% for the three month period ended March 31, 2015 and 60% for the three-month period ended March 31, 2014. Average employee count in the Title segment was 19,627 and 19,837 in the three-month periods ended March 31, 2015 and 2014, respectively.</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decreased $12 million, or 3% in the three months ending March 31, 2015 from 2014. Other operating expenses decreased primarily due to a reduction in professional fees in 2015 from 2014 related to costs incurred for the acquisition of LPS.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have remained consistent since 2014: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in the title segment decreased $1 million in the three months ended March 31, 2015 from the 2014 period.</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April 1, 2014, we revised our loss provision rate to 6% from 7% primarily due to favorable development on more recent policy year claims.</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claim loss provision for title insurance was $51 million and $53 million for the three-month periods ended March 31, 2015 and 2014, respectively, and reflects an average provision rate of 6% and 7% of title premiums, respectively. We will continue to monitor and evaluate our loss provision level, actual claims paid, and the loss reserve position each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BKFS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FNF Core segment reflected in the three months ended March 31, 2015 include the results of BKFS and subsidiaries. The following table presents the results from operations of BKFS: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60" w:type="dxa"/>
            <w:vAlign w:val="bottom"/>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1"/>
                <w:szCs w:val="21"/>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7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13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7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7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7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1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7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results of the BKFS segment were positively affected by both a $22 million increase in total revenues in the three months ended March 31, 2015 compared to the 2014 period, and the reduction in costs related to the acquisition and integration of LPS by FNF on January 2, 2014. During the three months ended March 31, 2014, the results of BKFS contain $35 million of transaction expenses, $24 million in severance expenses, and a $13 million expense to accrue for bonuses for the synergy bonus program.</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increased $126 million in the three months ending March 31, 2015 compared to the 2014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primarily attributable to the increased revenue and decreased costs discussed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Core Corporate and Other</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FNF Core Corporate and Other segment generated revenues of $(4) million and $(9) million for the three months ended March 31, 2015 and 2014, respectively. The revenue in both periods represents the elimination of revenues between our BKFS segment and our Title segment.</w:t>
      </w:r>
    </w:p>
    <w:p>
      <w:pPr>
        <w:spacing w:after="0" w:line="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Other operating expenses in the FNF Core Corporate and Other segment were $(3) million and $(28) million for the three months ended March 31, 2015 and 2014, respectively. The increase in the three month period is due to the inclusion of an approximately $24 million in reimbursements of transaction costs related to the LPS acquisition in the three months ended March 31, 2014 from the Title and BKFS segments. Both periods also reflect the elimination of software license fees between our BKFS segment and our Title segment.</w:t>
      </w:r>
    </w:p>
    <w:p>
      <w:pPr>
        <w:spacing w:after="0" w:line="7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expense was $21 million and $22 million for the three months ended March 31, 2015 and 2014, respectively. The slight decrease is attributable to the lower average outstanding debt over the period.</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This segment generated pretax losses of $28 million and $11 million for the three months ended March 31, 2015 and 2014, respectively. The change was due to the reasons discussed above, primarily the change in Other operating expenses.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1"/>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r>
      <w:tr>
        <w:trPr>
          <w:trHeight w:val="25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restaurant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for the Restaurant group segment increased $10 million, or 3%, in the three months ended March 31, 2015, from the 2014 period.</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from continuing operations before income taxes increased $1 million in the three months ending March 31, 2015, from the 2014 period which is a result of the increased revenue period over period offset by slightly higher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FNFV Corporate and Other</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FNFV Corporate and Other segment includes our share in the operations of certain equity investments, including Ceridian, Digital Insurance, and other smaller operations which are not title related. This segment also includes our Long Term Incentive Plan ("LTIP") established during 2012 which is tied to the fair value of certain of our FNFV investments. During 2014, the LTIP was frozen and then was terminated on December 31, 2014. Also during 2014, we established our Investment Success Incentive Program ("ISIP") which is tied to monetization or liquidity events relating to our investments, and such events result in realized or realizable pre-tax gains.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FNFV Corporate and Other segment generated revenues of $114 million and $29 million for the three months ending March 31, 2015 and 2014, respectively, reflecting an increase of $85 million, or 293%. The increase is primarily attributable to the sale of Cascade Timberlands in the current quarter. The change also includes an increase in revenue of $6 million in the three months ending March 31, 2015 from the 2014 period at Digital Insurance. Digital Insurance made several acquisitions subsequent to March 31, 2014, which account for this growth in revenue.</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Personnel costs were $21 million and $20 million for the three months ended March 31, 2015 and 2014, respectively. The increase is primarily attributable to the aforementioned acquisitions by Digital Insurance.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generated pretax earnings of $11 million and $2 million for the three months ended March 31, 2015 and 2014, respectively, with the change due to the increase in revenues described above.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 in losses of unconsolidated affiliates was $3 million and $31 million for the three months ended March 31, 2015 and 2014, respectively. The equity in losses of unconsolidated affiliates for the three-months ending March 31, 2014 includes six months of Ceridian's results, as in the first quarter of 2014 we transitioned Ceridian to a real-time financial reporting schedule as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opposed to the historical one-quarter lag. As a result, the results for the three month period ending March 31, 2014 includes $31 million of equity in losses of unconsolidated affiliates, which represents our portion of Ceridian's net losses for the six month period ending March 31, 2014 as well as the settlement of Ceridian's U.S. Fueling Merchants lawsuit.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$0.19 per share for the first quarter of 2015, or approximately $53 million to our FNF Group common shareholders. On May 1, 2015, our Board of Directors declared cash dividends of $0.19 per share, payable on June 30, 2015, to FNF Group common shareholders of record as of June 16, 2015.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2014, $2,108 million of our net assets were restricted from dividend payments without prior approval from the relevant departments of insurance. As of March 31, 2015, our title subsidiaries could pay or make distributions to us of approximately $236 million without prior approval. Our underwritten title companies and non-insurance subsidiaries collect revenue and pay operating expenses. However, they are not regulated to the same extent as our insurance subsidiaries.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30, 2014, we completed the creation of a tracking stock for our portfolio company investments, now known as FNFV. The primary FNFV investments include our equity interests in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flows provided by (used in) operations for the three months ended March 31, 2015 and 2014 totaled $34 million and $(242) million, respectively. The increase of $276 million is primarily due to the reduction of expenses in the current period from those incurred in the prior year period including $41 million of transaction costs and $9 million in severance payments related to the acquisition of LPS, bonus payments of $191 million including payments under the Long Term Incentive Program (LTIP), and $48 million in payments made for certain legal matters relating to historic LPS matters. These cash outflows were offset by tax refunds of $62 million on LPS acquisition costs.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$43 million and $36 million for the three-month periods ended March 31, 2015 and 2014, respectively, with the increase related to expenditures on property and equipment and capitalized software at BKFS.</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For a description of our financing arrangements see Note D included in Item 1 of Part 1 of this Report, which is incorporated by reference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Part I Item 2.</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levels for the real estate industry including title insurers.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into 2015, we saw seasonality trends return to historical patterns.</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There have been no significant changes to our long term contractual obligations since the 10-K filed on March 2, 2015,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as described below.</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2015, we entered into a credit agreement (the "Digital Insurance Credit Facility") with Bank of America, N.A. as Administrative Agent, Swingline Lender and Issuing Lender. The Digital Insurance Credit Facility provides for a maximum revolving loan of $120 million (the "DI Revolver") with a maturity date of March 31, 2020. See Note D to the Condensed Consolidated Financial Statements included in Part I, Item 1 of this Form 10-Q for further discussion.</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March 20, 2015 we completed our tender offer to purchase shares of FNFV stock. As a result of the offer, we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purchase 12,333,333 million shares of FNFV Group Common Stock for a purchase price of $15.00 per common share, for a total aggregate cost of $185 million, excluding fees and expenses related to the tender offer.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repurchased 423,350 shares under this program during the three months ended March 31, 2015 for $5 million, or an average of $12.34 per share. Subsequent to March 31, 2015 through market close on April 30, 2015, we purchased 50,000 additional shares for $1 million, or an average of $14.62 per share. Since the original commencement of the plan, we have repurchased a total of 589,450 shares for $8 million, or an average of $12.86 per share, and there are 9,410,550 shares available to be repurchased under this program.</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21, 2012, our Board of Directors approved a three-year stock purchase program, effective August 1, 2012, under which we can repurchase up to 15 million shares of our FNF Group common stock through July 31, 2015. We may make repurchases from time to time in the open market, in block purchases or in privately negotiated transactions, depending on market conditions and other factors. We did not repurchase any shares under this program during the three months ended March 31, 2015. Subsequent to March 31, 2015 through market close on April 30, 2015, we did not purchase any additional shares. Since the original commencement of the plan, we have repurchased a total of 2,080,000 shares for $50 million, or an average of $23.90 per share, and there are 12,920,000 shares available to be repurchased under this program.</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Security and Preferred Stock Investments. </w:t>
      </w:r>
      <w:r>
        <w:rPr>
          <w:rFonts w:ascii="Times New Roman" w:cs="Times New Roman" w:eastAsia="Times New Roman" w:hAnsi="Times New Roman"/>
          <w:sz w:val="18"/>
          <w:szCs w:val="18"/>
          <w:color w:val="auto"/>
        </w:rPr>
        <w:t>Our equity security and preferred stock investments may be subject to significant volatility. Should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do not engage in off-balance sheet activities other than facility and equipment leasing arrangements. On June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March 31, 2015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w:t>
      </w:r>
    </w:p>
    <w:p>
      <w:pPr>
        <w:sectPr>
          <w:pgSz w:w="11900" w:h="16838" w:orient="portrait"/>
          <w:cols w:equalWidth="0" w:num="1">
            <w:col w:w="11420"/>
          </w:cols>
          <w:pgMar w:left="240" w:top="11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Condensed Consolidated Statements of Earnings. We do not believe the lessor is a variable interest entity, as defined in the FASB standard on consolidation of variable interest entities.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described in our Annual Report on Form 10-K for our fiscal year ended December 31, 2014.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2014.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the Company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2015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400" w:firstLine="324"/>
        <w:spacing w:after="0" w:line="266" w:lineRule="auto"/>
        <w:rPr>
          <w:sz w:val="20"/>
          <w:szCs w:val="20"/>
          <w:color w:val="auto"/>
        </w:rPr>
      </w:pPr>
      <w:r>
        <w:rPr>
          <w:rFonts w:ascii="Times New Roman" w:cs="Times New Roman" w:eastAsia="Times New Roman" w:hAnsi="Times New Roman"/>
          <w:sz w:val="18"/>
          <w:szCs w:val="18"/>
          <w:color w:val="auto"/>
        </w:rPr>
        <w:t>See discussion of legal proceedings in Note E to the Condensed Consolidated Financial Statements included in Item 1 of Part I of this Report, which is incorporated by reference into this Part II, Item 1, as well as Item 3. Legal Proceedings, in our Annual Report on Form 10-K for the year ended December 31, 2014.</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FNFV during the three months ending March 31, 2015:</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Purchased (3)</w:t>
            </w:r>
          </w:p>
        </w:tc>
        <w:tc>
          <w:tcPr>
            <w:tcW w:w="38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49"/>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1/1/2015 - 1/31/2015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423,350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9,460,550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2/1/2015 - 2/28/2015</w:t>
            </w:r>
          </w:p>
        </w:tc>
        <w:tc>
          <w:tcPr>
            <w:tcW w:w="1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9,460,550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3/1/2015 - 3/31/2015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12,333,333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9,460,550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12,756,683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423,350</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9,460,550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98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2014, our Board of Directors approved a three-year stock purchase program, effective November 6, 2014, under which we can repurchase up to 10 million shares of our FNFV Group common stock through November 30, 2017.</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90"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2015 we completed our tender offer to purchase 12,333,333 shares of FNFV stock at a price of $15.00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Times New Roman" w:cs="Times New Roman" w:eastAsia="Times New Roman" w:hAnsi="Times New Roman"/>
                <w:sz w:val="18"/>
                <w:szCs w:val="18"/>
                <w:b w:val="1"/>
                <w:bCs w:val="1"/>
                <w:color w:val="0000EE"/>
              </w:rPr>
            </w:pPr>
            <w:hyperlink w:anchor="page1">
              <w:r>
                <w:rPr>
                  <w:rFonts w:ascii="Times New Roman" w:cs="Times New Roman" w:eastAsia="Times New Roman" w:hAnsi="Times New Roman"/>
                  <w:sz w:val="18"/>
                  <w:szCs w:val="18"/>
                  <w:b w:val="1"/>
                  <w:bCs w:val="1"/>
                  <w:color w:val="0000EE"/>
                </w:rPr>
                <w:t>Table of Contents</w:t>
              </w:r>
            </w:hyperlink>
          </w:p>
        </w:tc>
        <w:tc>
          <w:tcPr>
            <w:tcW w:w="94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324"/>
        </w:trPr>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9440" w:type="dxa"/>
            <w:vAlign w:val="bottom"/>
          </w:tcPr>
          <w:p>
            <w:pPr>
              <w:spacing w:after="0"/>
              <w:rPr>
                <w:sz w:val="24"/>
                <w:szCs w:val="24"/>
                <w:color w:val="auto"/>
              </w:rPr>
            </w:pPr>
          </w:p>
        </w:tc>
      </w:tr>
      <w:tr>
        <w:trPr>
          <w:trHeight w:val="360"/>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Credit Agreement, dated as of March 31, 2015, among Digital Insurance, Inc., Bank of America, N.A., as administrative</w:t>
            </w:r>
          </w:p>
        </w:tc>
      </w:t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agent, and the other lenders party thereto.</w:t>
            </w:r>
          </w:p>
        </w:tc>
      </w:tr>
      <w:tr>
        <w:trPr>
          <w:trHeight w:val="427"/>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effective March 1, 2015 to the Amended and Restated Employment Agreement between the Registrant and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Michael L. Gravelle, effective as of January 30, 2013 (incorporated by reference to Exhibit 10.33 to the Registrant's</w:t>
            </w:r>
          </w:p>
        </w:tc>
      </w:t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2014) (1)</w:t>
            </w:r>
          </w:p>
        </w:tc>
      </w:tr>
      <w:tr>
        <w:trPr>
          <w:trHeight w:val="459"/>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10.3</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Employment Agreement between BKFS I Management, Inc. and Michael L. Gravelle, effective as of March 1, 2015 (1)</w:t>
            </w:r>
          </w:p>
        </w:tc>
      </w:tr>
      <w:tr>
        <w:trPr>
          <w:trHeight w:val="486"/>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522"/>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32.1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w:t>
            </w:r>
          </w:p>
        </w:tc>
      </w:t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2002, 18 U.S.C. Section 1350.</w:t>
            </w:r>
          </w:p>
        </w:tc>
      </w:tr>
      <w:tr>
        <w:trPr>
          <w:trHeight w:val="522"/>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32.2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w:t>
            </w:r>
          </w:p>
        </w:tc>
      </w:t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2002, 18 U.S.C. Section 1350.</w:t>
            </w:r>
          </w:p>
        </w:tc>
      </w:tr>
      <w:tr>
        <w:trPr>
          <w:trHeight w:val="446"/>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99.1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Unaudited Attributed Financial Information for FNF Group Tracking Stock</w:t>
            </w:r>
          </w:p>
        </w:tc>
      </w:tr>
      <w:tr>
        <w:trPr>
          <w:trHeight w:val="432"/>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99.2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Unaudited Attributed Financial Information for FNFV Group Tracking Stock</w:t>
            </w:r>
          </w:p>
        </w:tc>
      </w:tr>
      <w:tr>
        <w:trPr>
          <w:trHeight w:val="441"/>
        </w:trPr>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materials from Fidelity National Financial's Quarterly Report on Form 10-Q for the quarter ended March</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 2015, formatted in Extensible Business Reporting Language (XBRL): (i) the Condensed Consolidated Balance Sheets,</w:t>
            </w:r>
          </w:p>
        </w:tc>
      </w:tr>
      <w:tr>
        <w:trPr>
          <w:trHeight w:val="234"/>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(ii) the Condensed Consolidated Statements of Earnings, (iii) the Condensed Consolidated Statements of Comprehensive</w:t>
            </w:r>
          </w:p>
        </w:tc>
      </w:tr>
    </w:tbl>
    <w:p>
      <w:pPr>
        <w:ind w:left="2540" w:right="20"/>
        <w:spacing w:after="0" w:line="261" w:lineRule="auto"/>
        <w:rPr>
          <w:sz w:val="20"/>
          <w:szCs w:val="20"/>
          <w:color w:val="auto"/>
        </w:rPr>
      </w:pPr>
      <w:r>
        <w:rPr>
          <w:rFonts w:ascii="Times New Roman" w:cs="Times New Roman" w:eastAsia="Times New Roman" w:hAnsi="Times New Roman"/>
          <w:sz w:val="18"/>
          <w:szCs w:val="18"/>
          <w:color w:val="auto"/>
        </w:rPr>
        <w:t>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08"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2015</w:t>
            </w:r>
          </w:p>
        </w:tc>
        <w:tc>
          <w:tcPr>
            <w:tcW w:w="6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FIDELITY NATIONAL FINANCIAL, INC.</w:t>
            </w:r>
          </w:p>
        </w:tc>
      </w:tr>
      <w:tr>
        <w:trPr>
          <w:trHeight w:val="234"/>
        </w:trPr>
        <w:tc>
          <w:tcPr>
            <w:tcW w:w="3180" w:type="dxa"/>
            <w:vAlign w:val="bottom"/>
          </w:tcPr>
          <w:p>
            <w:pPr>
              <w:spacing w:after="0"/>
              <w:rPr>
                <w:sz w:val="20"/>
                <w:szCs w:val="20"/>
                <w:color w:val="auto"/>
              </w:rPr>
            </w:pPr>
          </w:p>
        </w:tc>
        <w:tc>
          <w:tcPr>
            <w:tcW w:w="6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86"/>
        </w:trPr>
        <w:tc>
          <w:tcPr>
            <w:tcW w:w="3180" w:type="dxa"/>
            <w:vAlign w:val="bottom"/>
          </w:tcPr>
          <w:p>
            <w:pPr>
              <w:spacing w:after="0"/>
              <w:rPr>
                <w:sz w:val="24"/>
                <w:szCs w:val="24"/>
                <w:color w:val="auto"/>
              </w:rPr>
            </w:pPr>
          </w:p>
        </w:tc>
        <w:tc>
          <w:tcPr>
            <w:tcW w:w="65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7"/>
        </w:trPr>
        <w:tc>
          <w:tcPr>
            <w:tcW w:w="3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52"/>
        </w:trPr>
        <w:tc>
          <w:tcPr>
            <w:tcW w:w="3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318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00" w:type="dxa"/>
            <w:vAlign w:val="bottom"/>
          </w:tcPr>
          <w:p>
            <w:pPr>
              <w:spacing w:after="0"/>
              <w:rPr>
                <w:sz w:val="24"/>
                <w:szCs w:val="24"/>
                <w:color w:val="auto"/>
              </w:rPr>
            </w:pPr>
          </w:p>
        </w:tc>
      </w:tr>
      <w:tr>
        <w:trPr>
          <w:trHeight w:val="208"/>
        </w:trPr>
        <w:tc>
          <w:tcPr>
            <w:tcW w:w="25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No.</w:t>
            </w:r>
          </w:p>
        </w:tc>
        <w:tc>
          <w:tcPr>
            <w:tcW w:w="890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spacing w:after="0"/>
              <w:rPr>
                <w:sz w:val="19"/>
                <w:szCs w:val="19"/>
                <w:color w:val="auto"/>
              </w:rPr>
            </w:pPr>
          </w:p>
        </w:tc>
        <w:tc>
          <w:tcPr>
            <w:tcW w:w="8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March 31, 2015, among Digital Insurance, Inc., Bank of America, N.A., as administrative</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and the other lenders party thereto.</w:t>
            </w:r>
          </w:p>
        </w:tc>
      </w:tr>
      <w:tr>
        <w:trPr>
          <w:trHeight w:val="68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effective March 1, 2015 to the Amended and Restated Employment Agreement between the Registrant and</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 Gravelle, effective as of January 30, 2013 (incorporated by reference to Exhibit 10.33 to the Registrant's</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2014) (1)</w:t>
            </w:r>
          </w:p>
        </w:tc>
      </w:tr>
      <w:tr>
        <w:trPr>
          <w:trHeight w:val="44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between Black Knight Financial Services, LLC and Michael L. Gravelle, effective as of March 1,</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 (1)</w:t>
            </w:r>
          </w:p>
        </w:tc>
      </w:tr>
      <w:tr>
        <w:trPr>
          <w:trHeight w:val="44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54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52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2002, 18 U.S.C. Section 1350.</w:t>
            </w:r>
          </w:p>
        </w:tc>
      </w:tr>
      <w:tr>
        <w:trPr>
          <w:trHeight w:val="52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2002, 18 U.S.C. Section 1350.</w:t>
            </w:r>
          </w:p>
        </w:tc>
      </w:tr>
      <w:tr>
        <w:trPr>
          <w:trHeight w:val="44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Attributed Financial Information for FNF Group Tracking Stock</w:t>
            </w:r>
          </w:p>
        </w:tc>
      </w:tr>
      <w:tr>
        <w:trPr>
          <w:trHeight w:val="48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 Attributed Financial Information for FNFV Group Tracking Stock</w:t>
            </w:r>
          </w:p>
        </w:tc>
      </w:tr>
      <w:tr>
        <w:trPr>
          <w:trHeight w:val="468"/>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materials from Fidelity National Financial's Quarterly Report on Form 10-Q for the quarter ended March</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2015, formatted in Extensible Business Reporting Language (XBRL): (i) the Condensed Consolidated Balance Sheets,</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 the Condensed Consolidated Statements of Earnings, (iii) the Condensed Consolidated Statements of Comprehensive</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(iv) the Condensed Consolidated Statements of Stockholders' Equity, (v) the Condensed Consolidated</w:t>
            </w:r>
          </w:p>
        </w:tc>
      </w:t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Cash Flows, and (vi) the Notes to the Consolidated Financial Statements.</w:t>
            </w:r>
          </w:p>
        </w:tc>
      </w:tr>
      <w:tr>
        <w:trPr>
          <w:trHeight w:val="702"/>
        </w:trPr>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90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420"/>
          </w:cols>
          <w:pgMar w:left="240" w:top="117" w:right="239" w:bottom="1440" w:gutter="0" w:footer="0" w:header="0"/>
        </w:sectPr>
      </w:pPr>
    </w:p>
    <w:bookmarkStart w:id="43" w:name="page44"/>
    <w:bookmarkEnd w:id="43"/>
    <w:p>
      <w:pPr>
        <w:jc w:val="center"/>
        <w:ind w:right="-12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Dated as of March 31, 2015</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DIGITAL INSURANCE, INC.</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HOLDINGS AND CERTAIN DOMESTIC SUBSIDIARIES OF THE BORROWER,</w:t>
      </w:r>
    </w:p>
    <w:p>
      <w:pPr>
        <w:spacing w:after="0" w:line="23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the Guarantors,</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Administrative Agent, Swing Line Lender and L/C Issuer,</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MERRILL LYNCH, PIERCE, FENNER &amp; SMITH INCORPORATED</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as Joint Lead Arrangers and Joint Book Runnersv</w:t>
      </w:r>
    </w:p>
    <w:p>
      <w:pPr>
        <w:spacing w:after="0" w:line="20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8"/>
          <w:szCs w:val="18"/>
          <w:color w:val="auto"/>
        </w:rPr>
        <w:t>ARTICLE I DEFINITIONS AND ACCOUNTING TERMS</w:t>
        <w:tab/>
        <w:t>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340" w:type="dxa"/>
            <w:vAlign w:val="bottom"/>
          </w:tcPr>
          <w:p>
            <w:pPr>
              <w:spacing w:after="0"/>
              <w:rPr>
                <w:sz w:val="17"/>
                <w:szCs w:val="17"/>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Interpretive Provisions.  30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Accounting Terms.</w:t>
            </w:r>
          </w:p>
        </w:tc>
        <w:tc>
          <w:tcPr>
            <w:tcW w:w="334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Rounding.  32</w:t>
            </w:r>
          </w:p>
        </w:tc>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Times of Day; Rates</w:t>
            </w:r>
          </w:p>
        </w:tc>
        <w:tc>
          <w:tcPr>
            <w:tcW w:w="33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Letter of Credit Amounts.  32</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  33</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340" w:type="dxa"/>
            <w:vAlign w:val="bottom"/>
          </w:tcPr>
          <w:p>
            <w:pPr>
              <w:spacing w:after="0"/>
              <w:rPr>
                <w:sz w:val="20"/>
                <w:szCs w:val="20"/>
                <w:color w:val="auto"/>
              </w:rPr>
            </w:pPr>
          </w:p>
        </w:tc>
      </w:tr>
    </w:tbl>
    <w:p>
      <w:pPr>
        <w:sectPr>
          <w:pgSz w:w="11900" w:h="16838" w:orient="portrait"/>
          <w:cols w:equalWidth="0" w:num="1">
            <w:col w:w="10219"/>
          </w:cols>
          <w:pgMar w:left="240" w:top="797"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w:t>
            </w:r>
          </w:p>
        </w:tc>
        <w:tc>
          <w:tcPr>
            <w:tcW w:w="41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33</w:t>
            </w: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Letters of Credit.</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2.04</w:t>
            </w: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Swing Line Loans.</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2.05</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Prepayments.</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2.06</w:t>
            </w:r>
          </w:p>
        </w:tc>
        <w:tc>
          <w:tcPr>
            <w:tcW w:w="496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Termination or Reduction of Aggregate Revolving Commitments.</w:t>
            </w:r>
          </w:p>
        </w:tc>
        <w:tc>
          <w:tcPr>
            <w:tcW w:w="1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2.07</w:t>
            </w: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8"/>
              </w:rPr>
              <w:t>Repayment of Loans.</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2.09</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6200" w:type="dxa"/>
            <w:vAlign w:val="bottom"/>
            <w:gridSpan w:val="13"/>
          </w:tcPr>
          <w:p>
            <w:pPr>
              <w:ind w:left="10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  49</w:t>
            </w:r>
          </w:p>
        </w:tc>
      </w:tr>
      <w:tr>
        <w:trPr>
          <w:trHeight w:val="216"/>
        </w:trPr>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2.11  Evidence of Debt.  49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41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Sharing of Payments by Lenders.  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Cash Collateral.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Defaulting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Increase Option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  57</w:t>
            </w: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3.01</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3.02</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Illegality.</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61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3.03</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3.05</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Compensation for Losses.  64</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3.06</w:t>
            </w:r>
          </w:p>
        </w:tc>
        <w:tc>
          <w:tcPr>
            <w:tcW w:w="41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Mitigation Obligations; Replacement of Lenders.  64</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3.07</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ARTICLE IV GUARANTY</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4.01</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The Guaranty.</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4.02</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65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4.03</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4.04</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Certain Additional Waivers.</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4.05</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4.06</w:t>
            </w:r>
          </w:p>
        </w:tc>
        <w:tc>
          <w:tcPr>
            <w:tcW w:w="19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Rights of Contribution.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4.07</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Guarantee of Payment; Continuing Guarantee.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67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4.08</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Keepwell.</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ARTICLE V CONDITIONS PRECEDENT TO CREDIT EXTENSIONS</w:t>
            </w:r>
          </w:p>
        </w:tc>
        <w:tc>
          <w:tcPr>
            <w:tcW w:w="1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5.01</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Conditions of Initial Credit Extension.  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5.02</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ARTICLE VI REPRESENTATIONS AND WARRANTIES</w:t>
            </w:r>
          </w:p>
        </w:tc>
        <w:tc>
          <w:tcPr>
            <w:tcW w:w="10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6.01</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w w:val="99"/>
              </w:rPr>
              <w:t>Existence, Qualification and Power.</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6.02</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71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6.03</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72</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Binding Effect.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6.05</w:t>
            </w:r>
          </w:p>
        </w:tc>
        <w:tc>
          <w:tcPr>
            <w:tcW w:w="39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6.07</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Default.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6.08</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Ownership of Property; Liens.  73</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6.09</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Loan Parties and Ownership.</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19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27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36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w w:val="99"/>
              </w:rPr>
              <w:t>Perfection of Security Interests in the Collateral.</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6.20</w:t>
            </w: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Business Locations.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6.21</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6.22</w:t>
            </w:r>
          </w:p>
        </w:tc>
        <w:tc>
          <w:tcPr>
            <w:tcW w:w="19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Government Sanctions.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6.23</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PATRIOT Act.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77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219"/>
          </w:cols>
          <w:pgMar w:left="240" w:top="580"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6.24</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Anti-Corruption Laws.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Insurance Licenses.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388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6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7.04</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Payment of Obligations.</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7.05</w:t>
            </w: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7.06</w:t>
            </w: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7.07</w:t>
            </w: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7.09</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Books and Records.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Inspection Rights.</w:t>
            </w:r>
          </w:p>
        </w:tc>
        <w:tc>
          <w:tcPr>
            <w:tcW w:w="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7.11  Use of Proceeds.  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Additional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ERISA Compliance.</w:t>
            </w: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Pledged Assets.</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7.15</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Anti-Corruption Laws.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7.16</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Post-Closing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VIII NEGATIVE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8.01</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8.02</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8.03</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8.04</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Fundamental Changes.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8.05</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8.06</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8.07</w:t>
            </w: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8.08</w:t>
            </w:r>
          </w:p>
        </w:tc>
        <w:tc>
          <w:tcPr>
            <w:tcW w:w="31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Transactions with Affiliates and Insiders.</w:t>
            </w:r>
          </w:p>
        </w:tc>
        <w:tc>
          <w:tcPr>
            <w:tcW w:w="388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8.09</w:t>
            </w:r>
          </w:p>
        </w:tc>
        <w:tc>
          <w:tcPr>
            <w:tcW w:w="19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Burdensome Agreements.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8.10</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8.11</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8.12</w:t>
            </w:r>
          </w:p>
        </w:tc>
        <w:tc>
          <w:tcPr>
            <w:tcW w:w="31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Prepayment of Other Indebtedness, Etc.</w:t>
            </w:r>
          </w:p>
        </w:tc>
        <w:tc>
          <w:tcPr>
            <w:tcW w:w="388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w w:val="88"/>
              </w:rPr>
              <w:t>93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8.13</w:t>
            </w:r>
          </w:p>
        </w:tc>
        <w:tc>
          <w:tcPr>
            <w:tcW w:w="69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Organization Documents; Fiscal Year; Legal Name, State of Formation and Form of Entity.  94</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8.14</w:t>
            </w:r>
          </w:p>
        </w:tc>
        <w:tc>
          <w:tcPr>
            <w:tcW w:w="2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Ownership of Subsidiaries.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8.15</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Sale Leasebacks.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8.16</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Sanctions.  94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8.17</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Anti-Corruption Laws.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8.18</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Activities of Holdings.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8.19</w:t>
            </w:r>
          </w:p>
        </w:tc>
        <w:tc>
          <w:tcPr>
            <w:tcW w:w="1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Provision of Insurance</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8.20</w:t>
            </w:r>
          </w:p>
        </w:tc>
        <w:tc>
          <w:tcPr>
            <w:tcW w:w="27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Payments Under Profit Interest Plan</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3880" w:type="dxa"/>
            <w:vAlign w:val="bottom"/>
          </w:tcPr>
          <w:p>
            <w:pPr>
              <w:spacing w:after="0"/>
              <w:rPr>
                <w:sz w:val="18"/>
                <w:szCs w:val="18"/>
                <w:color w:val="auto"/>
              </w:rPr>
            </w:pPr>
          </w:p>
        </w:tc>
      </w:tr>
      <w:tr>
        <w:trPr>
          <w:trHeight w:val="216"/>
        </w:trPr>
        <w:tc>
          <w:tcPr>
            <w:tcW w:w="7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ARTICLE IX EVENTS OF DEFAULT AND REMEDIES  95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9.01</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9.02</w:t>
            </w:r>
          </w:p>
        </w:tc>
        <w:tc>
          <w:tcPr>
            <w:tcW w:w="31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Remedies Upon Event of Default.  97</w:t>
            </w: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9.03</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Application of Funds.</w:t>
            </w:r>
          </w:p>
        </w:tc>
        <w:tc>
          <w:tcPr>
            <w:tcW w:w="6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ARTICLE X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80" w:type="dxa"/>
            <w:vAlign w:val="bottom"/>
          </w:tcPr>
          <w:p>
            <w:pPr>
              <w:spacing w:after="0"/>
              <w:rPr>
                <w:sz w:val="18"/>
                <w:szCs w:val="18"/>
                <w:color w:val="auto"/>
              </w:rPr>
            </w:pPr>
          </w:p>
        </w:tc>
      </w:tr>
      <w:tr>
        <w:trPr>
          <w:trHeight w:val="216"/>
        </w:trPr>
        <w:tc>
          <w:tcPr>
            <w:tcW w:w="3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10.01  Appointment and Authority.  99</w:t>
            </w: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Rights as a Lender.</w:t>
            </w:r>
          </w:p>
        </w:tc>
        <w:tc>
          <w:tcPr>
            <w:tcW w:w="6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100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19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Exculpatory Provisions.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101</w:t>
            </w:r>
          </w:p>
        </w:tc>
        <w:tc>
          <w:tcPr>
            <w:tcW w:w="388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10.05</w:t>
            </w:r>
          </w:p>
        </w:tc>
        <w:tc>
          <w:tcPr>
            <w:tcW w:w="1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Delegation of Duties.</w:t>
            </w:r>
          </w:p>
        </w:tc>
        <w:tc>
          <w:tcPr>
            <w:tcW w:w="3060" w:type="dxa"/>
            <w:vAlign w:val="bottom"/>
          </w:tcPr>
          <w:p>
            <w:pPr>
              <w:jc w:val="right"/>
              <w:ind w:right="2630"/>
              <w:spacing w:after="0" w:line="198" w:lineRule="exact"/>
              <w:rPr>
                <w:sz w:val="20"/>
                <w:szCs w:val="20"/>
                <w:color w:val="auto"/>
              </w:rPr>
            </w:pPr>
            <w:r>
              <w:rPr>
                <w:rFonts w:ascii="Times New Roman" w:cs="Times New Roman" w:eastAsia="Times New Roman" w:hAnsi="Times New Roman"/>
                <w:sz w:val="18"/>
                <w:szCs w:val="18"/>
                <w:color w:val="auto"/>
              </w:rPr>
              <w:t>101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Resignation of Administrative Agent.  101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Non-Reliance on Administrative Agent and Other Lenders.  103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Duties; Etc.</w:t>
            </w:r>
          </w:p>
        </w:tc>
        <w:tc>
          <w:tcPr>
            <w:tcW w:w="306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Administrative Agent May File Proofs of Claim.  103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and Guaranty Matters.  105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Treasury Management Banks and Swap Banks.  105</w:t>
            </w:r>
          </w:p>
        </w:tc>
      </w:tr>
      <w:tr>
        <w:trPr>
          <w:trHeight w:val="21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  106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11.01</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Amendments, Etc.  106</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Notices and Other Communications; Facsimile Copies.  108</w:t>
            </w:r>
          </w:p>
        </w:tc>
      </w:tr>
    </w:tbl>
    <w:p>
      <w:pPr>
        <w:sectPr>
          <w:pgSz w:w="11900" w:h="16838" w:orient="portrait"/>
          <w:cols w:equalWidth="0" w:num="1">
            <w:col w:w="10219"/>
          </w:cols>
          <w:pgMar w:left="240" w:top="580" w:right="1440" w:bottom="1440" w:gutter="0" w:footer="0" w:header="0"/>
        </w:sectPr>
      </w:pPr>
    </w:p>
    <w:bookmarkStart w:id="46" w:name="page47"/>
    <w:bookmarkEnd w:id="46"/>
    <w:p>
      <w:pPr>
        <w:spacing w:after="0"/>
        <w:tabs>
          <w:tab w:leader="none" w:pos="560" w:val="left"/>
          <w:tab w:leader="none" w:pos="4280" w:val="left"/>
        </w:tabs>
        <w:rPr>
          <w:sz w:val="20"/>
          <w:szCs w:val="20"/>
          <w:color w:val="auto"/>
        </w:rPr>
      </w:pPr>
      <w:r>
        <w:rPr>
          <w:rFonts w:ascii="Times New Roman" w:cs="Times New Roman" w:eastAsia="Times New Roman" w:hAnsi="Times New Roman"/>
          <w:sz w:val="18"/>
          <w:szCs w:val="18"/>
          <w:color w:val="auto"/>
        </w:rPr>
        <w:t>11.03</w:t>
        <w:tab/>
        <w:t>No Waiver; Cumulative Remedies; Enforcement.</w:t>
      </w:r>
      <w:r>
        <w:rPr>
          <w:sz w:val="20"/>
          <w:szCs w:val="20"/>
          <w:color w:val="auto"/>
        </w:rPr>
        <w:tab/>
      </w:r>
      <w:r>
        <w:rPr>
          <w:rFonts w:ascii="Times New Roman" w:cs="Times New Roman" w:eastAsia="Times New Roman" w:hAnsi="Times New Roman"/>
          <w:sz w:val="17"/>
          <w:szCs w:val="17"/>
          <w:color w:val="auto"/>
        </w:rPr>
        <w:t>110</w:t>
      </w:r>
    </w:p>
    <w:p>
      <w:pPr>
        <w:spacing w:after="0" w:line="27" w:lineRule="exact"/>
        <w:rPr>
          <w:sz w:val="20"/>
          <w:szCs w:val="20"/>
          <w:color w:val="auto"/>
        </w:rPr>
      </w:pPr>
    </w:p>
    <w:p>
      <w:pPr>
        <w:spacing w:after="0"/>
        <w:tabs>
          <w:tab w:leader="none" w:pos="560" w:val="left"/>
          <w:tab w:leader="none" w:pos="3860" w:val="left"/>
        </w:tabs>
        <w:rPr>
          <w:sz w:val="20"/>
          <w:szCs w:val="20"/>
          <w:color w:val="auto"/>
        </w:rPr>
      </w:pPr>
      <w:r>
        <w:rPr>
          <w:rFonts w:ascii="Times New Roman" w:cs="Times New Roman" w:eastAsia="Times New Roman" w:hAnsi="Times New Roman"/>
          <w:sz w:val="18"/>
          <w:szCs w:val="18"/>
          <w:color w:val="auto"/>
        </w:rPr>
        <w:t>11.04</w:t>
        <w:tab/>
        <w:t>Expenses; Indemnity; and Damage Waiver.</w:t>
      </w:r>
      <w:r>
        <w:rPr>
          <w:sz w:val="20"/>
          <w:szCs w:val="20"/>
          <w:color w:val="auto"/>
        </w:rPr>
        <w:tab/>
      </w:r>
      <w:r>
        <w:rPr>
          <w:rFonts w:ascii="Times New Roman" w:cs="Times New Roman" w:eastAsia="Times New Roman" w:hAnsi="Times New Roman"/>
          <w:sz w:val="17"/>
          <w:szCs w:val="17"/>
          <w:color w:val="auto"/>
        </w:rPr>
        <w:t>110</w:t>
      </w:r>
    </w:p>
    <w:p>
      <w:pPr>
        <w:spacing w:after="0" w:line="9" w:lineRule="exact"/>
        <w:rPr>
          <w:sz w:val="20"/>
          <w:szCs w:val="20"/>
          <w:color w:val="auto"/>
        </w:rPr>
      </w:pPr>
    </w:p>
    <w:p>
      <w:pPr>
        <w:spacing w:after="0"/>
        <w:tabs>
          <w:tab w:leader="none" w:pos="560" w:val="left"/>
          <w:tab w:leader="none" w:pos="2240" w:val="left"/>
        </w:tabs>
        <w:rPr>
          <w:sz w:val="20"/>
          <w:szCs w:val="20"/>
          <w:color w:val="auto"/>
        </w:rPr>
      </w:pPr>
      <w:r>
        <w:rPr>
          <w:rFonts w:ascii="Times New Roman" w:cs="Times New Roman" w:eastAsia="Times New Roman" w:hAnsi="Times New Roman"/>
          <w:sz w:val="18"/>
          <w:szCs w:val="18"/>
          <w:color w:val="auto"/>
        </w:rPr>
        <w:t>11.05</w:t>
        <w:tab/>
        <w:t>Payments Set Aside.</w:t>
      </w:r>
      <w:r>
        <w:rPr>
          <w:sz w:val="20"/>
          <w:szCs w:val="20"/>
          <w:color w:val="auto"/>
        </w:rPr>
        <w:tab/>
      </w:r>
      <w:r>
        <w:rPr>
          <w:rFonts w:ascii="Times New Roman" w:cs="Times New Roman" w:eastAsia="Times New Roman" w:hAnsi="Times New Roman"/>
          <w:sz w:val="17"/>
          <w:szCs w:val="17"/>
          <w:color w:val="auto"/>
        </w:rPr>
        <w:t>112</w:t>
      </w:r>
    </w:p>
    <w:p>
      <w:pPr>
        <w:spacing w:after="0" w:line="9" w:lineRule="exact"/>
        <w:rPr>
          <w:sz w:val="20"/>
          <w:szCs w:val="20"/>
          <w:color w:val="auto"/>
        </w:rPr>
      </w:pPr>
    </w:p>
    <w:p>
      <w:pPr>
        <w:spacing w:after="0"/>
        <w:tabs>
          <w:tab w:leader="none" w:pos="560" w:val="left"/>
          <w:tab w:leader="none" w:pos="2500" w:val="left"/>
        </w:tabs>
        <w:rPr>
          <w:sz w:val="20"/>
          <w:szCs w:val="20"/>
          <w:color w:val="auto"/>
        </w:rPr>
      </w:pPr>
      <w:r>
        <w:rPr>
          <w:rFonts w:ascii="Times New Roman" w:cs="Times New Roman" w:eastAsia="Times New Roman" w:hAnsi="Times New Roman"/>
          <w:sz w:val="18"/>
          <w:szCs w:val="18"/>
          <w:color w:val="auto"/>
        </w:rPr>
        <w:t>11.06</w:t>
        <w:tab/>
        <w:t>Successors and Assigns.</w:t>
      </w:r>
      <w:r>
        <w:rPr>
          <w:sz w:val="20"/>
          <w:szCs w:val="20"/>
          <w:color w:val="auto"/>
        </w:rPr>
        <w:tab/>
      </w:r>
      <w:r>
        <w:rPr>
          <w:rFonts w:ascii="Times New Roman" w:cs="Times New Roman" w:eastAsia="Times New Roman" w:hAnsi="Times New Roman"/>
          <w:sz w:val="17"/>
          <w:szCs w:val="17"/>
          <w:color w:val="auto"/>
        </w:rPr>
        <w:t>113</w:t>
      </w:r>
    </w:p>
    <w:p>
      <w:pPr>
        <w:spacing w:after="0" w:line="9" w:lineRule="exact"/>
        <w:rPr>
          <w:sz w:val="20"/>
          <w:szCs w:val="20"/>
          <w:color w:val="auto"/>
        </w:rPr>
      </w:pPr>
    </w:p>
    <w:p>
      <w:pPr>
        <w:spacing w:after="0"/>
        <w:tabs>
          <w:tab w:leader="none" w:pos="560" w:val="left"/>
          <w:tab w:leader="none" w:pos="4360" w:val="left"/>
        </w:tabs>
        <w:rPr>
          <w:sz w:val="20"/>
          <w:szCs w:val="20"/>
          <w:color w:val="auto"/>
        </w:rPr>
      </w:pPr>
      <w:r>
        <w:rPr>
          <w:rFonts w:ascii="Times New Roman" w:cs="Times New Roman" w:eastAsia="Times New Roman" w:hAnsi="Times New Roman"/>
          <w:sz w:val="18"/>
          <w:szCs w:val="18"/>
          <w:color w:val="auto"/>
        </w:rPr>
        <w:t>11.07</w:t>
        <w:tab/>
        <w:t>Treatment of Certain Information; Confidentiality.</w:t>
        <w:tab/>
        <w:t>117</w:t>
      </w:r>
    </w:p>
    <w:p>
      <w:pPr>
        <w:spacing w:after="0" w:line="9" w:lineRule="exact"/>
        <w:rPr>
          <w:sz w:val="20"/>
          <w:szCs w:val="20"/>
          <w:color w:val="auto"/>
        </w:rPr>
      </w:pPr>
    </w:p>
    <w:p>
      <w:pPr>
        <w:spacing w:after="0"/>
        <w:tabs>
          <w:tab w:leader="none" w:pos="560" w:val="left"/>
          <w:tab w:leader="none" w:pos="1280" w:val="left"/>
        </w:tabs>
        <w:rPr>
          <w:sz w:val="20"/>
          <w:szCs w:val="20"/>
          <w:color w:val="auto"/>
        </w:rPr>
      </w:pPr>
      <w:r>
        <w:rPr>
          <w:rFonts w:ascii="Times New Roman" w:cs="Times New Roman" w:eastAsia="Times New Roman" w:hAnsi="Times New Roman"/>
          <w:sz w:val="18"/>
          <w:szCs w:val="18"/>
          <w:color w:val="auto"/>
        </w:rPr>
        <w:t>11.08</w:t>
        <w:tab/>
        <w:t>Set-off.</w:t>
        <w:tab/>
        <w:t>118</w:t>
      </w:r>
    </w:p>
    <w:p>
      <w:pPr>
        <w:spacing w:after="0" w:line="9" w:lineRule="exact"/>
        <w:rPr>
          <w:sz w:val="20"/>
          <w:szCs w:val="20"/>
          <w:color w:val="auto"/>
        </w:rPr>
      </w:pPr>
    </w:p>
    <w:p>
      <w:pPr>
        <w:spacing w:after="0"/>
        <w:tabs>
          <w:tab w:leader="none" w:pos="560" w:val="left"/>
          <w:tab w:leader="none" w:pos="2520" w:val="left"/>
        </w:tabs>
        <w:rPr>
          <w:sz w:val="20"/>
          <w:szCs w:val="20"/>
          <w:color w:val="auto"/>
        </w:rPr>
      </w:pPr>
      <w:r>
        <w:rPr>
          <w:rFonts w:ascii="Times New Roman" w:cs="Times New Roman" w:eastAsia="Times New Roman" w:hAnsi="Times New Roman"/>
          <w:sz w:val="18"/>
          <w:szCs w:val="18"/>
          <w:color w:val="auto"/>
        </w:rPr>
        <w:t>11.09</w:t>
        <w:tab/>
        <w:t>Interest Rate Limitation.</w:t>
      </w:r>
      <w:r>
        <w:rPr>
          <w:sz w:val="20"/>
          <w:szCs w:val="20"/>
          <w:color w:val="auto"/>
        </w:rPr>
        <w:tab/>
      </w:r>
      <w:r>
        <w:rPr>
          <w:rFonts w:ascii="Times New Roman" w:cs="Times New Roman" w:eastAsia="Times New Roman" w:hAnsi="Times New Roman"/>
          <w:sz w:val="17"/>
          <w:szCs w:val="17"/>
          <w:color w:val="auto"/>
        </w:rPr>
        <w:t>119</w:t>
      </w:r>
    </w:p>
    <w:p>
      <w:pPr>
        <w:spacing w:after="0" w:line="9" w:lineRule="exact"/>
        <w:rPr>
          <w:sz w:val="20"/>
          <w:szCs w:val="20"/>
          <w:color w:val="auto"/>
        </w:rPr>
      </w:pPr>
    </w:p>
    <w:p>
      <w:pPr>
        <w:spacing w:after="0"/>
        <w:tabs>
          <w:tab w:leader="none" w:pos="560" w:val="left"/>
          <w:tab w:leader="none" w:pos="3660" w:val="left"/>
        </w:tabs>
        <w:rPr>
          <w:sz w:val="20"/>
          <w:szCs w:val="20"/>
          <w:color w:val="auto"/>
        </w:rPr>
      </w:pPr>
      <w:r>
        <w:rPr>
          <w:rFonts w:ascii="Times New Roman" w:cs="Times New Roman" w:eastAsia="Times New Roman" w:hAnsi="Times New Roman"/>
          <w:sz w:val="18"/>
          <w:szCs w:val="18"/>
          <w:color w:val="auto"/>
        </w:rPr>
        <w:t>11.10</w:t>
        <w:tab/>
        <w:t>Counterparts; Integration; Effectiveness.</w:t>
        <w:tab/>
        <w:t>119</w:t>
      </w:r>
    </w:p>
    <w:p>
      <w:pPr>
        <w:spacing w:after="0" w:line="9" w:lineRule="exact"/>
        <w:rPr>
          <w:sz w:val="20"/>
          <w:szCs w:val="20"/>
          <w:color w:val="auto"/>
        </w:rPr>
      </w:pPr>
    </w:p>
    <w:p>
      <w:pPr>
        <w:spacing w:after="0"/>
        <w:tabs>
          <w:tab w:leader="none" w:pos="560" w:val="left"/>
          <w:tab w:leader="none" w:pos="3900" w:val="left"/>
        </w:tabs>
        <w:rPr>
          <w:sz w:val="20"/>
          <w:szCs w:val="20"/>
          <w:color w:val="auto"/>
        </w:rPr>
      </w:pPr>
      <w:r>
        <w:rPr>
          <w:rFonts w:ascii="Times New Roman" w:cs="Times New Roman" w:eastAsia="Times New Roman" w:hAnsi="Times New Roman"/>
          <w:sz w:val="18"/>
          <w:szCs w:val="18"/>
          <w:color w:val="auto"/>
        </w:rPr>
        <w:t>11.11</w:t>
        <w:tab/>
        <w:t>Survival of Representations and Warranties.</w:t>
        <w:tab/>
        <w:t>119</w:t>
      </w:r>
    </w:p>
    <w:p>
      <w:pPr>
        <w:spacing w:after="0" w:line="9" w:lineRule="exact"/>
        <w:rPr>
          <w:sz w:val="20"/>
          <w:szCs w:val="20"/>
          <w:color w:val="auto"/>
        </w:rPr>
      </w:pPr>
    </w:p>
    <w:p>
      <w:pPr>
        <w:spacing w:after="0"/>
        <w:tabs>
          <w:tab w:leader="none" w:pos="560" w:val="left"/>
          <w:tab w:leader="none" w:pos="1640" w:val="left"/>
        </w:tabs>
        <w:rPr>
          <w:sz w:val="20"/>
          <w:szCs w:val="20"/>
          <w:color w:val="auto"/>
        </w:rPr>
      </w:pPr>
      <w:r>
        <w:rPr>
          <w:rFonts w:ascii="Times New Roman" w:cs="Times New Roman" w:eastAsia="Times New Roman" w:hAnsi="Times New Roman"/>
          <w:sz w:val="18"/>
          <w:szCs w:val="18"/>
          <w:color w:val="auto"/>
        </w:rPr>
        <w:t>11.12</w:t>
        <w:tab/>
        <w:t>Severability.</w:t>
        <w:tab/>
        <w:t>119</w:t>
      </w:r>
    </w:p>
    <w:p>
      <w:pPr>
        <w:spacing w:after="0" w:line="9" w:lineRule="exact"/>
        <w:rPr>
          <w:sz w:val="20"/>
          <w:szCs w:val="20"/>
          <w:color w:val="auto"/>
        </w:rPr>
      </w:pPr>
    </w:p>
    <w:p>
      <w:pPr>
        <w:spacing w:after="0"/>
        <w:tabs>
          <w:tab w:leader="none" w:pos="560" w:val="left"/>
          <w:tab w:leader="none" w:pos="2560" w:val="left"/>
        </w:tabs>
        <w:rPr>
          <w:sz w:val="20"/>
          <w:szCs w:val="20"/>
          <w:color w:val="auto"/>
        </w:rPr>
      </w:pPr>
      <w:r>
        <w:rPr>
          <w:rFonts w:ascii="Times New Roman" w:cs="Times New Roman" w:eastAsia="Times New Roman" w:hAnsi="Times New Roman"/>
          <w:sz w:val="18"/>
          <w:szCs w:val="18"/>
          <w:color w:val="auto"/>
        </w:rPr>
        <w:t>11.13</w:t>
        <w:tab/>
        <w:t>Replacement of Lenders.</w:t>
      </w:r>
      <w:r>
        <w:rPr>
          <w:sz w:val="20"/>
          <w:szCs w:val="20"/>
          <w:color w:val="auto"/>
        </w:rPr>
        <w:tab/>
      </w:r>
      <w:r>
        <w:rPr>
          <w:rFonts w:ascii="Times New Roman" w:cs="Times New Roman" w:eastAsia="Times New Roman" w:hAnsi="Times New Roman"/>
          <w:sz w:val="17"/>
          <w:szCs w:val="17"/>
          <w:color w:val="auto"/>
        </w:rPr>
        <w:t>120</w:t>
      </w:r>
    </w:p>
    <w:p>
      <w:pPr>
        <w:spacing w:after="0" w:line="9" w:lineRule="exact"/>
        <w:rPr>
          <w:sz w:val="20"/>
          <w:szCs w:val="20"/>
          <w:color w:val="auto"/>
        </w:rPr>
      </w:pPr>
    </w:p>
    <w:p>
      <w:pPr>
        <w:spacing w:after="0"/>
        <w:tabs>
          <w:tab w:leader="none" w:pos="560" w:val="left"/>
          <w:tab w:leader="none" w:pos="3200" w:val="left"/>
        </w:tabs>
        <w:rPr>
          <w:sz w:val="20"/>
          <w:szCs w:val="20"/>
          <w:color w:val="auto"/>
        </w:rPr>
      </w:pPr>
      <w:r>
        <w:rPr>
          <w:rFonts w:ascii="Times New Roman" w:cs="Times New Roman" w:eastAsia="Times New Roman" w:hAnsi="Times New Roman"/>
          <w:sz w:val="18"/>
          <w:szCs w:val="18"/>
          <w:color w:val="auto"/>
        </w:rPr>
        <w:t>11.14</w:t>
        <w:tab/>
        <w:t>Governing Law; Jurisdiction; Etc.</w:t>
      </w:r>
      <w:r>
        <w:rPr>
          <w:sz w:val="20"/>
          <w:szCs w:val="20"/>
          <w:color w:val="auto"/>
        </w:rPr>
        <w:tab/>
      </w:r>
      <w:r>
        <w:rPr>
          <w:rFonts w:ascii="Times New Roman" w:cs="Times New Roman" w:eastAsia="Times New Roman" w:hAnsi="Times New Roman"/>
          <w:sz w:val="17"/>
          <w:szCs w:val="17"/>
          <w:color w:val="auto"/>
        </w:rPr>
        <w:t>121</w:t>
      </w:r>
    </w:p>
    <w:p>
      <w:pPr>
        <w:spacing w:after="0" w:line="9" w:lineRule="exact"/>
        <w:rPr>
          <w:sz w:val="20"/>
          <w:szCs w:val="20"/>
          <w:color w:val="auto"/>
        </w:rPr>
      </w:pPr>
    </w:p>
    <w:p>
      <w:pPr>
        <w:spacing w:after="0"/>
        <w:tabs>
          <w:tab w:leader="none" w:pos="560" w:val="left"/>
          <w:tab w:leader="none" w:pos="3080" w:val="left"/>
        </w:tabs>
        <w:rPr>
          <w:sz w:val="20"/>
          <w:szCs w:val="20"/>
          <w:color w:val="auto"/>
        </w:rPr>
      </w:pPr>
      <w:r>
        <w:rPr>
          <w:rFonts w:ascii="Times New Roman" w:cs="Times New Roman" w:eastAsia="Times New Roman" w:hAnsi="Times New Roman"/>
          <w:sz w:val="18"/>
          <w:szCs w:val="18"/>
          <w:color w:val="auto"/>
        </w:rPr>
        <w:t>11.15</w:t>
        <w:tab/>
        <w:t>Waiver of Right to Trial by Jury.</w:t>
        <w:tab/>
        <w:t>122</w:t>
      </w:r>
    </w:p>
    <w:p>
      <w:pPr>
        <w:spacing w:after="0" w:line="9" w:lineRule="exact"/>
        <w:rPr>
          <w:sz w:val="20"/>
          <w:szCs w:val="20"/>
          <w:color w:val="auto"/>
        </w:rPr>
      </w:pPr>
    </w:p>
    <w:p>
      <w:pPr>
        <w:spacing w:after="0"/>
        <w:tabs>
          <w:tab w:leader="none" w:pos="560" w:val="left"/>
          <w:tab w:leader="none" w:pos="5680" w:val="left"/>
        </w:tabs>
        <w:rPr>
          <w:sz w:val="20"/>
          <w:szCs w:val="20"/>
          <w:color w:val="auto"/>
        </w:rPr>
      </w:pPr>
      <w:r>
        <w:rPr>
          <w:rFonts w:ascii="Times New Roman" w:cs="Times New Roman" w:eastAsia="Times New Roman" w:hAnsi="Times New Roman"/>
          <w:sz w:val="18"/>
          <w:szCs w:val="18"/>
          <w:color w:val="auto"/>
        </w:rPr>
        <w:t>11.16</w:t>
        <w:tab/>
        <w:t>Electronic Execution of Assignments and Certain Other Documents.</w:t>
      </w:r>
      <w:r>
        <w:rPr>
          <w:sz w:val="20"/>
          <w:szCs w:val="20"/>
          <w:color w:val="auto"/>
        </w:rPr>
        <w:tab/>
      </w:r>
      <w:r>
        <w:rPr>
          <w:rFonts w:ascii="Times New Roman" w:cs="Times New Roman" w:eastAsia="Times New Roman" w:hAnsi="Times New Roman"/>
          <w:sz w:val="17"/>
          <w:szCs w:val="17"/>
          <w:color w:val="auto"/>
        </w:rPr>
        <w:t>122</w:t>
      </w:r>
    </w:p>
    <w:p>
      <w:pPr>
        <w:spacing w:after="0" w:line="9" w:lineRule="exact"/>
        <w:rPr>
          <w:sz w:val="20"/>
          <w:szCs w:val="20"/>
          <w:color w:val="auto"/>
        </w:rPr>
      </w:pPr>
    </w:p>
    <w:p>
      <w:pPr>
        <w:spacing w:after="0"/>
        <w:tabs>
          <w:tab w:leader="none" w:pos="560" w:val="left"/>
          <w:tab w:leader="none" w:pos="2220" w:val="left"/>
        </w:tabs>
        <w:rPr>
          <w:sz w:val="20"/>
          <w:szCs w:val="20"/>
          <w:color w:val="auto"/>
        </w:rPr>
      </w:pPr>
      <w:r>
        <w:rPr>
          <w:rFonts w:ascii="Times New Roman" w:cs="Times New Roman" w:eastAsia="Times New Roman" w:hAnsi="Times New Roman"/>
          <w:sz w:val="18"/>
          <w:szCs w:val="18"/>
          <w:color w:val="auto"/>
        </w:rPr>
        <w:t>11.17</w:t>
        <w:tab/>
        <w:t>USA PATRIOT Act.</w:t>
        <w:tab/>
        <w:t>122</w:t>
      </w:r>
    </w:p>
    <w:p>
      <w:pPr>
        <w:spacing w:after="0" w:line="9" w:lineRule="exact"/>
        <w:rPr>
          <w:sz w:val="20"/>
          <w:szCs w:val="20"/>
          <w:color w:val="auto"/>
        </w:rPr>
      </w:pPr>
    </w:p>
    <w:p>
      <w:pPr>
        <w:spacing w:after="0"/>
        <w:tabs>
          <w:tab w:leader="none" w:pos="560" w:val="left"/>
          <w:tab w:leader="none" w:pos="3620" w:val="left"/>
        </w:tabs>
        <w:rPr>
          <w:sz w:val="20"/>
          <w:szCs w:val="20"/>
          <w:color w:val="auto"/>
        </w:rPr>
      </w:pPr>
      <w:r>
        <w:rPr>
          <w:rFonts w:ascii="Times New Roman" w:cs="Times New Roman" w:eastAsia="Times New Roman" w:hAnsi="Times New Roman"/>
          <w:sz w:val="18"/>
          <w:szCs w:val="18"/>
          <w:color w:val="auto"/>
        </w:rPr>
        <w:t>11.18</w:t>
        <w:tab/>
        <w:t>No Advisory or Fiduciary Relationship.</w:t>
      </w:r>
      <w:r>
        <w:rPr>
          <w:sz w:val="20"/>
          <w:szCs w:val="20"/>
          <w:color w:val="auto"/>
        </w:rPr>
        <w:tab/>
      </w:r>
      <w:r>
        <w:rPr>
          <w:rFonts w:ascii="Times New Roman" w:cs="Times New Roman" w:eastAsia="Times New Roman" w:hAnsi="Times New Roman"/>
          <w:sz w:val="17"/>
          <w:szCs w:val="17"/>
          <w:color w:val="auto"/>
        </w:rPr>
        <w:t>123</w:t>
      </w:r>
    </w:p>
    <w:p>
      <w:pPr>
        <w:spacing w:after="0" w:line="9" w:lineRule="exact"/>
        <w:rPr>
          <w:sz w:val="20"/>
          <w:szCs w:val="20"/>
          <w:color w:val="auto"/>
        </w:rPr>
      </w:pPr>
    </w:p>
    <w:p>
      <w:pPr>
        <w:spacing w:after="0"/>
        <w:tabs>
          <w:tab w:leader="none" w:pos="560" w:val="left"/>
          <w:tab w:leader="none" w:pos="2660" w:val="left"/>
        </w:tabs>
        <w:rPr>
          <w:sz w:val="20"/>
          <w:szCs w:val="20"/>
          <w:color w:val="auto"/>
        </w:rPr>
      </w:pPr>
      <w:r>
        <w:rPr>
          <w:rFonts w:ascii="Times New Roman" w:cs="Times New Roman" w:eastAsia="Times New Roman" w:hAnsi="Times New Roman"/>
          <w:sz w:val="18"/>
          <w:szCs w:val="18"/>
          <w:color w:val="auto"/>
        </w:rPr>
        <w:t>11.19</w:t>
        <w:tab/>
        <w:t>Appointment of Borrower.</w:t>
      </w:r>
      <w:r>
        <w:rPr>
          <w:sz w:val="20"/>
          <w:szCs w:val="20"/>
          <w:color w:val="auto"/>
        </w:rPr>
        <w:tab/>
      </w:r>
      <w:r>
        <w:rPr>
          <w:rFonts w:ascii="Times New Roman" w:cs="Times New Roman" w:eastAsia="Times New Roman" w:hAnsi="Times New Roman"/>
          <w:sz w:val="17"/>
          <w:szCs w:val="17"/>
          <w:color w:val="auto"/>
        </w:rPr>
        <w:t>123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6.10</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6.13</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Parties and Ownership</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 Rights</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6.20(a)</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Locations of Real Property</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6.20(b)</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Taxpayer and Organizational Identification Numbers</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6.20(c)</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Changes in Legal Name, State of Formation and Structure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8.01</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Liens Existing on the Closing Date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Existing on the Closing Date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8.03</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 Existing on the Closing Date</w:t>
            </w:r>
          </w:p>
        </w:tc>
        <w:tc>
          <w:tcPr>
            <w:tcW w:w="0" w:type="dxa"/>
            <w:vAlign w:val="bottom"/>
          </w:tcPr>
          <w:p>
            <w:pPr>
              <w:spacing w:after="0"/>
              <w:rPr>
                <w:sz w:val="1"/>
                <w:szCs w:val="1"/>
                <w:color w:val="auto"/>
              </w:rPr>
            </w:pP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11.02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Addresses for Notices</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Secured Party Designation Notice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Loan Notice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2.04</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Swing Line Loan Notice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2.05</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Notice of Loan Prepayment</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2.11-1</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Revolving Note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Swing Line Note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3.01(1-4)</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Forms of U.S. Tax Compliance Certificates</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7.02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7.12</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Guarantor Joinder Agreement</w:t>
            </w:r>
          </w:p>
        </w:tc>
        <w:tc>
          <w:tcPr>
            <w:tcW w:w="0" w:type="dxa"/>
            <w:vAlign w:val="bottom"/>
          </w:tcPr>
          <w:p>
            <w:pPr>
              <w:spacing w:after="0"/>
              <w:rPr>
                <w:sz w:val="1"/>
                <w:szCs w:val="1"/>
                <w:color w:val="auto"/>
              </w:rPr>
            </w:pPr>
          </w:p>
        </w:tc>
      </w:tr>
      <w:tr>
        <w:trPr>
          <w:trHeight w:val="234"/>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11.06</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648"/>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CHAR1\1400146v11</w:t>
            </w:r>
          </w:p>
        </w:tc>
        <w:tc>
          <w:tcPr>
            <w:tcW w:w="440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CHAR1\1400146v11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CREDIT AGREEMENT is entered into as of March 31, 2015 among Digital Insurance,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(defined herein), the Lenders (defined herein) and BANK OF AMERICA, N.A., as Administrative Agent, Swing Line Lender and L/C Issuer.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Lenders provide $120,000,000 in credit facilities for the purposes set forth herein, and the Lenders are willing to do so on the terms and conditions set forth herein.</w:t>
      </w:r>
    </w:p>
    <w:p>
      <w:pPr>
        <w:sectPr>
          <w:pgSz w:w="11900" w:h="16838" w:orient="portrait"/>
          <w:cols w:equalWidth="0" w:num="1">
            <w:col w:w="11420"/>
          </w:cols>
          <w:pgMar w:left="240" w:top="580" w:right="2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4"/>
              </w:rPr>
              <w:t>ARTICLE I</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ARTICLE II</w:t>
            </w:r>
          </w:p>
        </w:tc>
      </w:tr>
      <w:tr>
        <w:trPr>
          <w:trHeight w:val="257"/>
        </w:trPr>
        <w:tc>
          <w:tcPr>
            <w:tcW w:w="1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 III</w:t>
            </w:r>
          </w:p>
        </w:tc>
        <w:tc>
          <w:tcPr>
            <w:tcW w:w="42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DEFINITIONS AND ACCOUNTING TERMS</w:t>
            </w:r>
          </w:p>
        </w:tc>
      </w:tr>
      <w:tr>
        <w:trPr>
          <w:trHeight w:val="216"/>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Defined Terms.1.01  Defined Terms..</w:t>
            </w:r>
          </w:p>
        </w:tc>
        <w:tc>
          <w:tcPr>
            <w:tcW w:w="42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meanings set forth below: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with respect to any Person, the acquisition by such Person, in a single transaction or in a series of related transactions, of (a) all or any substantial portion of the property of another Person, or any division, line of business or other business unit of another Person or (b) at least a majority of the Voting Stock of another Person, in each case whether or not involving a merger or consolidation with such other Person and whether for cash, property, services, assumption of Indebtedness, securities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or any successor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Commitments</w:t>
      </w:r>
      <w:r>
        <w:rPr>
          <w:rFonts w:ascii="Times New Roman" w:cs="Times New Roman" w:eastAsia="Times New Roman" w:hAnsi="Times New Roman"/>
          <w:sz w:val="18"/>
          <w:szCs w:val="18"/>
          <w:color w:val="auto"/>
        </w:rPr>
        <w:t>” means the Revolving Commitments of all the Lenders. The aggregate principal amount of the Aggregate Revolving Commitments in effect on the Closing Date is ONE HUNDRED TWENTY MILLION DOLLARS ($120,000,000).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Insurance Regulatory Authority</w:t>
      </w:r>
      <w:r>
        <w:rPr>
          <w:rFonts w:ascii="Times New Roman" w:cs="Times New Roman" w:eastAsia="Times New Roman" w:hAnsi="Times New Roman"/>
          <w:sz w:val="18"/>
          <w:szCs w:val="18"/>
          <w:color w:val="auto"/>
        </w:rPr>
        <w:t>” means, with respect to any Insurance Brokerage Subsidiary, the Governmental Authority located in (a) the jurisdiction in which such Person is domiciled or (b) such other jurisdiction which due to the nature of such Person’s activities, has regulatory authority over such Person, and any federal Governmental Authority regulating the insurance industry and/or the insurance brokerage industry.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with respect to such Lender’s Revolving Commitment at any time, the percentage of the Aggregate Revolving Commitments represented by such Lender’s Revolving Commitment at such time, subject to adjustment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provided that if the commitment of each Lender to make Revolving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agreement pursuant to which such Lender becomes a party hereto, as applicable.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with respect to Revolving Loans, Swing Line Loans, Letters of Credit and the Commitment Fee, the following percentages per annum, based upon the Consolidated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0" w:right="239" w:bottom="1440" w:gutter="0" w:footer="0" w:header="0"/>
        </w:sectPr>
      </w:pPr>
    </w:p>
    <w:bookmarkStart w:id="48" w:name="page49"/>
    <w:bookmarkEnd w:id="48"/>
    <w:tbl>
      <w:tblPr>
        <w:tblLayout w:type="fixed"/>
        <w:tblInd w:w="1710" w:type="dxa"/>
        <w:tblCellMar>
          <w:top w:w="0" w:type="dxa"/>
          <w:left w:w="0" w:type="dxa"/>
          <w:bottom w:w="0" w:type="dxa"/>
          <w:right w:w="0" w:type="dxa"/>
        </w:tblCellMar>
      </w:tblPr>
      <w:tr>
        <w:trPr>
          <w:trHeight w:val="311"/>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18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Consolidated Leverage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Commitment Fee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Letter of Credit Fee</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Eurodollar Rate</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Base Rate</w:t>
            </w:r>
          </w:p>
        </w:tc>
        <w:tc>
          <w:tcPr>
            <w:tcW w:w="0" w:type="dxa"/>
            <w:vAlign w:val="bottom"/>
          </w:tcPr>
          <w:p>
            <w:pPr>
              <w:spacing w:after="0"/>
              <w:rPr>
                <w:sz w:val="1"/>
                <w:szCs w:val="1"/>
                <w:color w:val="auto"/>
              </w:rPr>
            </w:pPr>
          </w:p>
        </w:tc>
      </w:tr>
      <w:tr>
        <w:trPr>
          <w:trHeight w:val="189"/>
        </w:trPr>
        <w:tc>
          <w:tcPr>
            <w:tcW w:w="78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Tier</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550"/>
              <w:spacing w:after="0" w:line="189" w:lineRule="exact"/>
              <w:rPr>
                <w:sz w:val="20"/>
                <w:szCs w:val="20"/>
                <w:color w:val="auto"/>
              </w:rPr>
            </w:pPr>
            <w:r>
              <w:rPr>
                <w:rFonts w:ascii="Times New Roman" w:cs="Times New Roman" w:eastAsia="Times New Roman" w:hAnsi="Times New Roman"/>
                <w:sz w:val="18"/>
                <w:szCs w:val="18"/>
                <w:color w:val="auto"/>
                <w:w w:val="97"/>
              </w:rPr>
              <w:t>Ratio</w:t>
            </w:r>
          </w:p>
        </w:tc>
        <w:tc>
          <w:tcPr>
            <w:tcW w:w="148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Loans</w:t>
            </w:r>
          </w:p>
        </w:tc>
        <w:tc>
          <w:tcPr>
            <w:tcW w:w="10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196"/>
        </w:trPr>
        <w:tc>
          <w:tcPr>
            <w:tcW w:w="78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800" w:type="dxa"/>
            <w:vAlign w:val="bottom"/>
            <w:tcBorders>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&lt; 2.00:1.0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0.25%</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2.50%</w:t>
            </w:r>
          </w:p>
        </w:tc>
        <w:tc>
          <w:tcPr>
            <w:tcW w:w="1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2.50%</w:t>
            </w:r>
          </w:p>
        </w:tc>
        <w:tc>
          <w:tcPr>
            <w:tcW w:w="10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&gt; 2.00:1.00 but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0" w:type="dxa"/>
            <w:vAlign w:val="bottom"/>
          </w:tcPr>
          <w:p>
            <w:pPr>
              <w:spacing w:after="0"/>
              <w:rPr>
                <w:sz w:val="1"/>
                <w:szCs w:val="1"/>
                <w:color w:val="auto"/>
              </w:rPr>
            </w:pPr>
          </w:p>
        </w:tc>
      </w:tr>
      <w:tr>
        <w:trPr>
          <w:trHeight w:val="126"/>
        </w:trPr>
        <w:tc>
          <w:tcPr>
            <w:tcW w:w="78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rPr>
              <w:t>&lt; 3.00:1.0</w:t>
            </w:r>
          </w:p>
        </w:tc>
        <w:tc>
          <w:tcPr>
            <w:tcW w:w="14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&gt; 3.00:1.00 but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0" w:type="dxa"/>
            <w:vAlign w:val="bottom"/>
          </w:tcPr>
          <w:p>
            <w:pPr>
              <w:spacing w:after="0"/>
              <w:rPr>
                <w:sz w:val="1"/>
                <w:szCs w:val="1"/>
                <w:color w:val="auto"/>
              </w:rPr>
            </w:pPr>
          </w:p>
        </w:tc>
      </w:tr>
      <w:tr>
        <w:trPr>
          <w:trHeight w:val="126"/>
        </w:trPr>
        <w:tc>
          <w:tcPr>
            <w:tcW w:w="78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rPr>
              <w:t>&lt; 3.50:1.0</w:t>
            </w:r>
          </w:p>
        </w:tc>
        <w:tc>
          <w:tcPr>
            <w:tcW w:w="14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80" w:type="dxa"/>
            <w:vAlign w:val="bottom"/>
            <w:tcBorders>
              <w:left w:val="single" w:sz="8" w:color="auto"/>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&gt; 3.50:1.0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Compliance Certificate is not delivered when due in accordance with such Section, then, upon the request of the Required Lenders, Pricing Tier 4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whereupon the Applicable Rate shall be adjusted based upon the calculation of the Consolidated Leverage Ratio contained in such Compliance Certificate. The Applicable Rate in effect from the Closing Date to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for the fiscal quarter ending March 31, 2015 shall be determined based upon Pricing Tier 4.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11.06</w:t>
      </w:r>
      <w:r>
        <w:rPr>
          <w:rFonts w:ascii="Times New Roman" w:cs="Times New Roman" w:eastAsia="Times New Roman" w:hAnsi="Times New Roman"/>
          <w:sz w:val="18"/>
          <w:szCs w:val="18"/>
          <w:color w:val="auto"/>
        </w:rPr>
        <w:t xml:space="preserve"> or any other form (including electronic documentation generated by MarkitClear or other electronic platform) approved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MLPFS and JPMS, each in its capacity as a joint lead arranger and a joint book runner.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the Administrative Agent in its reasonable judgment.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Holdings and its Subsidiaries for the fiscal year ended December 31, 2013, and the related consolidated statements of income or operations, shareholders’ equity and cash flows for such fiscal year of Holdings and its Subsidiaries, including the notes thereto, audited by independent public accountants of recognized national standing and prepared in conformity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 Borrow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with respect to the Revolving Commitments, the period from and including the Closing Date to the earliest of (a) the Revolving Loan Maturity Date, (b) the date of termination of the Aggregate Revolving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plus 0.50%, (b) the rate of interest in effect for such day as publicly announced from time to time by Bank of America as its “prime rate” and (c) the Eurodollar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Base Rate shall be less than zero, such rate shall be deemed to be zero</w:t>
      </w:r>
    </w:p>
    <w:p>
      <w:pPr>
        <w:sectPr>
          <w:pgSz w:w="11900" w:h="16838" w:orient="portrait"/>
          <w:cols w:equalWidth="0" w:num="1">
            <w:col w:w="11420"/>
          </w:cols>
          <w:pgMar w:left="240" w:top="714" w:right="2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means each of the following: (a) a borrowing of Swing Line Loans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(b) a borrowing consisting of simultaneous Loans of the same Type and, in the case of Eurodollar Rate Loans, having the same Interest Period made by each of the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Businesses</w:t>
      </w:r>
      <w:r>
        <w:rPr>
          <w:rFonts w:ascii="Times New Roman" w:cs="Times New Roman" w:eastAsia="Times New Roman" w:hAnsi="Times New Roman"/>
          <w:sz w:val="18"/>
          <w:szCs w:val="18"/>
          <w:color w:val="auto"/>
        </w:rPr>
        <w:t>” means, at any time, a collective reference to the businesses operated by Holdings and its Subsidiaries at such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as applied to any Person, any lease of any property by that Person as lessee which, in accordance with GAAP, is required to be accounted for as a capital lease on the balance sheet of that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regardless of the date enacted, adopted or issued.</w:t>
      </w:r>
    </w:p>
    <w:p>
      <w:pPr>
        <w:sectPr>
          <w:pgSz w:w="11900" w:h="16838" w:orient="portrait"/>
          <w:cols w:equalWidth="0" w:num="1">
            <w:col w:w="11420"/>
          </w:cols>
          <w:pgMar w:left="240" w:top="580" w:right="239" w:bottom="1440" w:gutter="0" w:footer="0" w:header="0"/>
        </w:sectPr>
      </w:pPr>
    </w:p>
    <w:bookmarkStart w:id="50" w:name="page51"/>
    <w:bookmarkEnd w:id="5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 (and, for the avoidance of doubt, a Qualifying IPO or a Permitted Spin-Off Transaction in and of itself shall be deemed not to be a Change of Control):</w:t>
      </w:r>
    </w:p>
    <w:p>
      <w:pPr>
        <w:spacing w:after="0" w:line="189" w:lineRule="exact"/>
        <w:rPr>
          <w:sz w:val="20"/>
          <w:szCs w:val="20"/>
          <w:color w:val="auto"/>
        </w:rPr>
      </w:pPr>
    </w:p>
    <w:p>
      <w:pPr>
        <w:jc w:val="both"/>
        <w:ind w:left="660" w:firstLine="645"/>
        <w:spacing w:after="0" w:line="297" w:lineRule="auto"/>
        <w:tabs>
          <w:tab w:leader="none" w:pos="21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Qualifying IPO or a Permitted Spin-Off Transaction, (i) Fidelity National Financial Ventures, LLC shall cease to own and control, of record and beneficially, directly or indirectly, at least 67% of the outstanding economic and voting Equity Interests of Holdings and</w:t>
      </w:r>
    </w:p>
    <w:p>
      <w:pPr>
        <w:ind w:left="660" w:hanging="4"/>
        <w:spacing w:after="0" w:line="297" w:lineRule="auto"/>
        <w:tabs>
          <w:tab w:leader="none" w:pos="9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cease to own and control, of record and beneficially, directly or indirectly, 100% of the outstanding economic and voting Equity Interests of the Borrower; or</w:t>
      </w:r>
    </w:p>
    <w:p>
      <w:pPr>
        <w:jc w:val="both"/>
        <w:ind w:left="660" w:firstLine="645"/>
        <w:spacing w:after="0" w:line="297" w:lineRule="auto"/>
        <w:tabs>
          <w:tab w:leader="none" w:pos="21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Qualifying IPO or a Permitted Spin-Off Transaction,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Fidelity National Financial Ventures, LLC is or becomes the “beneficial owner” (as defined in Rules 13d-3 and 13d-5 under the Securities Exchange Act of 1934, except that a person or group shall be deemed to have “beneficial ownership” of all securities that such person or group has the right to acquire (such right,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whether such right is exercisable immediately or only after the passage of time), directly or indirectly, of 33%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pacing w:after="0" w:line="3"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appointment or nomination to that board or equivalent governing body was approved by individuals referred to in clause</w:t>
      </w:r>
    </w:p>
    <w:p>
      <w:pPr>
        <w:spacing w:after="0" w:line="1" w:lineRule="exact"/>
        <w:rPr>
          <w:rFonts w:ascii="Times New Roman" w:cs="Times New Roman" w:eastAsia="Times New Roman" w:hAnsi="Times New Roman"/>
          <w:sz w:val="18"/>
          <w:szCs w:val="18"/>
          <w:color w:val="auto"/>
        </w:rPr>
      </w:pPr>
    </w:p>
    <w:p>
      <w:pPr>
        <w:jc w:val="both"/>
        <w:ind w:left="660" w:hanging="4"/>
        <w:spacing w:after="0" w:line="297"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constituting at the time of such election, appointment or nomination at least a majority of that board or equivalent governing body or (iii) whose election, appointment or nomination to that board or other equivalent governing body was approved by individuals referred to in clauses (i) and (ii) above constituting at the time of such election, appointment or nomination at least a majority of that board or equivalent governing body (excluding, in the case of both clause (ii) and clause (iii), any individual whose initial appointment or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the replacement of all or any portion of the board of directors or other equivalent governing body of the Borrower in connection with a Qualifying IPO shall not constitute a “Change of Control”, so long as such</w:t>
      </w:r>
    </w:p>
    <w:p>
      <w:pPr>
        <w:spacing w:after="0" w:line="3" w:lineRule="exact"/>
        <w:rPr>
          <w:rFonts w:ascii="Times New Roman" w:cs="Times New Roman" w:eastAsia="Times New Roman" w:hAnsi="Times New Roman"/>
          <w:sz w:val="18"/>
          <w:szCs w:val="18"/>
          <w:color w:val="auto"/>
        </w:rPr>
      </w:pPr>
    </w:p>
    <w:p>
      <w:pPr>
        <w:ind w:left="660" w:right="4320"/>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occurs substantially concurrently with (before or after) such Qualifying IPO.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hereof.</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 collective reference to all real and personal property with respect to which Liens in favor of the Administrative Agent, for the benefit of the holders of the Obligations, are granted pursuant to and in accordance with the terms of the Collateral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a collective reference to the Security and Pledge Agreement, the Mortgages and other security documents as may be executed and delivered by the Loan Parties pursuant to the terms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each Lender, the Revolving Commitment of such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or otherwise modified, and any successor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Capital Expenditures</w:t>
      </w:r>
      <w:r>
        <w:rPr>
          <w:rFonts w:ascii="Times New Roman" w:cs="Times New Roman" w:eastAsia="Times New Roman" w:hAnsi="Times New Roman"/>
          <w:sz w:val="18"/>
          <w:szCs w:val="18"/>
          <w:color w:val="auto"/>
        </w:rPr>
        <w:t xml:space="preserve">” means, for any period, for Holdings and its Subsidiaries on a consolidated basis, all capital expenditures, as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Consolidated Capital Expenditures shall not include (a) expenditures made with proceeds of any Involuntary Disposition to the extent such expenditures are used to purchase property that is the same as or similar to the property subject to such Involuntary Disposition or (b) Permitted Acquisitions.</w:t>
      </w:r>
    </w:p>
    <w:p>
      <w:pPr>
        <w:sectPr>
          <w:pgSz w:w="11900" w:h="16838" w:orient="portrait"/>
          <w:cols w:equalWidth="0" w:num="1">
            <w:col w:w="11420"/>
          </w:cols>
          <w:pgMar w:left="240" w:top="580" w:right="2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Taxes</w:t>
      </w:r>
      <w:r>
        <w:rPr>
          <w:rFonts w:ascii="Times New Roman" w:cs="Times New Roman" w:eastAsia="Times New Roman" w:hAnsi="Times New Roman"/>
          <w:sz w:val="18"/>
          <w:szCs w:val="18"/>
          <w:color w:val="auto"/>
        </w:rPr>
        <w:t>” means, for any period, for Holdings and its Subsidiaries on a consolidated basis, the aggregate of all taxes, as determined in accordance with GAAP, to the extent the same are paid in cash during such period.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for Holdings and its Subsidiaries on a consolidated basis, an amount equal to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following to the extent deducted in calculating such Consolidated Net Income: (a) Consolidated Interest Charges for such period, (b) the provision for federal, state, local and foreign income taxes payable by Holdings and its Subsidiaries for such period, (c) depreciation and amortization expense for such period, all as determined in accordance with GAAP, (d) non-recurring costs, charges and expenses incurred in connection with consummated Permitted Acquisitions including any restructuring charges incurred in connection with Permitted Acquisitions, (e) all financial advisory fees, accounting fees, legal fees, valuation fees and other similar advisory and consulting fees and related out-of-pocket expenses incurred in connection with any Permitted Acquisition (whether consummated or abandoned), (f) non-cash charges, non-cash expenses or non-cash losses, including without limitation, any impairment charges, the impact of purchase accounting, including write-offs or write-downs, but excluding, in any event, (x) any write-down of current assets (including without limitation accounts receivable) and (y) any charge, expense or loss incurred in the ordinary course of business that constitutes an accrual of or a reserve for cash charges for any future period, (g) unrealized non-cash losses with respect to financial derivatives, (h) to the extent not capitalized and amortized, all financial advisory fees, accounting fees, legal fees and other similar advisory and consulting fees and related out-of-pocket expenses in connection with this Agreement and the other Loan Documents incurred on or before the Closing Date, (i) non-cash losses related to adjustments of contingent consideration liabilities (including adjustments made at the time of payment), (j) any accruals (which are non-cash prior to payments made under the Profits Interest Plan) related to the Profits Interest Plan and (k) Pro Forma Cost Savings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without duplication and to the extent reflected as a gain or otherwise included in the calculation of Consolidated Net Income for such period (x) non-cash gains (excluding any such non-cash gains to the extent there were cash gains with respect to such gains in past accounting periods), (y) unrealized non-cash gains with respect to financial derivatives and (z) non-cash gains related to adjustments of contingent consideration liabilities (including adjustments made at the time of payment).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(w) the aggregate amount added to Consolidated EBITDA pursuant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taken together shall not exceed 15% of Consolidated EBITDA for the most recently completed four fiscal quarters of Holdings, (x) any cash payment made with respect to any non-cash charges or losses added to Consolidated EBITDA for any earlier period pursuant to any of </w:t>
      </w:r>
      <w:r>
        <w:rPr>
          <w:rFonts w:ascii="Times New Roman" w:cs="Times New Roman" w:eastAsia="Times New Roman" w:hAnsi="Times New Roman"/>
          <w:sz w:val="18"/>
          <w:szCs w:val="18"/>
          <w:u w:val="single" w:color="auto"/>
          <w:color w:val="auto"/>
        </w:rPr>
        <w:t>clauses (d)-(i)</w:t>
      </w:r>
      <w:r>
        <w:rPr>
          <w:rFonts w:ascii="Times New Roman" w:cs="Times New Roman" w:eastAsia="Times New Roman" w:hAnsi="Times New Roman"/>
          <w:sz w:val="18"/>
          <w:szCs w:val="18"/>
          <w:color w:val="auto"/>
        </w:rPr>
        <w:t xml:space="preserve"> above shall be subtracted in computing Consolidated EBITDA for the period in which such cash payment is made, (y) the aggregate amount of Pro Forma Cost Savings with respect to any Target included in the most recently completed four fiscal quarters of Holdings shall not exceed 15% of Consolidated EBITDA (calculated without giving effect to such Pro Forma Cost Savings) for such period and (z) Pro Forma Cost Savings shall be specified in a schedule to the Compliance Certificate in reasonable detail (and on a cumulative basis for all such Pro Forma Cost Savings added to Consolidated EBITDA in the period of four fiscal quarters that is the subject of the Compliance Certificate), and Pro Forma Cost Savings shall be included in calculations relating to the applicable period only to the extent (1) such items are not otherwise included in such income statement items for the Borrower and its Subsidiaries on a consolidated basis in accordance with GAAP or in accordance with any defined terms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(2) such items are supported by reasonably detailed financial statements or other information provided by the Borrower to the Administrative Agent (for further distribution to the Lenders).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xml:space="preserve">” means, as of any date of determination, the ratio of (a) Consolidated EBITDA for the period of the four fiscal quarters most recently ended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Consolidated Cash Taxes for such period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Consolidated Capital Expenditures for such period to (b) Consolidated Fixed Charges for the period of the four fiscal quarters most recently ended.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xml:space="preserve">” means, for any period, for Holdings and its Subsidiaries on a consolidated basis, an amount equal to the sum of (a) Consolidated Interest Charges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Consolidated Scheduled Funded Debt Payments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cash payments (including with respect to principal and interest) with respect to Earn Out Obligations (including fixed deferred payments relating to Acquisitions)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amount of Restricted Payments paid in cash or Cash Equivalents (other than payments made in connection with repurchases of Equity Interests in the Borrower from TripleTree, LLC and its Affiliates to the extent that such payments are made from the Net Cash Proceeds of an Equity Issuance of Equity Interests in the Borrower made after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cash payments made under the Profits Interest Plan (excluding payments to the extent made with the proceeds of Subordinated Indebtedness permitted under </w:t>
      </w:r>
      <w:r>
        <w:rPr>
          <w:rFonts w:ascii="Times New Roman" w:cs="Times New Roman" w:eastAsia="Times New Roman" w:hAnsi="Times New Roman"/>
          <w:sz w:val="18"/>
          <w:szCs w:val="18"/>
          <w:u w:val="single" w:color="auto"/>
          <w:color w:val="auto"/>
        </w:rPr>
        <w:t>Section 8.03(l)</w:t>
      </w:r>
      <w:r>
        <w:rPr>
          <w:rFonts w:ascii="Times New Roman" w:cs="Times New Roman" w:eastAsia="Times New Roman" w:hAnsi="Times New Roman"/>
          <w:sz w:val="18"/>
          <w:szCs w:val="18"/>
          <w:color w:val="auto"/>
        </w:rPr>
        <w:t xml:space="preserve"> and/or the Net Cash Proceeds of an Equity Issuance of Equity Interests in the Borrower made after the Closing Date).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Funded Indebtedness of Holdings and its Subsidiaries on a consolidated basis determined in accordance with GAAP.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means, for any period, for Holdings and its Subsidiaries on a consolidated basis, an amount equal to the sum of (a) all interest, premium payments, debt discount, fees, charges and related expenses in connection</w:t>
      </w:r>
    </w:p>
    <w:p>
      <w:pPr>
        <w:sectPr>
          <w:pgSz w:w="11900" w:h="16838" w:orient="portrait"/>
          <w:cols w:equalWidth="0" w:num="1">
            <w:col w:w="11420"/>
          </w:cols>
          <w:pgMar w:left="240" w:top="580" w:right="2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borrowed money (including capitalized interest but excluding any amortization of deferred financing costs to the extent already included in interest expense) or in connection with the deferred purchase price of assets, in each case to the extent treated as interest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 Leases that is treated as interest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xml:space="preserve">” means, as of any date of determination, the ratio of (a) Consolidated Funded Indebtedness as of such date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Earn Out Obligations in connection with Permitted Acquisitions to (b) Consolidated EBITDA for the period of the four fiscal quarters most recently ended.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for Holdings and its Subsidiaries on a consolidated basis, the net income of Holdings and its Subsidiaries for that period (excluding (a) extraordinary gains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Holdings’ equity in any net loss of any such Subsidiary for such period shall be included in determining Consolidated Net Income and (c) any income (or loss) for such period of any Person if such Person is not Holdings or a Subsidiary, except that Holdings’ equity in the net income of any such Person for such period shall be included in Consolidated Net Income up to the amount of cash actually distributed by such Person during such period to Holdings or a Subsidiary as a dividend or other distribution (and in the case of a dividend or other distribution to a Subsidiary, such Subsidiary is not precluded from further distributing such amount to Holdings as described in clause (b) hereof)), as determined in accordance with GAAP.</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Scheduled Funded Debt Payments</w:t>
      </w:r>
      <w:r>
        <w:rPr>
          <w:rFonts w:ascii="Times New Roman" w:cs="Times New Roman" w:eastAsia="Times New Roman" w:hAnsi="Times New Roman"/>
          <w:sz w:val="18"/>
          <w:szCs w:val="18"/>
          <w:color w:val="auto"/>
        </w:rPr>
        <w:t xml:space="preserve">” means for any period for Holdings and its Subsidiaries on a consolidated basis, the sum of all scheduled payments of principal on Consolidated Funded Indebtedness, as determined in accordance with GAAP.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in respect of Capital Leases, Securitization Transactions and Synthetic Leases and (c) shall not include any voluntary prepayments or mandatory prepayments required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 Without limiting the generality of the foregoing, a Person shall be deemed to be Controlled by another Person if such other Person possesses, directly or indirectly, power to vote 5% or more of the securities having ordinary voting power for the election of directors, managing general partners or the equivalent.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xml:space="preserve">” means the issuance by any Loan Party or any Subsidiary of any Indebtedness other than Indebtedness permitted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Eurodollar Rate Loan, the Default Rate shall be an interest rate equal to the interest rate (including any Applicable Rate)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any Lender that (a) has failed to (i) fund all or any portion of its Loans within two (2) Business Days of the date such Loans were required to be funded hereunder unless such Lender notifies the</w:t>
      </w:r>
    </w:p>
    <w:p>
      <w:pPr>
        <w:sectPr>
          <w:pgSz w:w="11900" w:h="16838" w:orient="portrait"/>
          <w:cols w:equalWidth="0" w:num="1">
            <w:col w:w="11420"/>
          </w:cols>
          <w:pgMar w:left="240" w:top="580" w:right="2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jc w:val="both"/>
        <w:ind w:firstLine="8"/>
        <w:spacing w:after="0" w:line="250" w:lineRule="auto"/>
        <w:tabs>
          <w:tab w:leader="none" w:pos="2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7" w:lineRule="exact"/>
        <w:rPr>
          <w:rFonts w:ascii="Times New Roman" w:cs="Times New Roman" w:eastAsia="Times New Roman" w:hAnsi="Times New Roman"/>
          <w:sz w:val="18"/>
          <w:szCs w:val="18"/>
          <w:color w:val="auto"/>
        </w:rPr>
      </w:pPr>
    </w:p>
    <w:p>
      <w:pPr>
        <w:jc w:val="both"/>
        <w:ind w:firstLine="8"/>
        <w:spacing w:after="0" w:line="254"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Digital Insurance Deferred Compensation Plan</w:t>
      </w:r>
      <w:r>
        <w:rPr>
          <w:rFonts w:ascii="Times New Roman" w:cs="Times New Roman" w:eastAsia="Times New Roman" w:hAnsi="Times New Roman"/>
          <w:sz w:val="18"/>
          <w:szCs w:val="18"/>
          <w:color w:val="auto"/>
        </w:rPr>
        <w:t>” means that certain Digital Insurance Deferred Compensation Plan with an effective date of December 1, 2014, as amended from time to time in a manner not adverse to the Lenders.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xml:space="preserve">” means the sale, transfer, license, lease or other disposition (including any Sale and Leaseback Transaction) of any property by any Loan Party or any Subsidiary (including the Equity Interests of any Subsidiary), including any sale, assignment, transfer or other disposal, with or without recourse, of any notes or accounts receivable or any rights and claims associated therewith, but excluding (a) the sale, lease, license, transfer or other disposition of inventory in the ordinary course of business, (b) the sale, lease, license, transfer or other disposition in the ordinary course of business of surplus, obsolete or worn out property no longer used or useful in the conduct of business of any Loan Party and its Subsidiaries, (c) any sale, lease, license, transfer or other disposition of property to any Loan Party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of such property is a Loan Party (i) the transferee thereof must be a Loan Party or (ii) to the extent such transaction constitutes an Investment, such transaction is permitted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and (d) any Involuntary Disposition.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state of the United States or the District of Columbia.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 Out Obligations</w:t>
      </w:r>
      <w:r>
        <w:rPr>
          <w:rFonts w:ascii="Times New Roman" w:cs="Times New Roman" w:eastAsia="Times New Roman" w:hAnsi="Times New Roman"/>
          <w:sz w:val="18"/>
          <w:szCs w:val="18"/>
          <w:color w:val="auto"/>
        </w:rPr>
        <w:t>” means, with respect to an Acquisition, all obligations of the Borrower or any Subsidiary to make earn out or other contingency payments (including purchase price adjustments, non-competition agreements, consulting agreements (other than consulting agreements for which associated costs are included in Consolidated Net Income) and other indemnity obligations) pursuant to the documentation relating to such Acquisition (and including fixed deferred payments related to such Acquisitions). For purposes of determining the aggregate consideration paid for an Acquisition and for determining the amount of any Earn Out Obligations to be included in the definition of Funded Indebtedness, the amount of Earn Out Obligations shall be deemed to be the aggregate liability in respect thereof, as determined in accordance with GAAP.</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0" w:right="2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 means any issuance by any Loan Party or any Subsidiary to any Person of its Equity Interests,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(d) any issuance by the Borrower of its Equity Interests as consideration for a Permitted Acquisition and (e) any issuance of Equity Interests to a Loan Party. The term “Equity Issuance” shall not be deemed to include any Disposition.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Borrower or any ERISA Affiliate.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Base Rate</w:t>
      </w:r>
      <w:r>
        <w:rPr>
          <w:rFonts w:ascii="Times New Roman" w:cs="Times New Roman" w:eastAsia="Times New Roman" w:hAnsi="Times New Roman"/>
          <w:sz w:val="18"/>
          <w:szCs w:val="18"/>
          <w:color w:val="auto"/>
        </w:rPr>
        <w:t>” means:</w:t>
      </w:r>
    </w:p>
    <w:p>
      <w:pPr>
        <w:spacing w:after="0" w:line="252" w:lineRule="exact"/>
        <w:rPr>
          <w:sz w:val="20"/>
          <w:szCs w:val="20"/>
          <w:color w:val="auto"/>
        </w:rPr>
      </w:pPr>
    </w:p>
    <w:p>
      <w:pPr>
        <w:jc w:val="both"/>
        <w:ind w:left="660" w:firstLine="645"/>
        <w:spacing w:after="0" w:line="297" w:lineRule="auto"/>
        <w:tabs>
          <w:tab w:leader="none" w:pos="2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Eurodollar Rate Loan,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rate calculation with respect to a Base Rate Loan on any date, the rate per annum equal to LIBOR, at approximately 11:00 a.m., London time, determined two Business Days prior to such date for Dollar deposits with a term of one month commencing</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date;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 to the extent a comparable or successor rate is approved by the Administrative Agent in connection herewith, the approved rate</w:t>
      </w:r>
    </w:p>
    <w:p>
      <w:pPr>
        <w:spacing w:after="0" w:line="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shall be applied to the applicable Interest Period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such market practice is not administratively feasible for the Administrative Agent, such approved rate</w:t>
      </w:r>
    </w:p>
    <w:p>
      <w:pPr>
        <w:sectPr>
          <w:pgSz w:w="11900" w:h="16838" w:orient="portrait"/>
          <w:cols w:equalWidth="0" w:num="1">
            <w:col w:w="11420"/>
          </w:cols>
          <w:pgMar w:left="240" w:top="580" w:right="2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shall be applied to the applicable Interest Period as otherwise reasonably determined by the Administrative Agent and (ii) if the Eurodollar Base Rate shall be less than zero, such rate shall be deemed to be zero for purposes of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w:t>
      </w:r>
      <w:r>
        <w:rPr>
          <w:rFonts w:ascii="Times New Roman" w:cs="Times New Roman" w:eastAsia="Times New Roman" w:hAnsi="Times New Roman"/>
          <w:sz w:val="18"/>
          <w:szCs w:val="18"/>
          <w:color w:val="auto"/>
        </w:rPr>
        <w:t xml:space="preserve">” means (a) for any Interest Period with respect to any Eurodollar Rate Loan, a rate per annum determined by the Administrative Agent to be equal to the quotient obtained by dividing (i) the Eurodollar Base Rate for such Eurodollar Rate Loan for such Interest Period by (ii)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Eurodollar Reserve Percentage for such Eurodollar Rate Loan for such Interest Period and (b) for any day with respect to any Base Rate Loan bearing interest at a rate based on the Eurodollar Rate, a rate per annum determined by the Administrative Agent to be equal to the quotient obtained by dividing (i) the Eurodollar Base Rate for such Base Rate Loan for such day by (ii)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Eurodollar Reserve Percentage for such Base Rate Loan for such day.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Rate Loan</w:t>
      </w:r>
      <w:r>
        <w:rPr>
          <w:rFonts w:ascii="Times New Roman" w:cs="Times New Roman" w:eastAsia="Times New Roman" w:hAnsi="Times New Roman"/>
          <w:sz w:val="18"/>
          <w:szCs w:val="18"/>
          <w:color w:val="auto"/>
        </w:rPr>
        <w:t>” means a Loan that bears interest at a rate based on clause (a) of the definition of “Eurodollar Rate”.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 Reserve Percentage</w:t>
      </w:r>
      <w:r>
        <w:rPr>
          <w:rFonts w:ascii="Times New Roman" w:cs="Times New Roman" w:eastAsia="Times New Roman" w:hAnsi="Times New Roman"/>
          <w:sz w:val="18"/>
          <w:szCs w:val="18"/>
          <w:color w:val="auto"/>
        </w:rPr>
        <w:t>” means, for any day,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Eurodollar Rate for each outstanding Eurodollar Rate Loan and for each outstanding Base Rate Loan the interest on which is determined by reference to the Eurodollar Rate, in each case, shall be adjusted automatically as of the effective date of any change in the Eurodollar Reserve Percentage.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xml:space="preserve">” means, with respect to any Loan Party, including any Person that becomes a Loan Party after the Closing Date as contemplated by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(a) any owned or leased real or personal property which is located outside of the United States, (b) any personal property (including, without limitation, motor vehicles and railroad rolling stock) in respect of which perfection of a Lien is not either (i) governed by the Uniform Commercial Code or</w:t>
      </w:r>
    </w:p>
    <w:p>
      <w:pPr>
        <w:spacing w:after="0" w:line="2" w:lineRule="exact"/>
        <w:rPr>
          <w:sz w:val="20"/>
          <w:szCs w:val="20"/>
          <w:color w:val="auto"/>
        </w:rPr>
      </w:pPr>
    </w:p>
    <w:p>
      <w:pPr>
        <w:jc w:val="both"/>
        <w:ind w:firstLine="8"/>
        <w:spacing w:after="0" w:line="254" w:lineRule="auto"/>
        <w:tabs>
          <w:tab w:leader="none" w:pos="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effected by appropriate evidence of the Lien being filed in either the United States Copyright Office or the United States Patent and Trademark Office, (c) the Equity Interests of any direct Foreign Subsidiary of a Loan Party to the extent not required to be pledged to secure the Obligations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7.14(a)</w:t>
      </w:r>
      <w:r>
        <w:rPr>
          <w:rFonts w:ascii="Times New Roman" w:cs="Times New Roman" w:eastAsia="Times New Roman" w:hAnsi="Times New Roman"/>
          <w:sz w:val="18"/>
          <w:szCs w:val="18"/>
          <w:color w:val="auto"/>
        </w:rPr>
        <w:t xml:space="preserve">, and (d) any property which, subject to the terms of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is subject to a Lien of the type described in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xml:space="preserve"> pursuant to documents which prohibit such Loan Party from granting any other financing Liens in such property and (e) any leasehold interest of any Loan Party.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or</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(d) any U.S. federal withholding taxes imposed under FATCA.</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means, at any time, a collective reference to the facilities and real properties owned, leased or operated by any Loan Party or any Subsidiary.</w:t>
      </w:r>
    </w:p>
    <w:p>
      <w:pPr>
        <w:sectPr>
          <w:pgSz w:w="11900" w:h="16838" w:orient="portrait"/>
          <w:cols w:equalWidth="0" w:num="1">
            <w:col w:w="11420"/>
          </w:cols>
          <w:pgMar w:left="240" w:top="580" w:right="2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agreement, dated as of March 4, 2015 among the Borrower, Bank of America, MLPFS, JPMorgan and JPMS.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89" w:lineRule="exact"/>
        <w:rPr>
          <w:sz w:val="20"/>
          <w:szCs w:val="20"/>
          <w:color w:val="auto"/>
        </w:rPr>
      </w:pPr>
    </w:p>
    <w:p>
      <w:pPr>
        <w:ind w:left="660" w:firstLine="645"/>
        <w:spacing w:after="0" w:line="297" w:lineRule="auto"/>
        <w:tabs>
          <w:tab w:leader="none" w:pos="21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whether current or long-term, for borrowed money (including the Obligations) and all obligations of such Person evidenced by bonds, debentures, notes, loan agreements or other similar instruments;</w:t>
      </w:r>
    </w:p>
    <w:p>
      <w:pPr>
        <w:ind w:left="2160" w:hanging="855"/>
        <w:spacing w:after="0"/>
        <w:tabs>
          <w:tab w:leader="none" w:pos="2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 money Indebtedness;</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arising under letters of credit (including standby and commercial), bankers’ acceptances, bank guaranties, surety bonds and similar instruments;</w:t>
      </w:r>
    </w:p>
    <w:p>
      <w:pPr>
        <w:jc w:val="both"/>
        <w:ind w:left="660" w:right="20" w:firstLine="645"/>
        <w:spacing w:after="0" w:line="297" w:lineRule="auto"/>
        <w:tabs>
          <w:tab w:leader="none" w:pos="21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in respect of the deferred purchase price of property or services (other than trade accounts payable in the ordinary course of business and, in each case, not past due for more than 60 days after the date on which such trade account payable was created), including, without limitation, any Earn Out Obligations with respect to any Permitted Acquisition (or any Acquisition closed prior to the Closing Date);</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of Capital Leases, Securitization Transactions and Synthetic Leases;</w:t>
      </w:r>
    </w:p>
    <w:p>
      <w:pPr>
        <w:spacing w:after="0" w:line="49" w:lineRule="exact"/>
        <w:rPr>
          <w:rFonts w:ascii="Times New Roman" w:cs="Times New Roman" w:eastAsia="Times New Roman" w:hAnsi="Times New Roman"/>
          <w:sz w:val="18"/>
          <w:szCs w:val="18"/>
          <w:color w:val="auto"/>
        </w:rPr>
      </w:pPr>
    </w:p>
    <w:p>
      <w:pPr>
        <w:jc w:val="both"/>
        <w:ind w:left="660" w:right="20" w:firstLine="645"/>
        <w:spacing w:after="0" w:line="297" w:lineRule="auto"/>
        <w:tabs>
          <w:tab w:leader="none" w:pos="21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purchase, redeem, retire, defease or otherwise make any payment in respect of any Equity Interests in such Person or any other Person,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w:t>
      </w:r>
    </w:p>
    <w:p>
      <w:pPr>
        <w:spacing w:after="0" w:line="1" w:lineRule="exact"/>
        <w:rPr>
          <w:rFonts w:ascii="Times New Roman" w:cs="Times New Roman" w:eastAsia="Times New Roman" w:hAnsi="Times New Roman"/>
          <w:sz w:val="18"/>
          <w:szCs w:val="18"/>
          <w:color w:val="auto"/>
        </w:rPr>
      </w:pPr>
    </w:p>
    <w:p>
      <w:pPr>
        <w:ind w:left="660" w:firstLine="645"/>
        <w:spacing w:after="0" w:line="329" w:lineRule="auto"/>
        <w:tabs>
          <w:tab w:leader="none" w:pos="2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Funded Indebtedness of others secured by any Lien on, or payable out of the proceeds of production from, property owned or acquired by such Person, whether or not the obligations secured thereby have been assumed;</w:t>
      </w:r>
    </w:p>
    <w:p>
      <w:pPr>
        <w:sectPr>
          <w:pgSz w:w="11900" w:h="16838" w:orient="portrait"/>
          <w:cols w:equalWidth="0" w:num="1">
            <w:col w:w="11420"/>
          </w:cols>
          <w:pgMar w:left="240" w:top="580" w:right="239" w:bottom="1440" w:gutter="0" w:footer="0" w:header="0"/>
        </w:sectPr>
      </w:pPr>
    </w:p>
    <w:bookmarkStart w:id="57" w:name="page58"/>
    <w:bookmarkEnd w:id="57"/>
    <w:p>
      <w:pPr>
        <w:ind w:left="2160" w:hanging="855"/>
        <w:spacing w:after="0"/>
        <w:tabs>
          <w:tab w:leader="none" w:pos="2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with respect to Funded Indebtedness of the types specified in clauses (a) through (h) above of another Person;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50" w:lineRule="exact"/>
        <w:rPr>
          <w:sz w:val="20"/>
          <w:szCs w:val="20"/>
          <w:color w:val="auto"/>
        </w:rPr>
      </w:pPr>
    </w:p>
    <w:p>
      <w:pPr>
        <w:jc w:val="both"/>
        <w:ind w:left="660" w:firstLine="645"/>
        <w:spacing w:after="0" w:line="288" w:lineRule="auto"/>
        <w:tabs>
          <w:tab w:leader="none" w:pos="21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Funded Indebtedness of the types referred to in clauses (a) through (i) above of any partnership or joint venture (other than a joint venture that is itself a corporation or limited liability company) in which such Person is a general partner or joint venturer, except to the extent that such Funded Indebtedness is expressly made non-recourse to such Person.</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Joinder Agreement</w:t>
      </w:r>
      <w:r>
        <w:rPr>
          <w:rFonts w:ascii="Times New Roman" w:cs="Times New Roman" w:eastAsia="Times New Roman" w:hAnsi="Times New Roman"/>
          <w:sz w:val="18"/>
          <w:szCs w:val="18"/>
          <w:color w:val="auto"/>
        </w:rPr>
        <w:t xml:space="preserve">” means a joinder agreement substantially in the form of </w:t>
      </w:r>
      <w:r>
        <w:rPr>
          <w:rFonts w:ascii="Times New Roman" w:cs="Times New Roman" w:eastAsia="Times New Roman" w:hAnsi="Times New Roman"/>
          <w:sz w:val="18"/>
          <w:szCs w:val="18"/>
          <w:u w:val="single" w:color="auto"/>
          <w:color w:val="auto"/>
        </w:rPr>
        <w:t>Exhibit 7.12</w:t>
      </w:r>
      <w:r>
        <w:rPr>
          <w:rFonts w:ascii="Times New Roman" w:cs="Times New Roman" w:eastAsia="Times New Roman" w:hAnsi="Times New Roman"/>
          <w:sz w:val="18"/>
          <w:szCs w:val="18"/>
          <w:color w:val="auto"/>
        </w:rPr>
        <w:t xml:space="preserve"> executed and delivered by a Domestic Subsidiary in accordance with the provisions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(a) Holdings, (b) each Domestic Subsidiary identified as a “Guarantor” on the signature pages hereto, (c) each other Person that joins as a Guarantor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(d) with respect to (i) Obligations under any Secured Swap Agreement, (ii) Obligations under any Secured Treasury Management Agreement, (iii) any Swap Obligation of a Specified Loan Party (determined before giving effect to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under the Guaranty, the Borrower and (e) the successors and permitted assigns of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Guaranty made by the Guarantors in favor of the Administrative Agent, the Lenders and the other holders of the Obligations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Digital Insurance Holdings,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 delivered under or referred to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607" w:right="239" w:bottom="1440" w:gutter="0" w:footer="0" w:header="0"/>
        </w:sectPr>
      </w:pPr>
    </w:p>
    <w:bookmarkStart w:id="58" w:name="page59"/>
    <w:bookmarkEnd w:id="58"/>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89" w:lineRule="exact"/>
        <w:rPr>
          <w:sz w:val="20"/>
          <w:szCs w:val="20"/>
          <w:color w:val="auto"/>
        </w:rPr>
      </w:pPr>
    </w:p>
    <w:p>
      <w:pPr>
        <w:ind w:left="2160" w:hanging="855"/>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Funded Indebtedness;</w:t>
      </w:r>
    </w:p>
    <w:p>
      <w:pPr>
        <w:spacing w:after="0" w:line="49"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Swap Termination Value of any Swap Contract;</w:t>
      </w:r>
    </w:p>
    <w:p>
      <w:pPr>
        <w:spacing w:after="0" w:line="49"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with respect to outstanding Indebtedness of the types specified in clauses (a) and (b) above of any other Person;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50" w:lineRule="exact"/>
        <w:rPr>
          <w:sz w:val="20"/>
          <w:szCs w:val="20"/>
          <w:color w:val="auto"/>
        </w:rPr>
      </w:pPr>
    </w:p>
    <w:p>
      <w:pPr>
        <w:jc w:val="both"/>
        <w:ind w:left="660" w:firstLine="645"/>
        <w:spacing w:after="0" w:line="297" w:lineRule="auto"/>
        <w:tabs>
          <w:tab w:leader="none" w:pos="2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types referred to in clauses (a) through (c) above of any partnership or joint venture (other than a joint venture that is itself a corporation or limited liability company) in which such Person or a Subsidiary thereof is a general partner or joint venturer,</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Indebtedness is expressly made non-recourse to such Person or such Subsidiary.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of any Loan Party under any Loan Document and (b) to the extent not otherwise described in (a), Other Taxes.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Brokerage Subsidiary</w:t>
      </w:r>
      <w:r>
        <w:rPr>
          <w:rFonts w:ascii="Times New Roman" w:cs="Times New Roman" w:eastAsia="Times New Roman" w:hAnsi="Times New Roman"/>
          <w:sz w:val="18"/>
          <w:szCs w:val="18"/>
          <w:color w:val="auto"/>
        </w:rPr>
        <w:t>” means the Borrower and any Subsidiary of the Borrower which is licensed by any Governmental Authority to engage in insurance brokerage.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License</w:t>
      </w:r>
      <w:r>
        <w:rPr>
          <w:rFonts w:ascii="Times New Roman" w:cs="Times New Roman" w:eastAsia="Times New Roman" w:hAnsi="Times New Roman"/>
          <w:sz w:val="18"/>
          <w:szCs w:val="18"/>
          <w:color w:val="auto"/>
        </w:rPr>
        <w:t>” means any license, certificate of authority, permit or other authorization which is required to be obtained from any Governmental Authority in connection with the operation, ownership or transaction of insurance or reinsurance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Eurodollar Rate Loan, the last day of each Interest Period applicable to such Loan and the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Revolving Loan Maturity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3" w:lineRule="exact"/>
        <w:rPr>
          <w:sz w:val="20"/>
          <w:szCs w:val="20"/>
          <w:color w:val="auto"/>
        </w:rPr>
      </w:pPr>
    </w:p>
    <w:p>
      <w:pPr>
        <w:jc w:val="both"/>
        <w:ind w:left="660" w:firstLine="645"/>
        <w:spacing w:after="0" w:line="297" w:lineRule="auto"/>
        <w:tabs>
          <w:tab w:leader="none" w:pos="2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with respect to any Revolving Loan shall extend beyond the Revolving Loan Maturity Date.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5.01(c)(iii)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Service</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Disposition</w:t>
      </w:r>
      <w:r>
        <w:rPr>
          <w:rFonts w:ascii="Times New Roman" w:cs="Times New Roman" w:eastAsia="Times New Roman" w:hAnsi="Times New Roman"/>
          <w:sz w:val="18"/>
          <w:szCs w:val="18"/>
          <w:color w:val="auto"/>
        </w:rPr>
        <w:t>” means any loss of, damage to or destruction of, or any condemnation or other taking for public use of, any property of any Loan Party or any of its Subsidiaries.</w:t>
      </w:r>
    </w:p>
    <w:p>
      <w:pPr>
        <w:sectPr>
          <w:pgSz w:w="11900" w:h="16838" w:orient="portrait"/>
          <w:cols w:equalWidth="0" w:num="1">
            <w:col w:w="11420"/>
          </w:cols>
          <w:pgMar w:left="240" w:top="580" w:right="2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L/C Issuer and the Borrower (or any Subsidiary) or in favor of the L/C Issuer and relating to any such Letter of Credit.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JPMS</w:t>
      </w:r>
      <w:r>
        <w:rPr>
          <w:rFonts w:ascii="Times New Roman" w:cs="Times New Roman" w:eastAsia="Times New Roman" w:hAnsi="Times New Roman"/>
          <w:sz w:val="18"/>
          <w:szCs w:val="18"/>
          <w:color w:val="auto"/>
        </w:rPr>
        <w:t>” means J.P. Morgan Securities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Borrowing of Revolving Loans.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Bank of America in its capacity as issuer of Letters of Credit hereunder, or any successor issuer of Letters of Credit 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each of the Persons identified as a “Lender” on the signature pages hereto and their successors and assigns each Person that executes a lender joinder agreement or commitment agreement in accordance with </w:t>
      </w:r>
      <w:r>
        <w:rPr>
          <w:rFonts w:ascii="Times New Roman" w:cs="Times New Roman" w:eastAsia="Times New Roman" w:hAnsi="Times New Roman"/>
          <w:sz w:val="18"/>
          <w:szCs w:val="18"/>
          <w:u w:val="single" w:color="auto"/>
          <w:color w:val="auto"/>
        </w:rPr>
        <w:t>Section 2.16(d)(i)</w:t>
      </w:r>
      <w:r>
        <w:rPr>
          <w:rFonts w:ascii="Times New Roman" w:cs="Times New Roman" w:eastAsia="Times New Roman" w:hAnsi="Times New Roman"/>
          <w:sz w:val="18"/>
          <w:szCs w:val="18"/>
          <w:color w:val="auto"/>
        </w:rPr>
        <w:t xml:space="preserve"> and, as the context requires, includes the Swing Line Lender.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providing for the payment of cash upon the honoring of a presentation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thirty days prior to the Revolving Loan Maturity Date then in effect (or, if such day is not a Business Day, the next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the Aggregate Revolving Commitments and (b) $15,000,000. The Letter of Credit Sublimit is part of, and not in addition to, the Aggregate Revolving Commitments.</w:t>
      </w:r>
    </w:p>
    <w:p>
      <w:pPr>
        <w:sectPr>
          <w:pgSz w:w="11900" w:h="16838" w:orient="portrait"/>
          <w:cols w:equalWidth="0" w:num="1">
            <w:col w:w="11420"/>
          </w:cols>
          <w:pgMar w:left="240" w:top="580" w:right="2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has the meaning specified in the definition of “Eurodollar Base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7" w:lineRule="exact"/>
        <w:rPr>
          <w:sz w:val="20"/>
          <w:szCs w:val="20"/>
          <w:color w:val="auto"/>
        </w:rPr>
      </w:pPr>
    </w:p>
    <w:p>
      <w:pPr>
        <w:jc w:val="both"/>
        <w:ind w:left="660" w:firstLine="1297"/>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means, as of any date of determination, on an aggregate basis for all Loan Parties, the sum of (a) unrestricted and unencumbered (other than by (x) Liens in favor of the Administrative Agent or (y) statutory Liens in favor of banks solely to the extent permitted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cash and (c) unused Revolving Commitments then available to be borrowed by the Borrower.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Loan or Swing Line Loan.</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Note, each Issuer Document, each Guarantor Joinder Agreement,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this Agreement, each Auto Borrow Agreement, each Collateral Document, the Fee Letter and any other agreement, instrument or document designated by its terms as a “Loan Document” (but specifically excluding Secured Swap Agreements and Secured Treasury Management Agreements).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Borrowing of Loans, (b) a conversion of Loans from one Type to the other, or (c) a continuation of Eurodollar Rate Loans, in each case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2.02</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dealings in Dollar deposits are conducted by and between banks in the London interbank eurodollar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specified in the definition of “Swap Contract”.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assets, liabilities (actual or contingent) or condition (financial or otherwise) of the Loan Parties and their respective Subsidiaries taken as a whole; (b) a material impairment of the rights and remedies of the Administrative Agent or any Lender under any Loan Document to which it is a party; (c) a material impairment of the ability of the Loan Parties taken as a whole to perform their material obligations under any Loan Document to which they are a party; or (d) a material adverse effect upon the legality, validity, binding effect or enforceability against any Loan Party of any Loan Document to which it is a party or any Loan Party shall challenge the legality, validity, binding effect or enforceability against such Loan Party of any Loan Document to which it is a party.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means any Domestic Subsidiary of the Borrower that, when taken together with all other Domestic Subsidiaries of the Borrower that are not Guarantors, (a) has at least 5.0% or more of the total assets of the Borrower and its Subsidiaries on a consolidated basis or (b) contributes at least 5.0% or more of Consolidated EBITDA of the Borrower and its Subsidiaries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Insurance Brokerage Subsidiary</w:t>
      </w:r>
      <w:r>
        <w:rPr>
          <w:rFonts w:ascii="Times New Roman" w:cs="Times New Roman" w:eastAsia="Times New Roman" w:hAnsi="Times New Roman"/>
          <w:sz w:val="18"/>
          <w:szCs w:val="18"/>
          <w:color w:val="auto"/>
        </w:rPr>
        <w:t>” means any Insurance Brokerage Subsidiary that is a Material Domestic Subsidiary.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an amount equal to 102% of the Outstanding Amount of all L/C Obligations, and (c) otherwise, an amount determined by the Administrative Agent and the L/C Issuer in their sole discretion.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MLPFS</w:t>
      </w:r>
      <w:r>
        <w:rPr>
          <w:rFonts w:ascii="Times New Roman" w:cs="Times New Roman" w:eastAsia="Times New Roman" w:hAnsi="Times New Roman"/>
          <w:sz w:val="18"/>
          <w:szCs w:val="18"/>
          <w:color w:val="auto"/>
        </w:rPr>
        <w:t>” means Merrill Lynch, Pierce, Fenner &amp; Smith Incorporated.</w:t>
      </w:r>
    </w:p>
    <w:p>
      <w:pPr>
        <w:sectPr>
          <w:pgSz w:w="11900" w:h="16838" w:orient="portrait"/>
          <w:cols w:equalWidth="0" w:num="1">
            <w:col w:w="11420"/>
          </w:cols>
          <w:pgMar w:left="240" w:top="580" w:right="2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means the mortgages, deeds of trust or deeds to secure debt that purport to grant to the Administrative Agent, for the benefit of the holders of the Obligations, a security interest in the fee interest and/or leasehold interests of any Loan Party in real property (other than Excluded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NAIC</w:t>
      </w:r>
      <w:r>
        <w:rPr>
          <w:rFonts w:ascii="Times New Roman" w:cs="Times New Roman" w:eastAsia="Times New Roman" w:hAnsi="Times New Roman"/>
          <w:sz w:val="18"/>
          <w:szCs w:val="18"/>
          <w:color w:val="auto"/>
        </w:rPr>
        <w:t>” means the National Association of Insurance Commissioners and any successor thereto.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the aggregate cash or Cash Equivalents proceeds received by any Loan Party or any Subsidiary in respect of any Equity Issuance or Debt Issuance, net of (a) direct costs incurred in connection therewith (including, without limitation, legal, accounting and investment banking fees, and sales commissions) and (b) taxes paid or payable as a result thereof; it being understood that “Net Cash Proceeds” shall include, without limitation, any cash or Cash Equivalents received upon the sale or other disposition of any non-cash consideration received by any Loan Party or any Subsidiary in any Equity Issuance or Debt Issuance.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Revolving Notes and the Swing Line Note, individually or collectively, as appropriate.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in substantially the form of </w:t>
      </w:r>
      <w:r>
        <w:rPr>
          <w:rFonts w:ascii="Times New Roman" w:cs="Times New Roman" w:eastAsia="Times New Roman" w:hAnsi="Times New Roman"/>
          <w:sz w:val="18"/>
          <w:szCs w:val="18"/>
          <w:u w:val="single" w:color="auto"/>
          <w:color w:val="auto"/>
        </w:rPr>
        <w:t>Exhibit 2.05</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with respect to the Borrower and each Guarantor, (a) all advances to, and debts, liabilities, obligations, covenants and duties of, any Loan Party arising under any Loan Document or otherwise with respect to any Loan or Letter of Credit, and (b) all obligations of any Loan Party owing to a Treasury Management Bank or a Swap Bank in respect of Secured Treasury Management Agreements or Secured Swap Agreements, in the case of each of clauses (a) and (b),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a Guarantor shall exclude any Excluded Swap Obligations with respect to such Guarantor.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w:t>
      </w:r>
    </w:p>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under, engaged in any other transaction pursuant to or enforced any Loan Document, or sold or assigned an interest in any Loan or Loan Document).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minimum funding standards under Section 412 of the Internal Revenue Code.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means Investments consisting of an Acquisition by any Loan Party of the assets or a majority of the Equity Interests, or any division, line of business or other business unit of, any Person formed or organized under the laws of the United States (including any state, commonwealth or territory thereof and the District of Columbia)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no Default shall have occurred and be continuing or would result from such Acquisition, (b) the property acquired (or the property of the Person acquired) in such Acquisition is used or useful in the same or a related line of business as the Borrower and its Subsidiaries were engaged in on the Closing Date (or any reasonable extensions or expansions thereof), (c) the Administrative Agent shall have received all items in respect of the Equity Interests or property acquired in such Acquisition required to be delivered by the terms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(d) in the case of an Acquisition of the Equity Interests of another Person, the board of directors (or other comparable governing body) of such other Person shall have duly approved such Acquisition, (e) with respect to any Acquisition for which the consideration to be paid by the Borrower and its Subsidiaries is at least $2,000,000, the Borrower shall have delivered to the Administrative Agent at least five (5) Business Days (or such shorter time as may be agreed by the Administrative Agent in its sole discretion) prior to such Acquisition a Pro Forma Compliance Certificate demonstrating that, upon giving Pro Forma Effect to such Acquisition, the Loan Parties would be in compliance with the financial covenants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 the Borrower shall have delivered (or caused to be delivered) to the Administrative Agent financial statements of the Target for the twelve month period ending as of the most recent fiscal quarter in a form satisfactory to the Administrative Agent, (g) the Target shall have earnings before interest, taxes, depreciation and amortization greater than zero either (1) based on actual financial results of the Target for the period of four (4) fiscal quarters of the Target most recently ended prior to such Acquisition or (2) after giving effect to Pro Forma Cost Savings on a Pro Forma Basis (using the financial results of the Target for the period of four (4) fiscal quarters of the Target most recently ended prior to such Acquisition), (h) the representations and warranties made by the Loan Parties in each Loan Document shall be true and correct in all material respects (and in all respects if any such representation or warranty is already qualified by materiality or reference to Material Adverse Effect) at and as if made as of the date of such Acquisition (after giving effect thereto) except to the extent such representations and warranties expressly relate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be deemed to refer to the most recent statements furnished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 of</w:t>
      </w:r>
    </w:p>
    <w:p>
      <w:pPr>
        <w:sectPr>
          <w:pgSz w:w="11900" w:h="16838" w:orient="portrait"/>
          <w:cols w:equalWidth="0" w:num="1">
            <w:col w:w="11420"/>
          </w:cols>
          <w:pgMar w:left="240" w:top="580" w:right="2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 if such transaction involves the purchase of an interest in a partnership between the Borrower (or a Subsidiary) as a general partner and entities unaffiliated with the Borrower or such Subsidiary as the other partners, such transaction shall be effected by having such equity interest acquired by a corporate holding company directly or indirectly wholly-owned by the Borrower newly formed for the sole purpose of effecting such transaction, (j) immediately after giving effect to such Acquisition, there shall be at least $5,000,000 of Liquidity and (k) the aggregate cash and non-cash consideration (including any assumption of Indebtedness, deferred purchase price and any Earn Out Obligations and any equity consideration) paid by the Borrower and its Subsidiaries for any such Acquisition shall not exceed $30,000,000.</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at any time, Liens in respect of property of any Loan Party or any of its Subsidiaries permitted to exist at such time pursuant to the terms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Spin-Off Transaction</w:t>
      </w:r>
      <w:r>
        <w:rPr>
          <w:rFonts w:ascii="Times New Roman" w:cs="Times New Roman" w:eastAsia="Times New Roman" w:hAnsi="Times New Roman"/>
          <w:sz w:val="18"/>
          <w:szCs w:val="18"/>
          <w:color w:val="auto"/>
        </w:rPr>
        <w:t>” means the distribution of the Equity Interests of the Borrower to the beneficial owners of Holdings (which, for purposes of this definition, shall be deemed to include the then existing holders of Fidelity National Financial Ventures, LLC tracking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xml:space="preserve">” means, in respect of a Specified Transaction, that such Specified Transaction and the following transactions in connection therewith (to the extent applicable) shall be deemed to have occurred as of the first day of the applicable period of measurement for the applicable covenant or requirement: (a) (i) with respect to any Disposition, Involuntary Disposition or sale, transfer or other disposition that results in a Person ceasing to be a Subsidiary,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Holdings and its Subsidiaries in accordance with GAAP or in accordance with any defined terms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(B) such items are supported by financial statements or other information satisfactory to the Administrative Agent, (b) any retirement of Indebtedness and (c) any incurrence or assumption of Indebtedness by the Borrower or any Subsidiary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 Pro Forma Basis, Pro Forma Compliance and Pro Forma Effect in respect of any Specified Transaction shall be calculated in a reasonable and factually supportable manner and certified by a Responsible Officer of the Borrower and (y) any such calculation shall be subject to the applicable limitations set forth in the definition of Consolidated EBITDA.</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Compliance Certificate</w:t>
      </w:r>
      <w:r>
        <w:rPr>
          <w:rFonts w:ascii="Times New Roman" w:cs="Times New Roman" w:eastAsia="Times New Roman" w:hAnsi="Times New Roman"/>
          <w:sz w:val="18"/>
          <w:szCs w:val="18"/>
          <w:color w:val="auto"/>
        </w:rPr>
        <w:t xml:space="preserve">” means a certificate of a Responsible Officer of the Borrower containing reasonably detailed calculations of the Consolidated Leverage Ratio and the Consolidated Fixed Charge Coverage Ratio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after giving Pro Forma Effect to the applicable Specified Transaction.</w:t>
      </w:r>
    </w:p>
    <w:p>
      <w:pPr>
        <w:spacing w:after="0" w:line="203" w:lineRule="exact"/>
        <w:rPr>
          <w:sz w:val="20"/>
          <w:szCs w:val="20"/>
          <w:color w:val="auto"/>
        </w:rPr>
      </w:pPr>
    </w:p>
    <w:p>
      <w:pPr>
        <w:jc w:val="both"/>
        <w:ind w:left="660" w:firstLine="1297"/>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Cost Savings</w:t>
      </w:r>
      <w:r>
        <w:rPr>
          <w:rFonts w:ascii="Times New Roman" w:cs="Times New Roman" w:eastAsia="Times New Roman" w:hAnsi="Times New Roman"/>
          <w:sz w:val="18"/>
          <w:szCs w:val="18"/>
          <w:color w:val="auto"/>
        </w:rPr>
        <w:t>” means, in the case of a consummated Permitted Acquisition, net cost savings and/or net operating expense reductions that (a) result from the severance of personnel or discontinuance of operations or other activities for which (or to the extent) replacement personnel, operations or activities are not hired or not conducted, respectively and (b) have been taken or will be taken within the 12-month period after the date of such Permitted Acquisition and prior to the end of such period.</w:t>
      </w:r>
    </w:p>
    <w:p>
      <w:pPr>
        <w:spacing w:after="0" w:line="2"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Profits Interest Plan</w:t>
      </w:r>
      <w:r>
        <w:rPr>
          <w:rFonts w:ascii="Times New Roman" w:cs="Times New Roman" w:eastAsia="Times New Roman" w:hAnsi="Times New Roman"/>
          <w:sz w:val="18"/>
          <w:szCs w:val="18"/>
          <w:color w:val="auto"/>
        </w:rPr>
        <w:t>” means the senior management bonus plan of Holdings established as of December 31, 2012, as the same may be amended from time to time with the reasonable consent of the Required Lenders (or without such consent to the extent such amendment is not adverse to the Lenders).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qualified at such time as an “eligible contract participant” under the Commodity Exchange Act and can cause another Person to qualify as an “eligible contract participant” at such time under Section 1a(18)(A)(v)(II) of the Commodity Exchange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IPO</w:t>
      </w:r>
      <w:r>
        <w:rPr>
          <w:rFonts w:ascii="Times New Roman" w:cs="Times New Roman" w:eastAsia="Times New Roman" w:hAnsi="Times New Roman"/>
          <w:sz w:val="18"/>
          <w:szCs w:val="18"/>
          <w:color w:val="auto"/>
        </w:rPr>
        <w:t>” means an underwritten primary public offering of the common stock of the Borrower (a) pursuant to an effective registration statement filed with the United States Securities and Exchange Commission in accordance with the Securities Act (whether alone or in conjunction with a secondary public offering) and (b) resulting in gross proceeds of at least $35,000,000.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Security Documents</w:t>
      </w:r>
      <w:r>
        <w:rPr>
          <w:rFonts w:ascii="Times New Roman" w:cs="Times New Roman" w:eastAsia="Times New Roman" w:hAnsi="Times New Roman"/>
          <w:sz w:val="18"/>
          <w:szCs w:val="18"/>
          <w:color w:val="auto"/>
        </w:rPr>
        <w:t>” means with respect to the fee interest of any Loan Party in any real property:</w:t>
      </w:r>
    </w:p>
    <w:p>
      <w:pPr>
        <w:spacing w:after="0" w:line="225" w:lineRule="exact"/>
        <w:rPr>
          <w:sz w:val="20"/>
          <w:szCs w:val="20"/>
          <w:color w:val="auto"/>
        </w:rPr>
      </w:pPr>
    </w:p>
    <w:p>
      <w:pPr>
        <w:ind w:left="1680" w:hanging="375"/>
        <w:spacing w:after="0"/>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and notarized Mortgage encumbering the fee interest of such Loan Party in such real property;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in its sole discretion, maps or plats of an as-built survey of the sites of such real property certified to the Administrative Agent and the title insurance company issuing the policies referred to in clause (c) of this definition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ALTA mortgagee title insurance policies issued by a title insurance company reasonably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reasonably satisfactory to the Administrative Agent and shall include such endorsements as are reasonably requested by the Administrative Agent;</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6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and delivery of a Mortgage to the Administrative Agent or any Lender, evidence as to (i) whether such real property is in an area designated by the Federal Emergency Management Agency as having special flood or mud slide hazards (a “</w:t>
      </w:r>
      <w:r>
        <w:rPr>
          <w:rFonts w:ascii="Times New Roman" w:cs="Times New Roman" w:eastAsia="Times New Roman" w:hAnsi="Times New Roman"/>
          <w:sz w:val="18"/>
          <w:szCs w:val="18"/>
          <w:u w:val="single" w:color="auto"/>
          <w:color w:val="auto"/>
        </w:rPr>
        <w:t>Flood Hazard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including documentation and information sufficient to obtain a standard life of loan flood hazard determination certificate issued by a flood hazard certification firm acceptable to the Administrative Agent and the Lenders and (ii) if such real property is a Flood Hazard Property,</w:t>
      </w:r>
    </w:p>
    <w:p>
      <w:pPr>
        <w:spacing w:after="0" w:line="2"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community in which such real property is located is participating in the National Flood Insurance Program, (B) the applicable Loan Party’s written acknowledgment of receipt of written notification from the Administrative Agent (1) as to the fact that such real property is a Flood Hazard Property and (2) as to whether the community in which each such Flood Hazard Property is located is participating in the National Flood Insurance Program and (C) copies of (x) insurance policies of Holdings and its Subsidiaries, (y) the applicable Loan Party’s application for a flood insurance policy plus proof of premium payment, or (z) a declaration page evidencing flood insurance satisfactory to the Administrative Agent and naming the Administrative Agent and its successors and/or assigns as sole loss payee on behalf of the Lenders, all as required by applicable law;</w:t>
      </w:r>
    </w:p>
    <w:p>
      <w:pPr>
        <w:spacing w:after="0" w:line="19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2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in its sole discretion, an environmental assessment report, as to such real property, in form and substance and from professional firms acceptable to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6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 and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sectPr>
          <w:pgSz w:w="11900" w:h="16838" w:orient="portrait"/>
          <w:cols w:equalWidth="0" w:num="1">
            <w:col w:w="11420"/>
          </w:cols>
          <w:pgMar w:left="240" w:top="580" w:right="2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thirty-day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or chief financial officer of the Borrower and, solely for purposes of the delivery of certificates pursuant to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7.12(b)</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each case, in form and substance satisfactory to the Administrative Agent.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of any Loan Party or any Subsidiary, or any payment (whether in cash, securities or other property), including any sinking fund or similar deposit, on account of the purchase, redemption, retirement, acquisition, cancellation or termination of any such Equity Interests or on account of any return of capital to the Borrower’s stockholders, partners or members (or the equivalent Person thereof), or any setting apart of funds or property for any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as to each Lender, its obligation to (a) make Revolving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its outstanding Revolving Loans and such Lender’s participation in L/C Obligations and Swing Line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 Maturity Date</w:t>
      </w:r>
      <w:r>
        <w:rPr>
          <w:rFonts w:ascii="Times New Roman" w:cs="Times New Roman" w:eastAsia="Times New Roman" w:hAnsi="Times New Roman"/>
          <w:sz w:val="18"/>
          <w:szCs w:val="18"/>
          <w:color w:val="auto"/>
        </w:rPr>
        <w:t>” means March 31,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Note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with respect to any Loan Party or any Subsidiary, any arrangement, directly or indirectly, with any Person whereby the Loan Party or such Subsidiary shall sell or transfer any property used or useful in its</w:t>
      </w:r>
    </w:p>
    <w:p>
      <w:pPr>
        <w:sectPr>
          <w:pgSz w:w="11900" w:h="16838" w:orient="portrait"/>
          <w:cols w:equalWidth="0" w:num="1">
            <w:col w:w="11420"/>
          </w:cols>
          <w:pgMar w:left="240" w:top="580" w:right="2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business, whether now owned or hereafter acquired, and thereafter rent or lease such property or other property that it intends to use for substantially the same purpose or purposes as the property being sold or transferred.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or trade embargo administered or enforced by the United States Government (including without limitation, OFAC), the United Nations Security Council, the European Union or Her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with jurisdiction over the Loan Parties and their respective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Party Designation Notice</w:t>
      </w:r>
      <w:r>
        <w:rPr>
          <w:rFonts w:ascii="Times New Roman" w:cs="Times New Roman" w:eastAsia="Times New Roman" w:hAnsi="Times New Roman"/>
          <w:sz w:val="18"/>
          <w:szCs w:val="18"/>
          <w:color w:val="auto"/>
        </w:rPr>
        <w:t xml:space="preserve">” means a notice from any Lender or an Affiliate of a Lender substantially in the form of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between any Loan Party and any Swap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“Secured Swap Agreement” on any date of determination by the Administrative Agent, the applicable Swap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Treasury Management Agreement</w:t>
      </w:r>
      <w:r>
        <w:rPr>
          <w:rFonts w:ascii="Times New Roman" w:cs="Times New Roman" w:eastAsia="Times New Roman" w:hAnsi="Times New Roman"/>
          <w:sz w:val="18"/>
          <w:szCs w:val="18"/>
          <w:color w:val="auto"/>
        </w:rPr>
        <w:t xml:space="preserve">” means any Treasury Management Agreement between any Loan Party and any Treasury Management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of the foregoing to be included as a “Secured Treasury Management Agreement” on any date of determination by the Administrative Agent, the applicable Treasury Management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and Pledge Agreement</w:t>
      </w:r>
      <w:r>
        <w:rPr>
          <w:rFonts w:ascii="Times New Roman" w:cs="Times New Roman" w:eastAsia="Times New Roman" w:hAnsi="Times New Roman"/>
          <w:sz w:val="18"/>
          <w:szCs w:val="18"/>
          <w:color w:val="auto"/>
        </w:rPr>
        <w:t>” means the security and pledge agreement dated as of the Closing Date executed in favor of the Administrative Agent, for the benefit of the holders of the Obligations, by each of the Loan Parties, as amended or modified from time to time in accordance with the terms 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 any Acquisition, any Disposition, any sale, transfer or other disposition that results in a Person ceasing to be a Subsidiary, any Involuntary Disposition, any Investment that results in a Person becoming a Subsidiary, in each case, whether by merger, consolidation or otherwise, or any incurrence or repayment of Indebtedness or (b) any other event that by the terms of the Loan Documents requires Pro Forma Compliance with a test or covenant or requires such test or covenant to be calculated on a Pro Forma Basis.</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Indebtedness of the Borrower or any Subsidiary which by its terms is subordinated to the Obligations in a manner and to an extent acceptable to the Administrative Agent.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w:t>
      </w:r>
    </w:p>
    <w:p>
      <w:pPr>
        <w:sectPr>
          <w:pgSz w:w="11900" w:h="16838" w:orient="portrait"/>
          <w:cols w:equalWidth="0" w:num="1">
            <w:col w:w="11420"/>
          </w:cols>
          <w:pgMar w:left="240" w:top="580" w:right="239" w:bottom="1440" w:gutter="0" w:footer="0" w:header="0"/>
        </w:sectPr>
      </w:pPr>
    </w:p>
    <w:bookmarkStart w:id="67" w:name="page68"/>
    <w:bookmarkEnd w:id="6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controlled, directly, or indirectly through one or more intermediaries, or both, by such Person. Unless otherwise specified, all references herein to a “Subsidiary” or to “Subsidiaries” shall refer to a Subsidiary or Subsidiaries of the Borrower.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Bank</w:t>
      </w:r>
      <w:r>
        <w:rPr>
          <w:rFonts w:ascii="Times New Roman" w:cs="Times New Roman" w:eastAsia="Times New Roman" w:hAnsi="Times New Roman"/>
          <w:sz w:val="18"/>
          <w:szCs w:val="18"/>
          <w:color w:val="auto"/>
        </w:rPr>
        <w:t>” means any Person that (a) at the time it enters into a Swap Contract, is a Lender or the Administrative Agent or an Affiliate of a Lender or the Administrative Agent, (b) in the case of any Swap Contract in effect on or prior to the Closing Date, is, as of the Closing Date or within 30 days thereafter, a Lender or the Administrative Agent or an Affiliate of a Lender or the Administrative Agent and a party to a Swap Contract or (c) within 30 days after the time it enters into the applicable Swap Contract, becomes a Lender, the Administrative Agent or an Affiliate of a Lender or the Administrative Agent, in each case, in its capacity as a party to such Swap Contract.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Borrowing of Swing Line Loans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2.04</w:t>
      </w:r>
      <w:r>
        <w:rPr>
          <w:rFonts w:ascii="Times New Roman" w:cs="Times New Roman" w:eastAsia="Times New Roman" w:hAnsi="Times New Roman"/>
          <w:sz w:val="18"/>
          <w:szCs w:val="18"/>
          <w:color w:val="auto"/>
        </w:rPr>
        <w:t xml:space="preserve"> or such other form as is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the Aggregate Revolving Commitments and (b) $10,000,000. The Swing Line Sublimit is part of, and not in addition to, the Aggregate Revolving Commitments.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has the meaning specified in the definition of “Permitted Acquisition”.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$7,500,000.</w:t>
      </w:r>
    </w:p>
    <w:p>
      <w:pPr>
        <w:sectPr>
          <w:pgSz w:w="11900" w:h="16838" w:orient="portrait"/>
          <w:cols w:equalWidth="0" w:num="1">
            <w:col w:w="11420"/>
          </w:cols>
          <w:pgMar w:left="240" w:top="580" w:right="2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and Revolving Credit Exposure of such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Outstandings</w:t>
      </w:r>
      <w:r>
        <w:rPr>
          <w:rFonts w:ascii="Times New Roman" w:cs="Times New Roman" w:eastAsia="Times New Roman" w:hAnsi="Times New Roman"/>
          <w:sz w:val="18"/>
          <w:szCs w:val="18"/>
          <w:color w:val="auto"/>
        </w:rPr>
        <w:t>” means the aggregate Outstanding Amount of all Revolving Loans, all Swing Line Loans and all L/C Obligations.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Agreement</w:t>
      </w:r>
      <w:r>
        <w:rPr>
          <w:rFonts w:ascii="Times New Roman" w:cs="Times New Roman" w:eastAsia="Times New Roman" w:hAnsi="Times New Roman"/>
          <w:sz w:val="18"/>
          <w:szCs w:val="18"/>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Bank</w:t>
      </w:r>
      <w:r>
        <w:rPr>
          <w:rFonts w:ascii="Times New Roman" w:cs="Times New Roman" w:eastAsia="Times New Roman" w:hAnsi="Times New Roman"/>
          <w:sz w:val="18"/>
          <w:szCs w:val="18"/>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any Loan, its character as a Base Rate Loan or a Eurodollar Rate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Letter of Credit, the Uniform Customs and Practice for Documentary Credits,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89" w:lineRule="exact"/>
        <w:rPr>
          <w:sz w:val="20"/>
          <w:szCs w:val="20"/>
          <w:color w:val="auto"/>
        </w:rPr>
      </w:pPr>
    </w:p>
    <w:p>
      <w:pPr>
        <w:ind w:left="1300"/>
        <w:spacing w:after="0"/>
        <w:tabs>
          <w:tab w:leader="none" w:pos="1980" w:val="left"/>
          <w:tab w:leader="none" w:pos="4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Other Interpretive Provisions.1.02</w:t>
      </w:r>
      <w:r>
        <w:rPr>
          <w:sz w:val="20"/>
          <w:szCs w:val="20"/>
          <w:color w:val="auto"/>
        </w:rPr>
        <w:tab/>
      </w:r>
      <w:r>
        <w:rPr>
          <w:rFonts w:ascii="Times New Roman" w:cs="Times New Roman" w:eastAsia="Times New Roman" w:hAnsi="Times New Roman"/>
          <w:sz w:val="17"/>
          <w:szCs w:val="17"/>
          <w:u w:val="single" w:color="auto"/>
          <w:color w:val="auto"/>
        </w:rPr>
        <w:t>Other Interpretive Provisions..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reference to this Agreement and each other Loan Document, unless otherwise specified herein or in such other Loan Document:</w:t>
      </w:r>
    </w:p>
    <w:p>
      <w:pPr>
        <w:spacing w:after="0" w:line="247" w:lineRule="exact"/>
        <w:rPr>
          <w:sz w:val="20"/>
          <w:szCs w:val="20"/>
          <w:color w:val="auto"/>
        </w:rPr>
      </w:pPr>
    </w:p>
    <w:p>
      <w:pPr>
        <w:jc w:val="both"/>
        <w:ind w:left="660" w:firstLine="645"/>
        <w:spacing w:after="0" w:line="300" w:lineRule="auto"/>
        <w:tabs>
          <w:tab w:leader="none" w:pos="21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“without limitation.”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w:t>
      </w:r>
    </w:p>
    <w:p>
      <w:pPr>
        <w:sectPr>
          <w:pgSz w:w="11900" w:h="16838" w:orient="portrait"/>
          <w:cols w:equalWidth="0" w:num="1">
            <w:col w:w="11420"/>
          </w:cols>
          <w:pgMar w:left="240" w:top="580" w:right="239" w:bottom="1440" w:gutter="0" w:footer="0" w:header="0"/>
        </w:sectPr>
      </w:pPr>
    </w:p>
    <w:bookmarkStart w:id="69" w:name="page70"/>
    <w:bookmarkEnd w:id="69"/>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real and personal property and tangible and intangible assets and properties, including cash, securities, accounts and contract rights.</w:t>
      </w:r>
    </w:p>
    <w:p>
      <w:pPr>
        <w:spacing w:after="0" w:line="2" w:lineRule="exact"/>
        <w:rPr>
          <w:sz w:val="20"/>
          <w:szCs w:val="20"/>
          <w:color w:val="auto"/>
        </w:rPr>
      </w:pPr>
    </w:p>
    <w:p>
      <w:pPr>
        <w:ind w:left="660" w:firstLine="645"/>
        <w:spacing w:after="0" w:line="297" w:lineRule="auto"/>
        <w:tabs>
          <w:tab w:leader="none" w:pos="21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“from and including;”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“to but excluding;”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“to and including.”</w:t>
      </w:r>
    </w:p>
    <w:p>
      <w:pPr>
        <w:ind w:left="660" w:firstLine="645"/>
        <w:spacing w:after="0" w:line="297" w:lineRule="auto"/>
        <w:tabs>
          <w:tab w:leader="none" w:pos="21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 w:lineRule="exact"/>
        <w:rPr>
          <w:sz w:val="20"/>
          <w:szCs w:val="20"/>
          <w:color w:val="auto"/>
        </w:rPr>
      </w:pPr>
    </w:p>
    <w:p>
      <w:pPr>
        <w:ind w:left="660"/>
        <w:spacing w:after="0"/>
        <w:tabs>
          <w:tab w:leader="none" w:pos="1320" w:val="left"/>
          <w:tab w:leader="none" w:pos="3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Accounting Terms.1.03</w:t>
      </w:r>
      <w:r>
        <w:rPr>
          <w:sz w:val="20"/>
          <w:szCs w:val="20"/>
          <w:color w:val="auto"/>
        </w:rPr>
        <w:tab/>
      </w:r>
      <w:r>
        <w:rPr>
          <w:rFonts w:ascii="Times New Roman" w:cs="Times New Roman" w:eastAsia="Times New Roman" w:hAnsi="Times New Roman"/>
          <w:sz w:val="17"/>
          <w:szCs w:val="17"/>
          <w:u w:val="single" w:color="auto"/>
          <w:color w:val="auto"/>
        </w:rPr>
        <w:t>Accounting Terms..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calculations of Attributable Indebtedness under any Synthetic Lease or the implied interest component of any Synthetic Lease shall be made by the Borrower in accordance with accepted financial practice and consistent with the terms of such Synthetic Lease. Notwithstanding the foregoing, for purposes of determining compliance with any covenant (including the computation of any financial covenant) contained herein, Indebtedness of Holdings and its Subsidiaries shall be deemed to be carried at 100% of the outstanding principal amount thereof, and the effects of FASB ASC 825 and FASB ASC 470-20 on financial liabilities shall be disregarded.</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5" w:lineRule="auto"/>
        <w:tabs>
          <w:tab w:leader="none" w:pos="21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The Borrower will provide a written summary of material changes in GAAP and in the consistent application thereof with each annual and quarterly Compliance Certificate delivered in accordance with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xml:space="preserve">. Notwithstanding anything to the contrary contained herein, all calculations of the Consolidated Leverage Ratio (including for purposes of determining the Applicable Rate) (but not the Consolidated Fixed Charge Coverage Ratio) shall be made on a Pro Forma Basis with respect to all Specified Transactions occurring during the applicable four quarter period to which such calculation relates, and/or subsequent to the end of such four quarter period but not later than the date of such calculation;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notwithstanding the foregoing, when calculating the Consolidated Leverage Ratio for purposes of determining (x) compliance with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and/or (y) the Applicable Rate, any Specified Transaction and any related adjustment contemplated in the definition of Pro Forma Basis that occurred subsequent to the end of the applicable four quarter period shall not be given Pro Forma Effect.</w:t>
      </w:r>
    </w:p>
    <w:p>
      <w:pPr>
        <w:spacing w:after="0" w:line="19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of Variable Interest Entities</w:t>
      </w:r>
      <w:r>
        <w:rPr>
          <w:rFonts w:ascii="Times New Roman" w:cs="Times New Roman" w:eastAsia="Times New Roman" w:hAnsi="Times New Roman"/>
          <w:sz w:val="18"/>
          <w:szCs w:val="18"/>
          <w:color w:val="auto"/>
        </w:rPr>
        <w:t>. All references herein to consolidated financial statements of Holdings and its Subsidiaries or to the determination of any amount for Holdings and its Subsidiaries on a consolidated basis or any similar reference shall, in each case, be deemed to include each variable interest entity that Holdings is required to consolidate pursuant to FASB ASC 810 as if such variable interest entity were a Subsidiary as defined herein.</w:t>
      </w:r>
    </w:p>
    <w:p>
      <w:pPr>
        <w:spacing w:after="0" w:line="207" w:lineRule="exact"/>
        <w:rPr>
          <w:sz w:val="20"/>
          <w:szCs w:val="20"/>
          <w:color w:val="auto"/>
        </w:rPr>
      </w:pPr>
    </w:p>
    <w:p>
      <w:pPr>
        <w:ind w:left="2000" w:hanging="695"/>
        <w:spacing w:after="0"/>
        <w:tabs>
          <w:tab w:leader="none" w:pos="2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Rounding.1.04  Rounding..</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ectPr>
          <w:pgSz w:w="11900" w:h="16838" w:orient="portrait"/>
          <w:cols w:equalWidth="0" w:num="1">
            <w:col w:w="11420"/>
          </w:cols>
          <w:pgMar w:left="240" w:top="607" w:right="239" w:bottom="1440" w:gutter="0" w:footer="0" w:header="0"/>
        </w:sectPr>
      </w:pPr>
    </w:p>
    <w:bookmarkStart w:id="70" w:name="page71"/>
    <w:bookmarkEnd w:id="70"/>
    <w:p>
      <w:pPr>
        <w:ind w:left="1300"/>
        <w:spacing w:after="0"/>
        <w:tabs>
          <w:tab w:leader="none" w:pos="1980" w:val="left"/>
          <w:tab w:leader="none" w:pos="3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Times of Day; Rates1.05</w:t>
      </w:r>
      <w:r>
        <w:rPr>
          <w:sz w:val="20"/>
          <w:szCs w:val="20"/>
          <w:color w:val="auto"/>
        </w:rPr>
        <w:tab/>
      </w:r>
      <w:r>
        <w:rPr>
          <w:rFonts w:ascii="Times New Roman" w:cs="Times New Roman" w:eastAsia="Times New Roman" w:hAnsi="Times New Roman"/>
          <w:sz w:val="17"/>
          <w:szCs w:val="17"/>
          <w:u w:val="single" w:color="auto"/>
          <w:color w:val="auto"/>
        </w:rPr>
        <w:t>Times of Day; Rates.</w:t>
      </w:r>
    </w:p>
    <w:p>
      <w:pPr>
        <w:spacing w:after="0" w:line="27" w:lineRule="exact"/>
        <w:rPr>
          <w:sz w:val="20"/>
          <w:szCs w:val="20"/>
          <w:color w:val="auto"/>
        </w:rPr>
      </w:pPr>
    </w:p>
    <w:p>
      <w:pPr>
        <w:ind w:left="660" w:firstLine="645"/>
        <w:spacing w:after="0" w:line="276" w:lineRule="auto"/>
        <w:tabs>
          <w:tab w:leader="none" w:pos="1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7"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6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nor accept responsibility, nor shall the Administrative Agent have any liability with respect to, the administration, submission or any other matter related to the rates in the definition of “Eurodollar Base Rate” or with respect to any comparable or successor rate thereto.</w:t>
      </w:r>
    </w:p>
    <w:p>
      <w:pPr>
        <w:spacing w:after="0" w:line="203" w:lineRule="exact"/>
        <w:rPr>
          <w:sz w:val="20"/>
          <w:szCs w:val="20"/>
          <w:color w:val="auto"/>
        </w:rPr>
      </w:pPr>
    </w:p>
    <w:p>
      <w:pPr>
        <w:ind w:left="1300"/>
        <w:spacing w:after="0"/>
        <w:tabs>
          <w:tab w:leader="none" w:pos="1980" w:val="left"/>
          <w:tab w:leader="none" w:pos="4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Letter of Credit Amounts.1.06</w:t>
        <w:tab/>
        <w:t>Letter of Credit Amounts..</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ARTICLE IV</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ARTICLE V</w:t>
      </w:r>
    </w:p>
    <w:p>
      <w:pPr>
        <w:sectPr>
          <w:pgSz w:w="11900" w:h="16838" w:orient="portrait"/>
          <w:cols w:equalWidth="0" w:num="1">
            <w:col w:w="11420"/>
          </w:cols>
          <w:pgMar w:left="240" w:top="607" w:right="239" w:bottom="1440" w:gutter="0" w:footer="0" w:header="0"/>
        </w:sectPr>
      </w:pP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ARTICLE VI</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COMMITMENTS AND CREDIT EXTENSIONS</w:t>
      </w:r>
    </w:p>
    <w:p>
      <w:pPr>
        <w:spacing w:after="0" w:line="61" w:lineRule="exact"/>
        <w:rPr>
          <w:sz w:val="20"/>
          <w:szCs w:val="20"/>
          <w:color w:val="auto"/>
        </w:rPr>
      </w:pPr>
    </w:p>
    <w:p>
      <w:pPr>
        <w:sectPr>
          <w:pgSz w:w="11900" w:h="16838" w:orient="portrait"/>
          <w:cols w:equalWidth="0" w:num="2">
            <w:col w:w="4120" w:space="720"/>
            <w:col w:w="6580"/>
          </w:cols>
          <w:pgMar w:left="240" w:top="607" w:right="239" w:bottom="1440" w:gutter="0" w:footer="0" w:header="0"/>
          <w:type w:val="continuous"/>
        </w:sectPr>
      </w:pPr>
    </w:p>
    <w:p>
      <w:pPr>
        <w:ind w:left="1340" w:hanging="684"/>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Commitments.2.01  Commitments..</w:t>
      </w:r>
    </w:p>
    <w:p>
      <w:pPr>
        <w:spacing w:after="0" w:line="27"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set forth herein, each Lender severally agrees to make loans (each such loan,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to the Borrower in Dollars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Revolving Loans may be Base Rate Loans or Eurodollar Rate Loans, or a combination thereof, as further provided herein, provided, however, all Borrowings made on the Closing Date shall be made as Base Rate Loans.</w:t>
      </w:r>
    </w:p>
    <w:p>
      <w:pPr>
        <w:spacing w:after="0" w:line="214" w:lineRule="exact"/>
        <w:rPr>
          <w:sz w:val="20"/>
          <w:szCs w:val="20"/>
          <w:color w:val="auto"/>
        </w:rPr>
      </w:pPr>
    </w:p>
    <w:p>
      <w:pPr>
        <w:ind w:left="1300"/>
        <w:spacing w:after="0"/>
        <w:tabs>
          <w:tab w:leader="none" w:pos="1980" w:val="left"/>
          <w:tab w:leader="none" w:pos="6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Borrowings, Conversions and Continuations of Loans.2.02</w:t>
      </w:r>
      <w:r>
        <w:rPr>
          <w:sz w:val="20"/>
          <w:szCs w:val="20"/>
          <w:color w:val="auto"/>
        </w:rPr>
        <w:tab/>
      </w:r>
      <w:r>
        <w:rPr>
          <w:rFonts w:ascii="Times New Roman" w:cs="Times New Roman" w:eastAsia="Times New Roman" w:hAnsi="Times New Roman"/>
          <w:sz w:val="17"/>
          <w:szCs w:val="17"/>
          <w:u w:val="single" w:color="auto"/>
          <w:color w:val="auto"/>
        </w:rPr>
        <w:t>Borrowings, Conversions and Continuations of Loans..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each conversion of Loans from one Type to the other, and each continuation of Eurodollar Rate Loans shall be made upon the Borrower’s irrevocable notice to the Administrative Agent, which may be given by (A) telephone or (B) a Loan Notice; provided, that, each telephonic notice by the Borrower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must be confirmed promptly by delivery to the Administrative Agent of a Loan Notice. Each such Loan Notice must be received by the Administrative Agent not later than 12:00 noon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$2,000,000 or a whole multiple of $1,000,000 in excess thereof. Except as provided in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each Borrowing of or conversion to Base Rate Loans shall be in a principal amount of $1,000,000 or a whole multiple of $500,000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Loan Notice, but fails to specify an Interest Period, it will be deemed to have specified an Interest Period of one month.</w:t>
      </w:r>
    </w:p>
    <w:p>
      <w:pPr>
        <w:spacing w:after="0" w:line="7" w:lineRule="exact"/>
        <w:rPr>
          <w:rFonts w:ascii="Times New Roman" w:cs="Times New Roman" w:eastAsia="Times New Roman" w:hAnsi="Times New Roman"/>
          <w:sz w:val="18"/>
          <w:szCs w:val="18"/>
          <w:color w:val="auto"/>
        </w:rPr>
      </w:pPr>
    </w:p>
    <w:p>
      <w:pPr>
        <w:jc w:val="both"/>
        <w:ind w:left="660" w:firstLine="645"/>
        <w:spacing w:after="0" w:line="303" w:lineRule="auto"/>
        <w:tabs>
          <w:tab w:leader="none" w:pos="21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as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the</w:t>
      </w:r>
    </w:p>
    <w:p>
      <w:pPr>
        <w:sectPr>
          <w:pgSz w:w="11900" w:h="16838" w:orient="portrait"/>
          <w:cols w:equalWidth="0" w:num="1">
            <w:col w:w="11420"/>
          </w:cols>
          <w:pgMar w:left="240" w:top="607" w:right="239" w:bottom="1440" w:gutter="0" w:footer="0" w:header="0"/>
          <w:type w:val="continuous"/>
        </w:sectPr>
      </w:pPr>
    </w:p>
    <w:bookmarkStart w:id="71" w:name="page72"/>
    <w:bookmarkEnd w:id="71"/>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date of a Borrowing of Revolving Loans, there are L/C Borrowings outstanding, then the proceeds of such Borrowing, first,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Borrower as provided above.</w:t>
      </w:r>
    </w:p>
    <w:p>
      <w:pPr>
        <w:spacing w:after="0" w:line="2" w:lineRule="exact"/>
        <w:rPr>
          <w:sz w:val="20"/>
          <w:szCs w:val="20"/>
          <w:color w:val="auto"/>
        </w:rPr>
      </w:pPr>
    </w:p>
    <w:p>
      <w:pPr>
        <w:jc w:val="both"/>
        <w:ind w:firstLine="645"/>
        <w:spacing w:after="0" w:line="297" w:lineRule="auto"/>
        <w:tabs>
          <w:tab w:leader="none" w:pos="14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may be continued or converted only on the last day of the Interest Period for such Eurodollar Rate Loan. During the existence of a Default, no Loans may be requested as, converted to or continued as Eurodollar Rate Loans without the consent of the Required Lenders.</w:t>
      </w:r>
    </w:p>
    <w:p>
      <w:pPr>
        <w:spacing w:after="0" w:line="1"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 w:lineRule="exact"/>
        <w:rPr>
          <w:rFonts w:ascii="Times New Roman" w:cs="Times New Roman" w:eastAsia="Times New Roman" w:hAnsi="Times New Roman"/>
          <w:sz w:val="18"/>
          <w:szCs w:val="18"/>
          <w:color w:val="auto"/>
        </w:rPr>
      </w:pPr>
    </w:p>
    <w:p>
      <w:pPr>
        <w:ind w:firstLine="645"/>
        <w:spacing w:after="0" w:line="297" w:lineRule="auto"/>
        <w:tabs>
          <w:tab w:leader="none" w:pos="14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 same Type, there shall not be more than five (5) Interest Periods in effect with respect to all Loans.</w:t>
      </w:r>
    </w:p>
    <w:p>
      <w:pPr>
        <w:jc w:val="both"/>
        <w:ind w:firstLine="645"/>
        <w:spacing w:after="0" w:line="313" w:lineRule="auto"/>
        <w:tabs>
          <w:tab w:leader="none" w:pos="14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17" w:lineRule="exact"/>
        <w:rPr>
          <w:sz w:val="20"/>
          <w:szCs w:val="20"/>
          <w:color w:val="auto"/>
        </w:rPr>
      </w:pPr>
    </w:p>
    <w:p>
      <w:pPr>
        <w:ind w:left="1500" w:hanging="855"/>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period from the Closing Date until the Letter of Credit Expiration Date, to issue Letters of Credit denominated in Dollars for the account of the Borrower or any of its Subsidiaries, and to amend or extend Letters of Credit previously issued by it, in accordance with subsection (b) below, and (2) to honor drawings under the Letters of Credit; and (B) the Lenders severally agree to participate in Letters of Credit issued for the account of the Borrower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w:t>
      </w:r>
    </w:p>
    <w:p>
      <w:pPr>
        <w:spacing w:after="0" w:line="2" w:lineRule="exact"/>
        <w:rPr>
          <w:rFonts w:ascii="Times New Roman" w:cs="Times New Roman" w:eastAsia="Times New Roman" w:hAnsi="Times New Roman"/>
          <w:sz w:val="18"/>
          <w:szCs w:val="18"/>
          <w:color w:val="auto"/>
        </w:rPr>
      </w:pPr>
    </w:p>
    <w:p>
      <w:pPr>
        <w:jc w:val="both"/>
        <w:ind w:left="640" w:firstLine="5"/>
        <w:spacing w:after="0" w:line="297"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Revolving Outstandings shall not exceed the Aggregate Revolving Commitments,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3" w:lineRule="exact"/>
        <w:rPr>
          <w:rFonts w:ascii="Times New Roman" w:cs="Times New Roman" w:eastAsia="Times New Roman" w:hAnsi="Times New Roman"/>
          <w:sz w:val="18"/>
          <w:szCs w:val="18"/>
          <w:color w:val="auto"/>
        </w:rPr>
      </w:pPr>
    </w:p>
    <w:p>
      <w:pPr>
        <w:ind w:left="2160" w:hanging="867"/>
        <w:spacing w:after="0"/>
        <w:tabs>
          <w:tab w:leader="none" w:pos="2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49" w:lineRule="exact"/>
        <w:rPr>
          <w:rFonts w:ascii="Times New Roman" w:cs="Times New Roman" w:eastAsia="Times New Roman" w:hAnsi="Times New Roman"/>
          <w:sz w:val="18"/>
          <w:szCs w:val="18"/>
          <w:color w:val="auto"/>
        </w:rPr>
      </w:pPr>
    </w:p>
    <w:p>
      <w:pPr>
        <w:ind w:left="1300" w:firstLine="641"/>
        <w:spacing w:after="0" w:line="297" w:lineRule="auto"/>
        <w:tabs>
          <w:tab w:leader="none" w:pos="284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extension, unless the Required Lenders have approved such expiry date; or</w:t>
      </w:r>
    </w:p>
    <w:p>
      <w:pPr>
        <w:ind w:left="1300" w:firstLine="641"/>
        <w:spacing w:after="0" w:line="297" w:lineRule="auto"/>
        <w:tabs>
          <w:tab w:leader="none" w:pos="283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all the Lenders have approved such expiry date.</w:t>
      </w:r>
    </w:p>
    <w:p>
      <w:pPr>
        <w:ind w:left="2220" w:hanging="927"/>
        <w:spacing w:after="0"/>
        <w:tabs>
          <w:tab w:leader="none" w:pos="22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49" w:lineRule="exact"/>
        <w:rPr>
          <w:rFonts w:ascii="Times New Roman" w:cs="Times New Roman" w:eastAsia="Times New Roman" w:hAnsi="Times New Roman"/>
          <w:sz w:val="18"/>
          <w:szCs w:val="18"/>
          <w:color w:val="auto"/>
        </w:rPr>
      </w:pPr>
    </w:p>
    <w:p>
      <w:pPr>
        <w:jc w:val="both"/>
        <w:ind w:left="1300" w:firstLine="641"/>
        <w:spacing w:after="0" w:line="297" w:lineRule="auto"/>
        <w:tabs>
          <w:tab w:leader="none" w:pos="284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3" w:lineRule="exact"/>
        <w:rPr>
          <w:rFonts w:ascii="Times New Roman" w:cs="Times New Roman" w:eastAsia="Times New Roman" w:hAnsi="Times New Roman"/>
          <w:sz w:val="18"/>
          <w:szCs w:val="18"/>
          <w:color w:val="auto"/>
        </w:rPr>
      </w:pPr>
    </w:p>
    <w:p>
      <w:pPr>
        <w:ind w:left="2820" w:hanging="879"/>
        <w:spacing w:after="0"/>
        <w:tabs>
          <w:tab w:leader="none" w:pos="28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w:t>
      </w:r>
    </w:p>
    <w:p>
      <w:pPr>
        <w:spacing w:after="0" w:line="4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credit generally;</w:t>
      </w:r>
    </w:p>
    <w:p>
      <w:pPr>
        <w:spacing w:after="0" w:line="49" w:lineRule="exact"/>
        <w:rPr>
          <w:rFonts w:ascii="Times New Roman" w:cs="Times New Roman" w:eastAsia="Times New Roman" w:hAnsi="Times New Roman"/>
          <w:sz w:val="18"/>
          <w:szCs w:val="18"/>
          <w:color w:val="auto"/>
        </w:rPr>
      </w:pPr>
    </w:p>
    <w:p>
      <w:pPr>
        <w:ind w:left="1300" w:firstLine="641"/>
        <w:spacing w:after="0" w:line="329" w:lineRule="auto"/>
        <w:tabs>
          <w:tab w:leader="none" w:pos="283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such Letter of Credit is in an initial stated amount less than $500,000;</w:t>
      </w:r>
    </w:p>
    <w:p>
      <w:pPr>
        <w:sectPr>
          <w:pgSz w:w="11900" w:h="16838" w:orient="portrait"/>
          <w:cols w:equalWidth="0" w:num="1">
            <w:col w:w="10760"/>
          </w:cols>
          <w:pgMar w:left="900" w:top="607" w:right="239" w:bottom="1440" w:gutter="0" w:footer="0" w:header="0"/>
        </w:sectPr>
      </w:pPr>
    </w:p>
    <w:bookmarkStart w:id="72" w:name="page73"/>
    <w:bookmarkEnd w:id="72"/>
    <w:p>
      <w:pPr>
        <w:ind w:left="2300" w:hanging="899"/>
        <w:spacing w:after="0"/>
        <w:tabs>
          <w:tab w:leader="none" w:pos="230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 or</w:t>
      </w:r>
    </w:p>
    <w:p>
      <w:pPr>
        <w:spacing w:after="0" w:line="49" w:lineRule="exact"/>
        <w:rPr>
          <w:rFonts w:ascii="Times New Roman" w:cs="Times New Roman" w:eastAsia="Times New Roman" w:hAnsi="Times New Roman"/>
          <w:sz w:val="18"/>
          <w:szCs w:val="18"/>
          <w:color w:val="auto"/>
        </w:rPr>
      </w:pPr>
    </w:p>
    <w:p>
      <w:pPr>
        <w:jc w:val="both"/>
        <w:ind w:left="760" w:firstLine="641"/>
        <w:spacing w:after="0" w:line="297" w:lineRule="auto"/>
        <w:tabs>
          <w:tab w:leader="none" w:pos="2286"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2" w:lineRule="exact"/>
        <w:rPr>
          <w:rFonts w:ascii="Times New Roman" w:cs="Times New Roman" w:eastAsia="Times New Roman" w:hAnsi="Times New Roman"/>
          <w:sz w:val="18"/>
          <w:szCs w:val="18"/>
          <w:color w:val="auto"/>
        </w:rPr>
      </w:pPr>
    </w:p>
    <w:p>
      <w:pPr>
        <w:ind w:left="100" w:firstLine="653"/>
        <w:spacing w:after="0" w:line="297" w:lineRule="auto"/>
        <w:tabs>
          <w:tab w:leader="none" w:pos="16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amend any Letter of Credit if the L/C Issuer would not be permitted at such time to issue the Letter of Credit in its amended form under the terms hereof.</w:t>
      </w:r>
    </w:p>
    <w:p>
      <w:pPr>
        <w:jc w:val="both"/>
        <w:ind w:left="100" w:firstLine="653"/>
        <w:spacing w:after="0" w:line="297" w:lineRule="auto"/>
        <w:tabs>
          <w:tab w:leader="none" w:pos="16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2"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five (5)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7"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4" w:lineRule="exact"/>
        <w:rPr>
          <w:rFonts w:ascii="Times New Roman" w:cs="Times New Roman" w:eastAsia="Times New Roman" w:hAnsi="Times New Roman"/>
          <w:sz w:val="18"/>
          <w:szCs w:val="18"/>
          <w:color w:val="auto"/>
        </w:rPr>
      </w:pPr>
    </w:p>
    <w:p>
      <w:pPr>
        <w:jc w:val="both"/>
        <w:ind w:left="100" w:firstLine="653"/>
        <w:spacing w:after="0" w:line="305" w:lineRule="auto"/>
        <w:tabs>
          <w:tab w:leader="none" w:pos="16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in each such twelve-month period to be agreed upon at the time such Letter of Credit is issued.</w:t>
      </w:r>
    </w:p>
    <w:p>
      <w:pPr>
        <w:sectPr>
          <w:pgSz w:w="11900" w:h="16838" w:orient="portrait"/>
          <w:cols w:equalWidth="0" w:num="1">
            <w:col w:w="10220"/>
          </w:cols>
          <w:pgMar w:left="1440" w:top="607" w:right="239" w:bottom="1440" w:gutter="0" w:footer="0" w:header="0"/>
        </w:sectPr>
      </w:pPr>
    </w:p>
    <w:bookmarkStart w:id="73" w:name="page74"/>
    <w:bookmarkEnd w:id="73"/>
    <w:p>
      <w:pPr>
        <w:jc w:val="both"/>
        <w:ind w:left="100"/>
        <w:spacing w:after="0" w:line="297" w:lineRule="auto"/>
        <w:rPr>
          <w:sz w:val="20"/>
          <w:szCs w:val="20"/>
          <w:color w:val="auto"/>
        </w:rPr>
      </w:pPr>
      <w:r>
        <w:rPr>
          <w:rFonts w:ascii="Times New Roman" w:cs="Times New Roman" w:eastAsia="Times New Roman" w:hAnsi="Times New Roman"/>
          <w:sz w:val="18"/>
          <w:szCs w:val="18"/>
          <w:color w:val="auto"/>
        </w:rPr>
        <w:t xml:space="preserve">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is not then satisfied, and in each case directing the L/C Issuer not to permit such extension.</w:t>
      </w:r>
    </w:p>
    <w:p>
      <w:pPr>
        <w:spacing w:after="0" w:line="5" w:lineRule="exact"/>
        <w:rPr>
          <w:sz w:val="20"/>
          <w:szCs w:val="20"/>
          <w:color w:val="auto"/>
        </w:rPr>
      </w:pPr>
    </w:p>
    <w:p>
      <w:pPr>
        <w:jc w:val="both"/>
        <w:ind w:left="100" w:firstLine="653"/>
        <w:spacing w:after="0" w:line="297" w:lineRule="auto"/>
        <w:tabs>
          <w:tab w:leader="none" w:pos="16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drawing under such Letter of Credit, the L/C Issuer shall notify the Borrower and the Administrative Agent thereof. Not later than 12:00 noon on the date of any payment by the L/C Issuer under a Letter of Credit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Times New Roman" w:cs="Times New Roman" w:eastAsia="Times New Roman" w:hAnsi="Times New Roman"/>
          <w:sz w:val="18"/>
          <w:szCs w:val="18"/>
          <w:u w:val="single" w:color="auto"/>
          <w:color w:val="auto"/>
        </w:rPr>
        <w:t>Unreimbursed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and the amount of such Lender’s Applicable Percentage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for the principal amount of Base Rate Loans, but subject to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(other than the delivery of a Loan Notice) and provided that, after giving effect to such Borrowing, the Total Revolving Outstandings shall not exceed the Aggregate Revolving Commitments. Any notice given by the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5"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(and the Administrative Agent may apply Cash Collateral provided for this purpose) to the Administrative Agent for the account of the L/C Issuer at the Administrative Agent’s Office in an amount equal to its Applicable Percentage of the Unreimbursed Amount not later than 2:00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Loan to the Borrower in such amount. The Administrative Agent shall remit the funds so received to the L/C Issuer.</w:t>
      </w:r>
    </w:p>
    <w:p>
      <w:pPr>
        <w:spacing w:after="0" w:line="2"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Borrowing of Base Rate Loans because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Revolving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1" w:lineRule="exact"/>
        <w:rPr>
          <w:rFonts w:ascii="Times New Roman" w:cs="Times New Roman" w:eastAsia="Times New Roman" w:hAnsi="Times New Roman"/>
          <w:sz w:val="18"/>
          <w:szCs w:val="18"/>
          <w:color w:val="auto"/>
        </w:rPr>
      </w:pPr>
    </w:p>
    <w:p>
      <w:pPr>
        <w:jc w:val="both"/>
        <w:ind w:left="100" w:firstLine="653"/>
        <w:spacing w:after="0" w:line="302" w:lineRule="auto"/>
        <w:tabs>
          <w:tab w:leader="none" w:pos="16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Revolving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ectPr>
          <w:pgSz w:w="11900" w:h="16838" w:orient="portrait"/>
          <w:cols w:equalWidth="0" w:num="1">
            <w:col w:w="10220"/>
          </w:cols>
          <w:pgMar w:left="1440" w:top="607" w:right="239" w:bottom="1440" w:gutter="0" w:footer="0" w:header="0"/>
        </w:sectPr>
      </w:pPr>
    </w:p>
    <w:bookmarkStart w:id="74" w:name="page75"/>
    <w:bookmarkEnd w:id="74"/>
    <w:p>
      <w:pPr>
        <w:jc w:val="both"/>
        <w:ind w:left="640" w:firstLine="653"/>
        <w:spacing w:after="0" w:line="297" w:lineRule="auto"/>
        <w:tabs>
          <w:tab w:leader="none" w:pos="21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A certificate of the L/C Issuer submitted to any Lender (through the Administrative Agent) with respect to any amounts owing under this clause (vi) shall be conclusive absent manifest error.</w:t>
      </w:r>
    </w:p>
    <w:p>
      <w:pPr>
        <w:spacing w:after="0" w:line="3"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2"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2" w:lineRule="exact"/>
        <w:rPr>
          <w:rFonts w:ascii="Times New Roman" w:cs="Times New Roman" w:eastAsia="Times New Roman" w:hAnsi="Times New Roman"/>
          <w:sz w:val="18"/>
          <w:szCs w:val="18"/>
          <w:color w:val="auto"/>
        </w:rPr>
      </w:pPr>
    </w:p>
    <w:p>
      <w:pPr>
        <w:jc w:val="both"/>
        <w:ind w:right="20" w:firstLine="645"/>
        <w:spacing w:after="0" w:line="297"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 w:lineRule="exact"/>
        <w:rPr>
          <w:rFonts w:ascii="Times New Roman" w:cs="Times New Roman" w:eastAsia="Times New Roman" w:hAnsi="Times New Roman"/>
          <w:sz w:val="18"/>
          <w:szCs w:val="18"/>
          <w:color w:val="auto"/>
        </w:rPr>
      </w:pPr>
    </w:p>
    <w:p>
      <w:pPr>
        <w:ind w:left="2120" w:hanging="827"/>
        <w:spacing w:after="0"/>
        <w:tabs>
          <w:tab w:leader="none" w:pos="2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 w:lineRule="exact"/>
        <w:rPr>
          <w:rFonts w:ascii="Times New Roman" w:cs="Times New Roman" w:eastAsia="Times New Roman" w:hAnsi="Times New Roman"/>
          <w:sz w:val="18"/>
          <w:szCs w:val="18"/>
          <w:color w:val="auto"/>
        </w:rPr>
      </w:pPr>
    </w:p>
    <w:p>
      <w:pPr>
        <w:jc w:val="both"/>
        <w:ind w:left="640" w:right="20" w:firstLine="653"/>
        <w:spacing w:after="0" w:line="297" w:lineRule="auto"/>
        <w:tabs>
          <w:tab w:leader="none" w:pos="22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 w:lineRule="exact"/>
        <w:rPr>
          <w:rFonts w:ascii="Times New Roman" w:cs="Times New Roman" w:eastAsia="Times New Roman" w:hAnsi="Times New Roman"/>
          <w:sz w:val="18"/>
          <w:szCs w:val="18"/>
          <w:color w:val="auto"/>
        </w:rPr>
      </w:pPr>
    </w:p>
    <w:p>
      <w:pPr>
        <w:ind w:left="640" w:right="20" w:firstLine="653"/>
        <w:spacing w:after="0" w:line="297"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the L/C Issuer of any requirement that exists for the L/C Issuer’s protection and not the protection of the Borrower or any waiver by the L/C Issuer which does not in fact materially prejudice the Borrower;</w:t>
      </w:r>
    </w:p>
    <w:p>
      <w:pPr>
        <w:ind w:left="2160" w:hanging="867"/>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w:t>
      </w:r>
    </w:p>
    <w:p>
      <w:pPr>
        <w:spacing w:after="0" w:line="4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 draft;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ISP or the UCP, as applicable;</w:t>
      </w:r>
    </w:p>
    <w:p>
      <w:pPr>
        <w:spacing w:after="0" w:line="1"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2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2" w:lineRule="exact"/>
        <w:rPr>
          <w:rFonts w:ascii="Times New Roman" w:cs="Times New Roman" w:eastAsia="Times New Roman" w:hAnsi="Times New Roman"/>
          <w:sz w:val="18"/>
          <w:szCs w:val="18"/>
          <w:color w:val="auto"/>
        </w:rPr>
      </w:pPr>
    </w:p>
    <w:p>
      <w:pPr>
        <w:ind w:left="2300" w:hanging="1007"/>
        <w:spacing w:after="0"/>
        <w:tabs>
          <w:tab w:leader="none" w:pos="2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circumstance that might otherwise constitute a defense available to, or a discharge of, the Borrower or any Subsidiary.</w:t>
      </w:r>
    </w:p>
    <w:p>
      <w:pPr>
        <w:spacing w:after="0" w:line="2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w:t>
      </w:r>
    </w:p>
    <w:p>
      <w:pPr>
        <w:sectPr>
          <w:pgSz w:w="11900" w:h="16838" w:orient="portrait"/>
          <w:cols w:equalWidth="0" w:num="1">
            <w:col w:w="10760"/>
          </w:cols>
          <w:pgMar w:left="900" w:top="607" w:right="2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will immediately notify the L/C Issuer. The Borrower shall be conclusively deemed to have waived any such claim against the L/C Issuer and its correspondents unless such notice is given as aforesaid.</w:t>
      </w:r>
    </w:p>
    <w:p>
      <w:pPr>
        <w:spacing w:after="0" w:line="189" w:lineRule="exact"/>
        <w:rPr>
          <w:sz w:val="20"/>
          <w:szCs w:val="20"/>
          <w:color w:val="auto"/>
        </w:rPr>
      </w:pPr>
    </w:p>
    <w:p>
      <w:pPr>
        <w:jc w:val="both"/>
        <w:ind w:firstLine="645"/>
        <w:spacing w:after="0" w:line="297" w:lineRule="auto"/>
        <w:tabs>
          <w:tab w:leader="none" w:pos="14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u w:val="single" w:color="auto"/>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0"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 Limitation of Liability</w:t>
      </w:r>
      <w:r>
        <w:rPr>
          <w:rFonts w:ascii="Times New Roman" w:cs="Times New Roman" w:eastAsia="Times New Roman" w:hAnsi="Times New Roman"/>
          <w:sz w:val="18"/>
          <w:szCs w:val="18"/>
          <w:color w:val="auto"/>
        </w:rPr>
        <w:t>. Unless otherwise expressly agreed by the L/C Issuer and the Borrower when a Letter of Credit is issued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3"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 shall pay to the Administrative Agent for the account of each Lender in accordance,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with its Applicable Percentage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daily maximum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4" w:lineRule="exact"/>
        <w:rPr>
          <w:rFonts w:ascii="Times New Roman" w:cs="Times New Roman" w:eastAsia="Times New Roman" w:hAnsi="Times New Roman"/>
          <w:sz w:val="18"/>
          <w:szCs w:val="18"/>
          <w:color w:val="auto"/>
        </w:rPr>
      </w:pPr>
    </w:p>
    <w:p>
      <w:pPr>
        <w:jc w:val="both"/>
        <w:ind w:firstLine="645"/>
        <w:spacing w:after="0" w:line="303" w:lineRule="auto"/>
        <w:tabs>
          <w:tab w:leader="none" w:pos="14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The Borrower shall pay directly to the L/C Issuer for its own account a fronting fee with respect to each Letter of Credit, at the rate per annum specified in the Fee Letter, computed on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w:t>
      </w:r>
    </w:p>
    <w:p>
      <w:pPr>
        <w:sectPr>
          <w:pgSz w:w="11900" w:h="16838" w:orient="portrait"/>
          <w:cols w:equalWidth="0" w:num="1">
            <w:col w:w="10760"/>
          </w:cols>
          <w:pgMar w:left="900" w:top="580" w:right="239" w:bottom="1440" w:gutter="0" w:footer="0" w:header="0"/>
        </w:sectPr>
      </w:pPr>
    </w:p>
    <w:bookmarkStart w:id="76" w:name="page77"/>
    <w:bookmarkEnd w:id="76"/>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2" w:lineRule="exact"/>
        <w:rPr>
          <w:sz w:val="20"/>
          <w:szCs w:val="20"/>
          <w:color w:val="auto"/>
        </w:rPr>
      </w:pPr>
    </w:p>
    <w:p>
      <w:pPr>
        <w:ind w:firstLine="645"/>
        <w:spacing w:after="0" w:line="297" w:lineRule="auto"/>
        <w:tabs>
          <w:tab w:leader="none" w:pos="14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jc w:val="both"/>
        <w:ind w:firstLine="645"/>
        <w:spacing w:after="0" w:line="308" w:lineRule="auto"/>
        <w:tabs>
          <w:tab w:leader="none" w:pos="15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220" w:lineRule="exact"/>
        <w:rPr>
          <w:sz w:val="20"/>
          <w:szCs w:val="20"/>
          <w:color w:val="auto"/>
        </w:rPr>
      </w:pPr>
    </w:p>
    <w:p>
      <w:pPr>
        <w:jc w:val="both"/>
        <w:ind w:firstLine="645"/>
        <w:spacing w:after="0" w:line="297" w:lineRule="auto"/>
        <w:tabs>
          <w:tab w:leader="none" w:pos="14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may in its sole discretion make loans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the Borrower in Dollars from time to time on any Business Day during the Availability Period in an aggregate amount not to exceed at any time outstanding the amount of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after giving effect to any Swing Line Loan, (i) the Total Revolving Outstandings shall not exceed the Aggregate Revolving Commitments, and (ii) the Revolving Credit Exposure of any Lender shall not exceed such Lender’s Revolving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 Line Loan.</w:t>
      </w:r>
    </w:p>
    <w:p>
      <w:pPr>
        <w:spacing w:after="0" w:line="5"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Borrowing of Swing Line Loans shall be made upon the Borrower’s irrevocable notice to the Swing Line Lender and the Administrative Agent, which may be given by (A) telephone or (B) a Swing Line Loan Notice; provided, that, each such telephonic notice must be confirmed promptly by delivery to the Swing Line Lender and the Administrative Agent of a Swing Line Loan Notice. Each such Swing Line Loan Notice must be received by the Swing Line Lender and the Administrative Agent not later than 2:00 p.m. on the requested borrowing date, and shall specify (i) the amount to be borrowed, which shall be a minimum principal amount of $100,000,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5"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 Line Loans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300" w:lineRule="auto"/>
        <w:tabs>
          <w:tab w:leader="none" w:pos="21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at any time in its sole discretion may request, on behalf of the Borrower (which hereby irrevocably requests and authorizes the Swing Line Lender to so request on its behalf), that each Lender make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(other than the delivery of a Loan Notice) and provided that, after giving effect to such Borrowing, the Total Revolving Outstandings shall not exceed the Aggregate Revolving Commitments.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w:t>
      </w:r>
    </w:p>
    <w:p>
      <w:pPr>
        <w:sectPr>
          <w:pgSz w:w="11900" w:h="16838" w:orient="portrait"/>
          <w:cols w:equalWidth="0" w:num="1">
            <w:col w:w="10760"/>
          </w:cols>
          <w:pgMar w:left="900" w:top="607" w:right="239" w:bottom="1440" w:gutter="0" w:footer="0" w:header="0"/>
        </w:sectPr>
      </w:pPr>
    </w:p>
    <w:bookmarkStart w:id="77" w:name="page78"/>
    <w:bookmarkEnd w:id="77"/>
    <w:p>
      <w:pPr>
        <w:ind w:left="100"/>
        <w:spacing w:after="0" w:line="297"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Loan to the Borrower in such amount. The Administrative Agent shall remit the funds so received to the Swing Line Lender.</w:t>
      </w:r>
    </w:p>
    <w:p>
      <w:pPr>
        <w:spacing w:after="0" w:line="1" w:lineRule="exact"/>
        <w:rPr>
          <w:sz w:val="20"/>
          <w:szCs w:val="20"/>
          <w:color w:val="auto"/>
        </w:rPr>
      </w:pPr>
    </w:p>
    <w:p>
      <w:pPr>
        <w:jc w:val="both"/>
        <w:ind w:left="100" w:firstLine="653"/>
        <w:spacing w:after="0" w:line="297" w:lineRule="auto"/>
        <w:tabs>
          <w:tab w:leader="none" w:pos="161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 Line Loan cannot be refinanced by such a Borrowing of Revolving Loans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2"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6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2.04(c)(i)</w:t>
      </w:r>
      <w:r>
        <w:rPr>
          <w:rFonts w:ascii="Times New Roman" w:cs="Times New Roman" w:eastAsia="Times New Roman" w:hAnsi="Times New Roman"/>
          <w:sz w:val="18"/>
          <w:szCs w:val="18"/>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A certificate of the Swing Line Lender submitted to any Lender (through the Administrative Agent) with respect to any amounts owing under this clause (iii) shall be conclusive absent manifest error.</w:t>
      </w:r>
    </w:p>
    <w:p>
      <w:pPr>
        <w:spacing w:after="0" w:line="3"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Lender’s obligation to make Revolving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No such purchase or funding of risk participations shall relieve or otherwise impair the obligation of the Borrower to repay Swing Line Loans, together with interest as provided herein.</w:t>
      </w:r>
    </w:p>
    <w:p>
      <w:pPr>
        <w:spacing w:after="0" w:line="3"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3"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xml:space="preserve">. The Swing Line Lender shall be responsible for invoicing the Borrower for interest on the Swing Line Loans. Until each Lender funds its Revolving Loans that are Base Rate Loans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1" w:lineRule="exact"/>
        <w:rPr>
          <w:rFonts w:ascii="Times New Roman" w:cs="Times New Roman" w:eastAsia="Times New Roman" w:hAnsi="Times New Roman"/>
          <w:sz w:val="18"/>
          <w:szCs w:val="18"/>
          <w:color w:val="auto"/>
        </w:rPr>
      </w:pPr>
    </w:p>
    <w:p>
      <w:pPr>
        <w:ind w:left="-540" w:firstLine="645"/>
        <w:spacing w:after="0" w:line="284" w:lineRule="auto"/>
        <w:tabs>
          <w:tab w:leader="none" w:pos="9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Borrower shall make all payments of principal and interest in respect of the Swing Line Loans directly to the Swing Line Lender.</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5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 Borrow Arrangement</w:t>
      </w:r>
      <w:r>
        <w:rPr>
          <w:rFonts w:ascii="Times New Roman" w:cs="Times New Roman" w:eastAsia="Times New Roman" w:hAnsi="Times New Roman"/>
          <w:sz w:val="18"/>
          <w:szCs w:val="18"/>
          <w:color w:val="auto"/>
        </w:rPr>
        <w:t>. In order to facilitate the borrowing of Swing Line Loans, the Borrower and the Swing Line Lender may mutually agree to, and are hereby authorized to, enter into an auto borrow arrangement in form and substance satisfactory to the Swing Line Lender and the Administrative Agent (the “</w:t>
      </w:r>
      <w:r>
        <w:rPr>
          <w:rFonts w:ascii="Times New Roman" w:cs="Times New Roman" w:eastAsia="Times New Roman" w:hAnsi="Times New Roman"/>
          <w:sz w:val="18"/>
          <w:szCs w:val="18"/>
          <w:u w:val="single" w:color="auto"/>
          <w:color w:val="auto"/>
        </w:rPr>
        <w:t>Auto Borrow Agreement</w:t>
      </w:r>
      <w:r>
        <w:rPr>
          <w:rFonts w:ascii="Times New Roman" w:cs="Times New Roman" w:eastAsia="Times New Roman" w:hAnsi="Times New Roman"/>
          <w:sz w:val="18"/>
          <w:szCs w:val="18"/>
          <w:color w:val="auto"/>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w:t>
      </w:r>
    </w:p>
    <w:p>
      <w:pPr>
        <w:sectPr>
          <w:pgSz w:w="11900" w:h="16838" w:orient="portrait"/>
          <w:cols w:equalWidth="0" w:num="1">
            <w:col w:w="10220"/>
          </w:cols>
          <w:pgMar w:left="1440" w:top="607" w:right="239" w:bottom="1440" w:gutter="0" w:footer="0" w:header="0"/>
        </w:sectPr>
      </w:pPr>
    </w:p>
    <w:bookmarkStart w:id="78" w:name="page79"/>
    <w:bookmarkEnd w:id="78"/>
    <w:p>
      <w:pPr>
        <w:ind w:left="800" w:hanging="695"/>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Prepayments.2.05  Prepayments..</w:t>
      </w:r>
    </w:p>
    <w:p>
      <w:pPr>
        <w:spacing w:after="0" w:line="50" w:lineRule="exact"/>
        <w:rPr>
          <w:sz w:val="20"/>
          <w:szCs w:val="20"/>
          <w:color w:val="auto"/>
        </w:rPr>
      </w:pPr>
    </w:p>
    <w:p>
      <w:pPr>
        <w:ind w:left="960" w:hanging="855"/>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xml:space="preserve">. The Borrower may, upon notice from the Borrower to the Administrative Agent pursuant to delivery to the Administrative Agent of a Notice of Loan Prepayment, at any time or from time to time voluntarily prepay Revolving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11:00 a.m.</w:t>
      </w:r>
    </w:p>
    <w:p>
      <w:pPr>
        <w:spacing w:after="0" w:line="1"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three Business Days prior to any date of prepayment of Eurodollar Rate Loans and (2) on the date of prepayment of Base Rate Loans;</w:t>
      </w:r>
    </w:p>
    <w:p>
      <w:pPr>
        <w:spacing w:after="0" w:line="49" w:lineRule="exact"/>
        <w:rPr>
          <w:rFonts w:ascii="Times New Roman" w:cs="Times New Roman" w:eastAsia="Times New Roman" w:hAnsi="Times New Roman"/>
          <w:sz w:val="18"/>
          <w:szCs w:val="18"/>
          <w:color w:val="auto"/>
        </w:rPr>
      </w:pPr>
    </w:p>
    <w:p>
      <w:pPr>
        <w:jc w:val="both"/>
        <w:ind w:left="10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any such prepayment of Eurodollar Rate Loans shall be in a principal amount of $2,000,000 or a whole multiple of $1,000,000 in excess thereof (or, if less, the entire principal amount thereof then outstanding); and (C) any prepayment of Base Rate Loans shall be in a principal amount of $1,000,000 or a whole multiple of $500,000 in excess thereof (or, if less, the entire principal amount thereof then outstanding). Each such notice shall specify the date and amount of such prepayment and the Type(s) of Loans to be prepaid.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such prepayment shall be applied to the Loans of the Lenders in accordance with their respective Applicable Percentages.</w:t>
      </w:r>
    </w:p>
    <w:p>
      <w:pPr>
        <w:spacing w:after="0" w:line="4"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xml:space="preserve">. 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Swing Line Lender and the Administrative Agent not later than 1:00 p.m. on the date of the prepayment, and (ii) any such prepayment shall be in a minimum principal amount of $500,000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3"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of Notice of Prepayment</w:t>
      </w:r>
      <w:r>
        <w:rPr>
          <w:rFonts w:ascii="Times New Roman" w:cs="Times New Roman" w:eastAsia="Times New Roman" w:hAnsi="Times New Roman"/>
          <w:sz w:val="18"/>
          <w:szCs w:val="18"/>
          <w:color w:val="auto"/>
        </w:rPr>
        <w:t xml:space="preserve">. Subject to compliance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if a notice of prepayment of any Loans (which may include a related permanent reduction of Commitments) is given in connection with a contemplated refinancing of the Obligations under the Loan Documents or the consummation of a transaction that would generate the funds for such prepayment, if the refinancing or transaction, as applicable, is delayed or does not occur, the Borrower may rescind its notice of prepayment (and any related permanent reduction of Commitments).</w:t>
      </w:r>
    </w:p>
    <w:p>
      <w:pPr>
        <w:spacing w:after="0" w:line="2"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 of Loans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xml:space="preserve">. If for any reason the Total Revolving Outstandings at any time exceed the Aggregate Revolving Commitments then in effect, the Borrower shall, within one Business Day after the earlier of (x) knowledge of such excess by any Responsible Officer of the Borrower and (y) notice thereof by the Administrative Agent or any Lender, prepay Revolving Loans and/or the Swing Line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unless after the prepayment in full of the Revolving Loans and the Swing Line Loans the Total Revolving Outstandings exceed the Aggregate Revolving Commitments then in effect.</w:t>
      </w:r>
    </w:p>
    <w:p>
      <w:pPr>
        <w:spacing w:after="0" w:line="3"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Issuances</w:t>
      </w:r>
      <w:r>
        <w:rPr>
          <w:rFonts w:ascii="Times New Roman" w:cs="Times New Roman" w:eastAsia="Times New Roman" w:hAnsi="Times New Roman"/>
          <w:sz w:val="18"/>
          <w:szCs w:val="18"/>
          <w:color w:val="auto"/>
        </w:rPr>
        <w:t>. Immediately upon receipt by any Loan Party or any Subsidiary of the Net Cash Proceeds of any Debt Issuance, the Borrower shall prepay the Loans and/or Cash Collateralize the L/C Obligations as hereafter provided in an aggregate amount equal to 100% of such Net Cash Proceeds (such prepayment to be applied as set forth in clause (iv) below).</w:t>
      </w:r>
    </w:p>
    <w:p>
      <w:pPr>
        <w:spacing w:after="0" w:line="1" w:lineRule="exact"/>
        <w:rPr>
          <w:rFonts w:ascii="Times New Roman" w:cs="Times New Roman" w:eastAsia="Times New Roman" w:hAnsi="Times New Roman"/>
          <w:sz w:val="18"/>
          <w:szCs w:val="18"/>
          <w:color w:val="auto"/>
        </w:rPr>
      </w:pPr>
    </w:p>
    <w:p>
      <w:pPr>
        <w:ind w:left="1680" w:hanging="927"/>
        <w:spacing w:after="0"/>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Mandatory Prepayments</w:t>
      </w:r>
      <w:r>
        <w:rPr>
          <w:rFonts w:ascii="Times New Roman" w:cs="Times New Roman" w:eastAsia="Times New Roman" w:hAnsi="Times New Roman"/>
          <w:sz w:val="18"/>
          <w:szCs w:val="18"/>
          <w:color w:val="auto"/>
        </w:rPr>
        <w:t xml:space="preserve">. All amounts required to be paid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w:t>
      </w:r>
    </w:p>
    <w:p>
      <w:pPr>
        <w:spacing w:after="0" w:line="4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as follows:</w:t>
      </w:r>
    </w:p>
    <w:p>
      <w:pPr>
        <w:spacing w:after="0" w:line="49" w:lineRule="exact"/>
        <w:rPr>
          <w:rFonts w:ascii="Times New Roman" w:cs="Times New Roman" w:eastAsia="Times New Roman" w:hAnsi="Times New Roman"/>
          <w:sz w:val="18"/>
          <w:szCs w:val="18"/>
          <w:color w:val="auto"/>
        </w:rPr>
      </w:pPr>
    </w:p>
    <w:p>
      <w:pPr>
        <w:ind w:left="760" w:firstLine="641"/>
        <w:spacing w:after="0" w:line="297" w:lineRule="auto"/>
        <w:tabs>
          <w:tab w:leader="none" w:pos="230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amounts prepaid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ratably to Revolving Loans and Swing Line Loans and (after all Revolving Loans and Swing Line Loans have been repaid) to Cash Collateralize L/C Obligations;</w:t>
      </w:r>
    </w:p>
    <w:p>
      <w:pPr>
        <w:jc w:val="both"/>
        <w:ind w:left="760" w:firstLine="641"/>
        <w:spacing w:after="0" w:line="297" w:lineRule="auto"/>
        <w:tabs>
          <w:tab w:leader="none" w:pos="229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amounts prepaid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to the Revolving Loans and then (after all Revolving Loans have been repaid) to Cash Collateralize L/C Obligations (with a corresponding permanent reduction in the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Revolving Commitments).</w:t>
      </w:r>
    </w:p>
    <w:p>
      <w:pPr>
        <w:spacing w:after="0" w:line="27"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18"/>
          <w:szCs w:val="18"/>
          <w:color w:val="auto"/>
        </w:rPr>
        <w:t xml:space="preserve">Within the parameters of the applications set forth above, prepayments shall be applied first to Base Rate Loans and then to Eurodollar Rate Loans in direct order of Interest Period maturities. All prepayments under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but otherwise without premium or penalty, and shall be accompanied by interest on the principal amount prepaid through the date of prepayment.</w:t>
      </w:r>
    </w:p>
    <w:p>
      <w:pPr>
        <w:sectPr>
          <w:pgSz w:w="11900" w:h="16838" w:orient="portrait"/>
          <w:cols w:equalWidth="0" w:num="1">
            <w:col w:w="10220"/>
          </w:cols>
          <w:pgMar w:left="1440" w:top="607" w:right="239" w:bottom="1440" w:gutter="0" w:footer="0" w:header="0"/>
        </w:sectPr>
      </w:pPr>
    </w:p>
    <w:bookmarkStart w:id="79" w:name="page80"/>
    <w:bookmarkEnd w:id="79"/>
    <w:p>
      <w:pPr>
        <w:ind w:left="4" w:firstLine="648"/>
        <w:spacing w:after="0" w:line="28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or Reduction of Aggregate Revolving Commitments.2.06 Termination or Reduction of Aggregate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p>
    <w:p>
      <w:pPr>
        <w:spacing w:after="0" w:line="268" w:lineRule="exact"/>
        <w:rPr>
          <w:sz w:val="20"/>
          <w:szCs w:val="20"/>
          <w:color w:val="auto"/>
        </w:rPr>
      </w:pPr>
    </w:p>
    <w:p>
      <w:pPr>
        <w:jc w:val="both"/>
        <w:ind w:left="4" w:firstLine="645"/>
        <w:spacing w:after="0" w:line="297"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Reductions</w:t>
      </w:r>
      <w:r>
        <w:rPr>
          <w:rFonts w:ascii="Times New Roman" w:cs="Times New Roman" w:eastAsia="Times New Roman" w:hAnsi="Times New Roman"/>
          <w:sz w:val="18"/>
          <w:szCs w:val="18"/>
          <w:color w:val="auto"/>
        </w:rPr>
        <w:t xml:space="preserve">. The Borrower may, upon notice to the Administrative Agent, terminate the Aggregate Revolving Commitments, or from time to time permanently reduce the Aggregate Revolving Commitments to an amount not less than the Outstanding Amount of Revolving Loans, Swing Line Loans and L/C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2:00 p.m. three (3) Business Days prior to the date of termination or reduction, (ii) any such partial reduction shall be in an aggregate amount of $2,000,000 or any whole multiple of $1,000,000 in excess thereof and (iii) the Borrower shall not terminate or reduce (A) the 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w:t>
      </w:r>
    </w:p>
    <w:p>
      <w:pPr>
        <w:spacing w:after="0" w:line="4" w:lineRule="exact"/>
        <w:rPr>
          <w:rFonts w:ascii="Times New Roman" w:cs="Times New Roman" w:eastAsia="Times New Roman" w:hAnsi="Times New Roman"/>
          <w:sz w:val="18"/>
          <w:szCs w:val="18"/>
          <w:color w:val="auto"/>
        </w:rPr>
      </w:pPr>
    </w:p>
    <w:p>
      <w:pPr>
        <w:jc w:val="both"/>
        <w:ind w:left="4" w:firstLine="645"/>
        <w:spacing w:after="0" w:line="297" w:lineRule="auto"/>
        <w:tabs>
          <w:tab w:leader="none" w:pos="15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Reductions</w:t>
      </w:r>
      <w:r>
        <w:rPr>
          <w:rFonts w:ascii="Times New Roman" w:cs="Times New Roman" w:eastAsia="Times New Roman" w:hAnsi="Times New Roman"/>
          <w:sz w:val="18"/>
          <w:szCs w:val="18"/>
          <w:color w:val="auto"/>
        </w:rPr>
        <w:t xml:space="preserve">. If after giving effect to any reduction or termination of Revolving Commitments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the Letter of Credit Sublimit or the Swing Line Sublimit exceeds the Aggregate Revolving Commitments at such time, the Letter of Credit Sublimit or the Swing Line Sublimit, as the case may be, shall be automatically reduced by the amount of such excess.</w:t>
      </w:r>
    </w:p>
    <w:p>
      <w:pPr>
        <w:spacing w:after="0" w:line="1" w:lineRule="exact"/>
        <w:rPr>
          <w:rFonts w:ascii="Times New Roman" w:cs="Times New Roman" w:eastAsia="Times New Roman" w:hAnsi="Times New Roman"/>
          <w:sz w:val="18"/>
          <w:szCs w:val="18"/>
          <w:color w:val="auto"/>
        </w:rPr>
      </w:pPr>
    </w:p>
    <w:p>
      <w:pPr>
        <w:jc w:val="both"/>
        <w:ind w:left="4" w:firstLine="645"/>
        <w:spacing w:after="0" w:line="305" w:lineRule="auto"/>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The Administrative Agent will promptly notify the Lenders of any termination or reduction of the Letter of Credit Sublimit, Swing Line Sublimit or the Aggregate Revolving Commitments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Aggregate Revolving Commitments, the Revolving Commitment of each Lender shall be reduced by such Lender’s Applicable Percentage of such reduction amount. All fees in respect of the Aggregate Revolving Commitments accrued until the effective date of any termination of the Aggregate Revolving Commitments shall be paid on the effective date of such termination.</w:t>
      </w:r>
    </w:p>
    <w:p>
      <w:pPr>
        <w:spacing w:after="0" w:line="224" w:lineRule="exact"/>
        <w:rPr>
          <w:sz w:val="20"/>
          <w:szCs w:val="20"/>
          <w:color w:val="auto"/>
        </w:rPr>
      </w:pPr>
    </w:p>
    <w:p>
      <w:pPr>
        <w:ind w:left="4" w:firstLine="645"/>
        <w:spacing w:after="0" w:line="297" w:lineRule="auto"/>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The Borrower shall repay to the Lenders on the Revolving Loan Maturity Date the aggregate principal amount of all Revolving Loans outstanding on such date.</w:t>
      </w:r>
    </w:p>
    <w:p>
      <w:pPr>
        <w:ind w:left="4" w:firstLine="645"/>
        <w:spacing w:after="0" w:line="297" w:lineRule="auto"/>
        <w:tabs>
          <w:tab w:leader="none" w:pos="15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The Borrower shall repay each Swing Line Loan on the earlier to occur of (i) the date ten (10) Business Days after such Swing Line Loan is made and (ii) the Revolving Loan Maturity Date.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Interest.2.08  Interest..</w:t>
      </w:r>
    </w:p>
    <w:p>
      <w:pPr>
        <w:spacing w:after="0" w:line="50" w:lineRule="exact"/>
        <w:rPr>
          <w:sz w:val="20"/>
          <w:szCs w:val="20"/>
          <w:color w:val="auto"/>
        </w:rPr>
      </w:pPr>
    </w:p>
    <w:p>
      <w:pPr>
        <w:jc w:val="both"/>
        <w:ind w:left="4" w:firstLine="645"/>
        <w:spacing w:after="0" w:line="297"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subsection (b) below, (i) each Eurodollar Rate Loan shall bear interest on the outstanding principal amount thereof for each Interest Period at a rate per annum equal to the sum of the Eurodollar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jc w:val="both"/>
        <w:ind w:left="4" w:hanging="4"/>
        <w:spacing w:after="0" w:line="297" w:lineRule="auto"/>
        <w:tabs>
          <w:tab w:leader="none" w:pos="2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(or with respect to any Swing Line Loan advanced pursuant to an Auto Borrow Agreement, such other rate as separately agreed in writing between the Borrower and the Swing Line Lender).</w:t>
      </w:r>
    </w:p>
    <w:p>
      <w:pPr>
        <w:spacing w:after="0" w:line="1" w:lineRule="exact"/>
        <w:rPr>
          <w:rFonts w:ascii="Times New Roman" w:cs="Times New Roman" w:eastAsia="Times New Roman" w:hAnsi="Times New Roman"/>
          <w:sz w:val="18"/>
          <w:szCs w:val="18"/>
          <w:color w:val="auto"/>
        </w:rPr>
      </w:pPr>
    </w:p>
    <w:p>
      <w:pPr>
        <w:jc w:val="both"/>
        <w:ind w:left="644" w:firstLine="5"/>
        <w:spacing w:after="0" w:line="288" w:lineRule="auto"/>
        <w:tabs>
          <w:tab w:leader="none" w:pos="150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Upon the occurrence of an Event of Default under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outstanding Obligations hereunder shall thereafter bear interest at a fluctuating interest rate per annum at all times equal to the Default Rate to the fullest extent permitted by applicable Laws.</w:t>
      </w:r>
    </w:p>
    <w:p>
      <w:pPr>
        <w:spacing w:after="0" w:line="2" w:lineRule="exact"/>
        <w:rPr>
          <w:rFonts w:ascii="Times New Roman" w:cs="Times New Roman" w:eastAsia="Times New Roman" w:hAnsi="Times New Roman"/>
          <w:sz w:val="18"/>
          <w:szCs w:val="18"/>
          <w:color w:val="auto"/>
        </w:rPr>
      </w:pPr>
    </w:p>
    <w:p>
      <w:pPr>
        <w:jc w:val="both"/>
        <w:ind w:left="644" w:firstLine="653"/>
        <w:spacing w:after="0" w:line="263" w:lineRule="auto"/>
        <w:tabs>
          <w:tab w:leader="none" w:pos="174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Required Lenders, while any other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18"/>
          <w:szCs w:val="18"/>
          <w:color w:val="auto"/>
        </w:rPr>
      </w:pPr>
    </w:p>
    <w:p>
      <w:pPr>
        <w:ind w:left="1804" w:hanging="507"/>
        <w:spacing w:after="0"/>
        <w:tabs>
          <w:tab w:leader="none" w:pos="180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w:t>
      </w:r>
    </w:p>
    <w:p>
      <w:pPr>
        <w:spacing w:after="0" w:line="233" w:lineRule="exact"/>
        <w:rPr>
          <w:rFonts w:ascii="Times New Roman" w:cs="Times New Roman" w:eastAsia="Times New Roman" w:hAnsi="Times New Roman"/>
          <w:sz w:val="18"/>
          <w:szCs w:val="18"/>
          <w:color w:val="auto"/>
        </w:rPr>
      </w:pPr>
    </w:p>
    <w:p>
      <w:pPr>
        <w:jc w:val="both"/>
        <w:ind w:left="4" w:firstLine="645"/>
        <w:spacing w:after="0" w:line="297" w:lineRule="auto"/>
        <w:tabs>
          <w:tab w:leader="none" w:pos="15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Fees.2.09  Fees..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certain fees described in subsections (h) and (i)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left="4" w:firstLine="645"/>
        <w:spacing w:after="0" w:line="305" w:lineRule="auto"/>
        <w:tabs>
          <w:tab w:leader="none" w:pos="1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The Borrower shall pay to the Administrative Agent, for the account of each Lender in accordance with its Applicable Percentage,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at a rate per annum equal to the product of (i)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actual daily amount by which the Aggregate Revolving Commitments exceed the sum of (y) the Outstanding Amount of Revolving Loans and (z) the Outstanding Amount of L/C Obligations, subject to adjustment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For the avoidance of doubt, the Outstanding Amount of Swing Line</w:t>
      </w:r>
    </w:p>
    <w:p>
      <w:pPr>
        <w:sectPr>
          <w:pgSz w:w="11900" w:h="16838" w:orient="portrait"/>
          <w:cols w:equalWidth="0" w:num="1">
            <w:col w:w="10764"/>
          </w:cols>
          <w:pgMar w:left="896" w:top="607" w:right="239" w:bottom="1440" w:gutter="0" w:footer="0" w:header="0"/>
        </w:sectPr>
      </w:pPr>
    </w:p>
    <w:bookmarkStart w:id="80" w:name="page81"/>
    <w:bookmarkEnd w:id="80"/>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 xml:space="preserve">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no Commitment Fee shall accrue on the Revolving Commitment of a Defaulting Lender so long as such Lender shall be a Defaulting Lender and (B) any Commitment Fee accrued with respect to the Revolving Commitment of a Defaulting Lender during the period prior to the time such Lender became a Defaulting Lender and unpaid at such time shall not be payable by the Borrower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5" w:lineRule="exact"/>
        <w:rPr>
          <w:sz w:val="20"/>
          <w:szCs w:val="20"/>
          <w:color w:val="auto"/>
        </w:rPr>
      </w:pPr>
    </w:p>
    <w:p>
      <w:pPr>
        <w:jc w:val="both"/>
        <w:ind w:left="660" w:firstLine="645"/>
        <w:spacing w:after="0" w:line="297" w:lineRule="auto"/>
        <w:tabs>
          <w:tab w:leader="none" w:pos="21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Borrower shall pay to the Arrangers and the Administrative Agent for their own respective accounts fees in the amounts and at the times specified in the Fee Letter. Such fees shall be fully earned when paid and shall be non-refundable for any reason whatsoever.</w:t>
      </w:r>
    </w:p>
    <w:p>
      <w:pPr>
        <w:spacing w:after="0" w:line="1"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Computation of Interest and Fees; Retroactive Adjustments of Applicable Rate.2.10 Computation of Interest and Fees; Retroactive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Adjustments of Applicable Rate..</w:t>
      </w:r>
    </w:p>
    <w:p>
      <w:pPr>
        <w:spacing w:after="0" w:line="1" w:lineRule="exact"/>
        <w:rPr>
          <w:sz w:val="20"/>
          <w:szCs w:val="20"/>
          <w:color w:val="auto"/>
        </w:rPr>
      </w:pPr>
    </w:p>
    <w:p>
      <w:pPr>
        <w:jc w:val="both"/>
        <w:ind w:left="660" w:firstLine="645"/>
        <w:spacing w:after="0" w:line="297" w:lineRule="auto"/>
        <w:tabs>
          <w:tab w:leader="none" w:pos="21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3" w:lineRule="exact"/>
        <w:rPr>
          <w:rFonts w:ascii="Times New Roman" w:cs="Times New Roman" w:eastAsia="Times New Roman" w:hAnsi="Times New Roman"/>
          <w:sz w:val="18"/>
          <w:szCs w:val="18"/>
          <w:color w:val="auto"/>
        </w:rPr>
      </w:pPr>
    </w:p>
    <w:p>
      <w:pPr>
        <w:jc w:val="both"/>
        <w:ind w:left="660" w:firstLine="645"/>
        <w:spacing w:after="0" w:line="301" w:lineRule="auto"/>
        <w:tabs>
          <w:tab w:leader="none" w:pos="21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any restatement of or other adjustment to the financial statements of Holdings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Borrower’s obligations under this paragraph shall terminate on the first anniversary of the later of the termination of the Commitments of all of the Lenders and the repayment of all other Obligations hereunder.</w:t>
      </w:r>
    </w:p>
    <w:p>
      <w:pPr>
        <w:spacing w:after="0" w:line="227" w:lineRule="exact"/>
        <w:rPr>
          <w:sz w:val="20"/>
          <w:szCs w:val="20"/>
          <w:color w:val="auto"/>
        </w:rPr>
      </w:pPr>
    </w:p>
    <w:p>
      <w:pPr>
        <w:jc w:val="both"/>
        <w:ind w:left="660" w:firstLine="645"/>
        <w:spacing w:after="0" w:line="297" w:lineRule="auto"/>
        <w:tabs>
          <w:tab w:leader="none" w:pos="21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on at least three (3) Business Days’ prior notice (except with respect to requests by any Lender for a Revolving Note or a Swing Line Note for delivery on the Closing Date), the Borrower shall execute and deliver to such Lender (through the Administrative Agent) a promissory note, which shall evidence such Lender’s Loans in addition to such accounts or records. Each such promissory note shall (i) in the case of Revolving Loans, be in the form of </w:t>
      </w:r>
      <w:r>
        <w:rPr>
          <w:rFonts w:ascii="Times New Roman" w:cs="Times New Roman" w:eastAsia="Times New Roman" w:hAnsi="Times New Roman"/>
          <w:sz w:val="18"/>
          <w:szCs w:val="18"/>
          <w:u w:val="single" w:color="auto"/>
          <w:color w:val="auto"/>
        </w:rPr>
        <w:t>Exhibit 2.11-1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Revolving Note</w:t>
      </w:r>
      <w:r>
        <w:rPr>
          <w:rFonts w:ascii="Times New Roman" w:cs="Times New Roman" w:eastAsia="Times New Roman" w:hAnsi="Times New Roman"/>
          <w:sz w:val="18"/>
          <w:szCs w:val="18"/>
          <w:color w:val="auto"/>
        </w:rPr>
        <w:t xml:space="preserve">”) and (ii) in the case of Swing Line Loans, be in the form of </w:t>
      </w:r>
      <w:r>
        <w:rPr>
          <w:rFonts w:ascii="Times New Roman" w:cs="Times New Roman" w:eastAsia="Times New Roman" w:hAnsi="Times New Roman"/>
          <w:sz w:val="18"/>
          <w:szCs w:val="18"/>
          <w:u w:val="single" w:color="auto"/>
          <w:color w:val="auto"/>
        </w:rPr>
        <w:t>Exhibit 2.11-2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Swing Line Note</w:t>
      </w:r>
      <w:r>
        <w:rPr>
          <w:rFonts w:ascii="Times New Roman" w:cs="Times New Roman" w:eastAsia="Times New Roman" w:hAnsi="Times New Roman"/>
          <w:sz w:val="18"/>
          <w:szCs w:val="18"/>
          <w:color w:val="auto"/>
        </w:rPr>
        <w:t>”). Each Lender may attach schedules to its Note and endorse thereon the date, Type (if applicable), amount and maturity of its Loans and payments with respect thereto.</w:t>
      </w:r>
    </w:p>
    <w:p>
      <w:pPr>
        <w:spacing w:after="0" w:line="5" w:lineRule="exact"/>
        <w:rPr>
          <w:rFonts w:ascii="Times New Roman" w:cs="Times New Roman" w:eastAsia="Times New Roman" w:hAnsi="Times New Roman"/>
          <w:sz w:val="18"/>
          <w:szCs w:val="18"/>
          <w:color w:val="auto"/>
        </w:rPr>
      </w:pPr>
    </w:p>
    <w:p>
      <w:pPr>
        <w:jc w:val="both"/>
        <w:ind w:left="660" w:firstLine="645"/>
        <w:spacing w:after="0" w:line="308" w:lineRule="auto"/>
        <w:tabs>
          <w:tab w:leader="none" w:pos="21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ectPr>
          <w:pgSz w:w="11900" w:h="16838" w:orient="portrait"/>
          <w:cols w:equalWidth="0" w:num="1">
            <w:col w:w="11420"/>
          </w:cols>
          <w:pgMar w:left="240" w:top="607" w:right="239" w:bottom="1440" w:gutter="0" w:footer="0" w:header="0"/>
        </w:sectPr>
      </w:pPr>
    </w:p>
    <w:bookmarkStart w:id="81" w:name="page82"/>
    <w:bookmarkEnd w:id="81"/>
    <w:p>
      <w:pPr>
        <w:spacing w:after="0"/>
        <w:tabs>
          <w:tab w:leader="none" w:pos="660" w:val="left"/>
          <w:tab w:leader="none" w:pos="5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Payments Generally; Administrative Agent’s Clawback.2.12</w:t>
      </w:r>
      <w:r>
        <w:rPr>
          <w:sz w:val="20"/>
          <w:szCs w:val="20"/>
          <w:color w:val="auto"/>
        </w:rPr>
        <w:tab/>
      </w:r>
      <w:r>
        <w:rPr>
          <w:rFonts w:ascii="Times New Roman" w:cs="Times New Roman" w:eastAsia="Times New Roman" w:hAnsi="Times New Roman"/>
          <w:sz w:val="17"/>
          <w:szCs w:val="17"/>
          <w:u w:val="single" w:color="auto"/>
          <w:color w:val="auto"/>
        </w:rPr>
        <w:t>Payments Generally; Administrative Agent’s Clawback..</w:t>
      </w:r>
    </w:p>
    <w:p>
      <w:pPr>
        <w:spacing w:after="0" w:line="50" w:lineRule="exact"/>
        <w:rPr>
          <w:sz w:val="20"/>
          <w:szCs w:val="20"/>
          <w:color w:val="auto"/>
        </w:rPr>
      </w:pPr>
    </w:p>
    <w:p>
      <w:pPr>
        <w:jc w:val="both"/>
        <w:ind w:firstLine="645"/>
        <w:spacing w:after="0" w:line="297" w:lineRule="auto"/>
        <w:tabs>
          <w:tab w:leader="none" w:pos="14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4" w:lineRule="exact"/>
        <w:rPr>
          <w:rFonts w:ascii="Times New Roman" w:cs="Times New Roman" w:eastAsia="Times New Roman" w:hAnsi="Times New Roman"/>
          <w:sz w:val="18"/>
          <w:szCs w:val="18"/>
          <w:color w:val="auto"/>
        </w:rPr>
      </w:pPr>
    </w:p>
    <w:p>
      <w:pPr>
        <w:jc w:val="both"/>
        <w:ind w:left="640" w:firstLine="5"/>
        <w:spacing w:after="0" w:line="296" w:lineRule="auto"/>
        <w:tabs>
          <w:tab w:leader="none" w:pos="14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any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jc w:val="both"/>
        <w:ind w:left="640" w:firstLine="653"/>
        <w:spacing w:after="0" w:line="253" w:lineRule="auto"/>
        <w:tabs>
          <w:tab w:leader="none" w:pos="171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subsection (b) shall be conclusive, absent manifest error.</w:t>
      </w:r>
    </w:p>
    <w:p>
      <w:pPr>
        <w:spacing w:after="0" w:line="189" w:lineRule="exact"/>
        <w:rPr>
          <w:sz w:val="20"/>
          <w:szCs w:val="20"/>
          <w:color w:val="auto"/>
        </w:rPr>
      </w:pPr>
    </w:p>
    <w:p>
      <w:pPr>
        <w:jc w:val="both"/>
        <w:ind w:firstLine="645"/>
        <w:spacing w:after="0" w:line="297" w:lineRule="auto"/>
        <w:tabs>
          <w:tab w:leader="none" w:pos="14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 w:lineRule="exact"/>
        <w:rPr>
          <w:rFonts w:ascii="Times New Roman" w:cs="Times New Roman" w:eastAsia="Times New Roman" w:hAnsi="Times New Roman"/>
          <w:sz w:val="18"/>
          <w:szCs w:val="18"/>
          <w:color w:val="auto"/>
        </w:rPr>
      </w:pPr>
    </w:p>
    <w:p>
      <w:pPr>
        <w:jc w:val="both"/>
        <w:ind w:firstLine="645"/>
        <w:spacing w:after="0" w:line="308" w:lineRule="auto"/>
        <w:tabs>
          <w:tab w:leader="none" w:pos="15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w:t>
      </w:r>
    </w:p>
    <w:p>
      <w:pPr>
        <w:sectPr>
          <w:pgSz w:w="11900" w:h="16838" w:orient="portrait"/>
          <w:cols w:equalWidth="0" w:num="1">
            <w:col w:w="10760"/>
          </w:cols>
          <w:pgMar w:left="900" w:top="607" w:right="239" w:bottom="1440" w:gutter="0" w:footer="0" w:header="0"/>
        </w:sectPr>
      </w:pPr>
    </w:p>
    <w:bookmarkStart w:id="82" w:name="page83"/>
    <w:bookmarkEnd w:id="82"/>
    <w:p>
      <w:pPr>
        <w:ind w:left="660"/>
        <w:spacing w:after="0" w:line="297" w:lineRule="auto"/>
        <w:rPr>
          <w:sz w:val="20"/>
          <w:szCs w:val="20"/>
          <w:color w:val="auto"/>
        </w:rPr>
      </w:pPr>
      <w:r>
        <w:rPr>
          <w:rFonts w:ascii="Times New Roman" w:cs="Times New Roman" w:eastAsia="Times New Roman" w:hAnsi="Times New Roman"/>
          <w:sz w:val="18"/>
          <w:szCs w:val="18"/>
          <w:color w:val="auto"/>
        </w:rPr>
        <w:t xml:space="preserve">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660" w:firstLine="645"/>
        <w:spacing w:after="0" w:line="297" w:lineRule="auto"/>
        <w:tabs>
          <w:tab w:leader="none" w:pos="21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 w:lineRule="exact"/>
        <w:rPr>
          <w:sz w:val="20"/>
          <w:szCs w:val="20"/>
          <w:color w:val="auto"/>
        </w:rPr>
      </w:pPr>
    </w:p>
    <w:p>
      <w:pPr>
        <w:ind w:left="660"/>
        <w:spacing w:after="0"/>
        <w:tabs>
          <w:tab w:leader="none" w:pos="1320" w:val="left"/>
          <w:tab w:leader="none" w:pos="4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Sharing of Payments by Lenders.2.13</w:t>
      </w:r>
      <w:r>
        <w:rPr>
          <w:sz w:val="20"/>
          <w:szCs w:val="20"/>
          <w:color w:val="auto"/>
        </w:rPr>
        <w:tab/>
      </w:r>
      <w:r>
        <w:rPr>
          <w:rFonts w:ascii="Times New Roman" w:cs="Times New Roman" w:eastAsia="Times New Roman" w:hAnsi="Times New Roman"/>
          <w:sz w:val="17"/>
          <w:szCs w:val="17"/>
          <w:u w:val="single" w:color="auto"/>
          <w:color w:val="auto"/>
        </w:rPr>
        <w:t>Sharing of Payments by Lenders..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(excluding any amounts applied by the Swing Line Lender to outstanding Swing Line Loans)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17" w:lineRule="exact"/>
        <w:rPr>
          <w:sz w:val="20"/>
          <w:szCs w:val="20"/>
          <w:color w:val="auto"/>
        </w:rPr>
      </w:pPr>
    </w:p>
    <w:p>
      <w:pPr>
        <w:jc w:val="both"/>
        <w:ind w:left="1300" w:firstLine="653"/>
        <w:spacing w:after="0" w:line="297" w:lineRule="auto"/>
        <w:tabs>
          <w:tab w:leader="none" w:pos="27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(z) any payment obtained by a Lender as consideration for the assignment of or sale of a participation in any of its Loans or subparticipations in L/C Obligations or Swing Line Loans to any assignee or participant, other than an assignment to the Borrower or any Subsidiary thereof (as to which the provisions of this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shall apply).</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6" w:lineRule="exact"/>
        <w:rPr>
          <w:sz w:val="20"/>
          <w:szCs w:val="20"/>
          <w:color w:val="auto"/>
        </w:rPr>
      </w:pPr>
    </w:p>
    <w:p>
      <w:pPr>
        <w:ind w:left="1300"/>
        <w:spacing w:after="0"/>
        <w:tabs>
          <w:tab w:leader="none" w:pos="1980" w:val="left"/>
          <w:tab w:leader="none" w:pos="3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Cash Collateral.2.14</w:t>
      </w:r>
      <w:r>
        <w:rPr>
          <w:sz w:val="20"/>
          <w:szCs w:val="20"/>
          <w:color w:val="auto"/>
        </w:rPr>
        <w:tab/>
      </w:r>
      <w:r>
        <w:rPr>
          <w:rFonts w:ascii="Times New Roman" w:cs="Times New Roman" w:eastAsia="Times New Roman" w:hAnsi="Times New Roman"/>
          <w:sz w:val="17"/>
          <w:szCs w:val="17"/>
          <w:u w:val="single" w:color="auto"/>
          <w:color w:val="auto"/>
        </w:rPr>
        <w:t>Cash Collateral..</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or (iv) there shall exist a Defaulting Lender, the Borrower shall within one Business Day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xml:space="preserve"> and any Cash Collateral provided by the Defaulting Lender).</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5" w:lineRule="exact"/>
        <w:rPr>
          <w:rFonts w:ascii="Times New Roman" w:cs="Times New Roman" w:eastAsia="Times New Roman" w:hAnsi="Times New Roman"/>
          <w:sz w:val="18"/>
          <w:szCs w:val="18"/>
          <w:color w:val="auto"/>
        </w:rPr>
      </w:pPr>
    </w:p>
    <w:p>
      <w:pPr>
        <w:jc w:val="both"/>
        <w:ind w:left="660" w:firstLine="645"/>
        <w:spacing w:after="0" w:line="305" w:lineRule="auto"/>
        <w:tabs>
          <w:tab w:leader="none" w:pos="21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xml:space="preserve"> in respect of Letters of Credit shall be held and applied in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ectPr>
          <w:pgSz w:w="11900" w:h="16838" w:orient="portrait"/>
          <w:cols w:equalWidth="0" w:num="1">
            <w:col w:w="11420"/>
          </w:cols>
          <w:pgMar w:left="240" w:top="607" w:right="239" w:bottom="1440" w:gutter="0" w:footer="0" w:header="0"/>
        </w:sectPr>
      </w:pPr>
    </w:p>
    <w:bookmarkStart w:id="83" w:name="page84"/>
    <w:bookmarkEnd w:id="83"/>
    <w:p>
      <w:pPr>
        <w:jc w:val="both"/>
        <w:ind w:left="4" w:firstLine="645"/>
        <w:spacing w:after="0" w:line="315" w:lineRule="auto"/>
        <w:tabs>
          <w:tab w:leader="none" w:pos="151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7"/>
          <w:szCs w:val="17"/>
          <w:u w:val="single" w:color="auto"/>
          <w:color w:val="auto"/>
        </w:rPr>
        <w:t>Section 11.06(b)(vi)</w:t>
      </w:r>
      <w:r>
        <w:rPr>
          <w:rFonts w:ascii="Times New Roman" w:cs="Times New Roman" w:eastAsia="Times New Roman" w:hAnsi="Times New Roman"/>
          <w:sz w:val="17"/>
          <w:szCs w:val="17"/>
          <w:color w:val="auto"/>
        </w:rPr>
        <w:t>) or</w:t>
      </w:r>
    </w:p>
    <w:p>
      <w:pPr>
        <w:jc w:val="both"/>
        <w:ind w:left="4" w:hanging="4"/>
        <w:spacing w:after="0" w:line="305" w:lineRule="auto"/>
        <w:tabs>
          <w:tab w:leader="none" w:pos="2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224" w:lineRule="exact"/>
        <w:rPr>
          <w:sz w:val="20"/>
          <w:szCs w:val="20"/>
          <w:color w:val="auto"/>
        </w:rPr>
      </w:pPr>
    </w:p>
    <w:p>
      <w:pPr>
        <w:ind w:left="4" w:firstLine="645"/>
        <w:spacing w:after="0" w:line="297"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ind w:left="644" w:firstLine="653"/>
        <w:spacing w:after="0" w:line="297" w:lineRule="auto"/>
        <w:tabs>
          <w:tab w:leader="none" w:pos="211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jc w:val="both"/>
        <w:ind w:left="644" w:firstLine="653"/>
        <w:spacing w:after="0" w:line="297"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of any amounts owing by such Defaulting Lender to the L/C Issuer or Swing 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Default (that has not yet become an Event of Default) exists, such amount or amounts shall not be paid pursuant to this clause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until such time as such Default is either cured or waived pursuant to the terms of this Agreement (or if such Default has become an Event of Default, such amount or amounts shall be paid pursuant to clause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below);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3" w:lineRule="exact"/>
        <w:rPr>
          <w:rFonts w:ascii="Times New Roman" w:cs="Times New Roman" w:eastAsia="Times New Roman" w:hAnsi="Times New Roman"/>
          <w:sz w:val="18"/>
          <w:szCs w:val="18"/>
          <w:color w:val="auto"/>
        </w:rPr>
      </w:pPr>
    </w:p>
    <w:p>
      <w:pPr>
        <w:ind w:left="2224" w:hanging="927"/>
        <w:spacing w:after="0"/>
        <w:tabs>
          <w:tab w:leader="none" w:pos="22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304" w:firstLine="641"/>
        <w:spacing w:after="0" w:line="297" w:lineRule="auto"/>
        <w:tabs>
          <w:tab w:leader="none" w:pos="285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 w:lineRule="exact"/>
        <w:rPr>
          <w:rFonts w:ascii="Times New Roman" w:cs="Times New Roman" w:eastAsia="Times New Roman" w:hAnsi="Times New Roman"/>
          <w:sz w:val="18"/>
          <w:szCs w:val="18"/>
          <w:color w:val="auto"/>
        </w:rPr>
      </w:pPr>
    </w:p>
    <w:p>
      <w:pPr>
        <w:ind w:left="1304" w:right="20" w:firstLine="641"/>
        <w:spacing w:after="0" w:line="329" w:lineRule="auto"/>
        <w:tabs>
          <w:tab w:leader="none" w:pos="28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Letter of Credit Fees for any period during which that Lender is a Defaulting Lender only to the extent allocable to its Applicable</w:t>
      </w:r>
    </w:p>
    <w:p>
      <w:pPr>
        <w:sectPr>
          <w:pgSz w:w="11900" w:h="16838" w:orient="portrait"/>
          <w:cols w:equalWidth="0" w:num="1">
            <w:col w:w="10764"/>
          </w:cols>
          <w:pgMar w:left="896" w:top="607" w:right="239" w:bottom="1440" w:gutter="0" w:footer="0" w:header="0"/>
        </w:sectPr>
      </w:pPr>
    </w:p>
    <w:bookmarkStart w:id="84" w:name="page85"/>
    <w:bookmarkEnd w:id="84"/>
    <w:p>
      <w:pPr>
        <w:ind w:left="1960"/>
        <w:spacing w:after="0"/>
        <w:rPr>
          <w:sz w:val="20"/>
          <w:szCs w:val="20"/>
          <w:color w:val="auto"/>
        </w:rPr>
      </w:pPr>
      <w:r>
        <w:rPr>
          <w:rFonts w:ascii="Times New Roman" w:cs="Times New Roman" w:eastAsia="Times New Roman" w:hAnsi="Times New Roman"/>
          <w:sz w:val="18"/>
          <w:szCs w:val="18"/>
          <w:color w:val="auto"/>
        </w:rPr>
        <w:t xml:space="preserve">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480" w:hanging="879"/>
        <w:spacing w:after="0"/>
        <w:tabs>
          <w:tab w:leader="none" w:pos="34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Fee not required to be paid to any Defaulting Lender pursuant to clause</w:t>
      </w:r>
    </w:p>
    <w:p>
      <w:pPr>
        <w:spacing w:after="0" w:line="49" w:lineRule="exact"/>
        <w:rPr>
          <w:rFonts w:ascii="Times New Roman" w:cs="Times New Roman" w:eastAsia="Times New Roman" w:hAnsi="Times New Roman"/>
          <w:sz w:val="18"/>
          <w:szCs w:val="18"/>
          <w:color w:val="auto"/>
        </w:rPr>
      </w:pPr>
    </w:p>
    <w:p>
      <w:pPr>
        <w:jc w:val="both"/>
        <w:ind w:left="1960" w:hanging="7"/>
        <w:spacing w:after="0" w:line="297" w:lineRule="auto"/>
        <w:tabs>
          <w:tab w:leader="none" w:pos="227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2" w:lineRule="exact"/>
        <w:rPr>
          <w:sz w:val="20"/>
          <w:szCs w:val="20"/>
          <w:color w:val="auto"/>
        </w:rPr>
      </w:pPr>
    </w:p>
    <w:p>
      <w:pPr>
        <w:jc w:val="both"/>
        <w:ind w:left="1300" w:firstLine="653"/>
        <w:spacing w:after="0" w:line="297" w:lineRule="auto"/>
        <w:tabs>
          <w:tab w:leader="none" w:pos="28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Revolving Commitment) but only to the extent that 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 Line Loans</w:t>
      </w:r>
      <w:r>
        <w:rPr>
          <w:rFonts w:ascii="Times New Roman" w:cs="Times New Roman" w:eastAsia="Times New Roman" w:hAnsi="Times New Roman"/>
          <w:sz w:val="18"/>
          <w:szCs w:val="18"/>
          <w:color w:val="auto"/>
        </w:rPr>
        <w:t>. If the reallocation described in clause (a)(iv) above cannot, or can only partially, be effected, the Borrower shall, without prejudice to any right or remedy available to it hereunder or under applicable Law,</w:t>
      </w:r>
    </w:p>
    <w:p>
      <w:pPr>
        <w:ind w:left="1560" w:hanging="255"/>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prepay Swing Line Loans in an amount equal to the Swing Line Lender’s Fronting Exposure and (y) second, Cash Collateralize the</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L/C Issuer’s Fronting Exposure in accordance with the procedures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660" w:firstLine="645"/>
        <w:spacing w:after="0" w:line="297" w:lineRule="auto"/>
        <w:tabs>
          <w:tab w:leader="none" w:pos="21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5" w:lineRule="exact"/>
        <w:rPr>
          <w:sz w:val="20"/>
          <w:szCs w:val="20"/>
          <w:color w:val="auto"/>
        </w:rPr>
      </w:pPr>
    </w:p>
    <w:p>
      <w:pPr>
        <w:ind w:left="660"/>
        <w:spacing w:after="0"/>
        <w:tabs>
          <w:tab w:leader="none" w:pos="132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Increase Option.2.16</w:t>
      </w:r>
      <w:r>
        <w:rPr>
          <w:sz w:val="20"/>
          <w:szCs w:val="20"/>
          <w:color w:val="auto"/>
        </w:rPr>
        <w:tab/>
      </w:r>
      <w:r>
        <w:rPr>
          <w:rFonts w:ascii="Times New Roman" w:cs="Times New Roman" w:eastAsia="Times New Roman" w:hAnsi="Times New Roman"/>
          <w:sz w:val="17"/>
          <w:szCs w:val="17"/>
          <w:u w:val="single" w:color="auto"/>
          <w:color w:val="auto"/>
        </w:rPr>
        <w:t>Increase Option.</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Borrower may, at any time and from time to time, upon prior written notice by the Borrower to the Administrative Agent increase the Aggregate Revolving Commitments (but not the Letter of Credit Sublimit or the Swing Line Sublimit) by a maximum aggregate amount of up to FORTY MILLION DOLLARS ($40,000,000) with additional Revolving Commitments from any existing Lender with a Revolving Commitment or new Revolving Commitments from any other Person selected by the Borrower and acceptable to the Administrative Agent, the Swing Line Lender and the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ind w:left="1680" w:hanging="375"/>
        <w:spacing w:after="0"/>
        <w:tabs>
          <w:tab w:leader="none" w:pos="1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shall be in a minimum principal amount of $10,000,000 and in integral multiples of $1,000,000 in excess thereof;</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and be continuing at the time of any such increase;</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8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Lender shall be under any obligation to increase its Commitment and any such decision whether to increase its Commitment shall be in such Lender’s sole and absolute discretion;</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new Lender shall join this Agreement by executing such joinder documents required by the Administrative Agent and/or (ii) any existing Lender electing to increase its Commitment shall have executed a commitment agreement satisfactory to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6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such increase, the Borrower shall deliver to the Administrative Agent a certificate of each Loan Party dated as of the date of such increase (in sufficient copies for each Lender) signed by a Responsible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other Loan Documents are true and correct</w:t>
      </w:r>
    </w:p>
    <w:p>
      <w:pPr>
        <w:sectPr>
          <w:pgSz w:w="11900" w:h="16838" w:orient="portrait"/>
          <w:cols w:equalWidth="0" w:num="1">
            <w:col w:w="11420"/>
          </w:cols>
          <w:pgMar w:left="240" w:top="607" w:right="239" w:bottom="1440" w:gutter="0" w:footer="0" w:header="0"/>
        </w:sectPr>
      </w:pPr>
    </w:p>
    <w:bookmarkStart w:id="85" w:name="page86"/>
    <w:bookmarkEnd w:id="85"/>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in all material respects (and in all respects if any such representation or warranty is already qualified by materiality or reference to Material Adverse Effect) on and as of the date of such increase, except to the extent that such representations and warranties specifically refer to an earlier date, in which case they are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(2) no Default or Event of Default exists and (3) upon giving Pro Forma Effect to such increase, the Loan Parties would be in compliance with the financial covenants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185" w:lineRule="exact"/>
        <w:rPr>
          <w:sz w:val="20"/>
          <w:szCs w:val="20"/>
          <w:color w:val="auto"/>
        </w:rPr>
      </w:pPr>
    </w:p>
    <w:p>
      <w:pPr>
        <w:ind w:left="660" w:firstLine="645"/>
        <w:spacing w:after="0" w:line="282" w:lineRule="auto"/>
        <w:tabs>
          <w:tab w:leader="none" w:pos="16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be deemed revised to include any increase in the Aggregate Revolving Commitments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to include thereon any Person that becomes a Lender pursuant to </w:t>
      </w:r>
      <w:r>
        <w:rPr>
          <w:rFonts w:ascii="Times New Roman" w:cs="Times New Roman" w:eastAsia="Times New Roman" w:hAnsi="Times New Roman"/>
          <w:sz w:val="18"/>
          <w:szCs w:val="18"/>
          <w:u w:val="single" w:color="auto"/>
          <w:color w:val="auto"/>
        </w:rPr>
        <w:t>Section 2.16(d)(i)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Borrower shall prepay any Loans owing by it and outstanding on the date of any such increase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to the extent necessary to keep the outstanding Loans ratable with any revised Commitments arising from any non-ratable increase in the Commitments under this Section.</w:t>
      </w: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ARTICLE VII</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ARTICLE VIII</w:t>
      </w:r>
    </w:p>
    <w:p>
      <w:pPr>
        <w:spacing w:after="0" w:line="50" w:lineRule="exact"/>
        <w:rPr>
          <w:sz w:val="20"/>
          <w:szCs w:val="20"/>
          <w:color w:val="auto"/>
        </w:rPr>
      </w:pPr>
    </w:p>
    <w:p>
      <w:pPr>
        <w:ind w:left="2620"/>
        <w:spacing w:after="0"/>
        <w:tabs>
          <w:tab w:leader="none" w:pos="4880" w:val="left"/>
        </w:tabs>
        <w:rPr>
          <w:sz w:val="20"/>
          <w:szCs w:val="20"/>
          <w:color w:val="auto"/>
        </w:rPr>
      </w:pPr>
      <w:r>
        <w:rPr>
          <w:rFonts w:ascii="Times New Roman" w:cs="Times New Roman" w:eastAsia="Times New Roman" w:hAnsi="Times New Roman"/>
          <w:sz w:val="18"/>
          <w:szCs w:val="18"/>
          <w:color w:val="auto"/>
        </w:rPr>
        <w:t>ARTICLE IX</w:t>
      </w:r>
      <w:r>
        <w:rPr>
          <w:sz w:val="20"/>
          <w:szCs w:val="20"/>
          <w:color w:val="auto"/>
        </w:rPr>
        <w:tab/>
      </w:r>
      <w:r>
        <w:rPr>
          <w:rFonts w:ascii="Times New Roman" w:cs="Times New Roman" w:eastAsia="Times New Roman" w:hAnsi="Times New Roman"/>
          <w:sz w:val="17"/>
          <w:szCs w:val="17"/>
          <w:color w:val="auto"/>
        </w:rPr>
        <w:t>TAXES, YIELD PROTECTION AND ILLEGALITY</w:t>
      </w:r>
    </w:p>
    <w:p>
      <w:pPr>
        <w:spacing w:after="0" w:line="50" w:lineRule="exact"/>
        <w:rPr>
          <w:sz w:val="20"/>
          <w:szCs w:val="20"/>
          <w:color w:val="auto"/>
        </w:rPr>
      </w:pPr>
    </w:p>
    <w:p>
      <w:pPr>
        <w:ind w:left="1340" w:hanging="684"/>
        <w:spacing w:after="0"/>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Taxes.3.01  Taxes..</w:t>
      </w:r>
    </w:p>
    <w:p>
      <w:pPr>
        <w:spacing w:after="0" w:line="49"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76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2"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1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4"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6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 w:lineRule="exact"/>
        <w:rPr>
          <w:rFonts w:ascii="Times New Roman" w:cs="Times New Roman" w:eastAsia="Times New Roman" w:hAnsi="Times New Roman"/>
          <w:sz w:val="18"/>
          <w:szCs w:val="18"/>
          <w:color w:val="auto"/>
        </w:rPr>
      </w:pPr>
    </w:p>
    <w:p>
      <w:pPr>
        <w:jc w:val="both"/>
        <w:ind w:left="1300" w:firstLine="5"/>
        <w:spacing w:after="0" w:line="313" w:lineRule="auto"/>
        <w:tabs>
          <w:tab w:leader="none" w:pos="21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(i) 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w:t>
      </w:r>
    </w:p>
    <w:p>
      <w:pPr>
        <w:sectPr>
          <w:pgSz w:w="11900" w:h="16838" w:orient="portrait"/>
          <w:cols w:equalWidth="0" w:num="1">
            <w:col w:w="11420"/>
          </w:cols>
          <w:pgMar w:left="240" w:top="580" w:right="239" w:bottom="1440" w:gutter="0" w:footer="0" w:header="0"/>
        </w:sectPr>
      </w:pPr>
    </w:p>
    <w:bookmarkStart w:id="86" w:name="page87"/>
    <w:bookmarkEnd w:id="86"/>
    <w:p>
      <w:pPr>
        <w:jc w:val="both"/>
        <w:ind w:left="100"/>
        <w:spacing w:after="0" w:line="297" w:lineRule="auto"/>
        <w:rPr>
          <w:sz w:val="20"/>
          <w:szCs w:val="20"/>
          <w:color w:val="auto"/>
        </w:rPr>
      </w:pPr>
      <w:r>
        <w:rPr>
          <w:rFonts w:ascii="Times New Roman" w:cs="Times New Roman" w:eastAsia="Times New Roman" w:hAnsi="Times New Roman"/>
          <w:sz w:val="18"/>
          <w:szCs w:val="18"/>
          <w:color w:val="auto"/>
        </w:rPr>
        <w:t xml:space="preserve">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4" w:lineRule="exact"/>
        <w:rPr>
          <w:sz w:val="20"/>
          <w:szCs w:val="20"/>
          <w:color w:val="auto"/>
        </w:rPr>
      </w:pPr>
    </w:p>
    <w:p>
      <w:pPr>
        <w:jc w:val="both"/>
        <w:ind w:left="100" w:firstLine="653"/>
        <w:spacing w:after="0" w:line="297" w:lineRule="auto"/>
        <w:tabs>
          <w:tab w:leader="none" w:pos="156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w:t>
      </w:r>
    </w:p>
    <w:p>
      <w:pPr>
        <w:spacing w:after="0" w:line="5"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Loan Party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Loan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 w:lineRule="exact"/>
        <w:rPr>
          <w:rFonts w:ascii="Times New Roman" w:cs="Times New Roman" w:eastAsia="Times New Roman" w:hAnsi="Times New Roman"/>
          <w:sz w:val="18"/>
          <w:szCs w:val="18"/>
          <w:color w:val="auto"/>
        </w:rPr>
      </w:pPr>
    </w:p>
    <w:p>
      <w:pPr>
        <w:jc w:val="both"/>
        <w:ind w:left="100" w:firstLine="5"/>
        <w:spacing w:after="0" w:line="297" w:lineRule="auto"/>
        <w:tabs>
          <w:tab w:leader="none" w:pos="9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5" w:lineRule="exact"/>
        <w:rPr>
          <w:rFonts w:ascii="Times New Roman" w:cs="Times New Roman" w:eastAsia="Times New Roman" w:hAnsi="Times New Roman"/>
          <w:sz w:val="18"/>
          <w:szCs w:val="18"/>
          <w:color w:val="auto"/>
        </w:rPr>
      </w:pPr>
    </w:p>
    <w:p>
      <w:pPr>
        <w:ind w:left="1580" w:hanging="827"/>
        <w:spacing w:after="0"/>
        <w:tabs>
          <w:tab w:leader="none" w:pos="15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49" w:lineRule="exact"/>
        <w:rPr>
          <w:rFonts w:ascii="Times New Roman" w:cs="Times New Roman" w:eastAsia="Times New Roman" w:hAnsi="Times New Roman"/>
          <w:sz w:val="18"/>
          <w:szCs w:val="18"/>
          <w:color w:val="auto"/>
        </w:rPr>
      </w:pPr>
    </w:p>
    <w:p>
      <w:pPr>
        <w:jc w:val="both"/>
        <w:ind w:left="760" w:firstLine="641"/>
        <w:spacing w:after="0" w:line="297" w:lineRule="auto"/>
        <w:tabs>
          <w:tab w:leader="none" w:pos="2306"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 w:lineRule="exact"/>
        <w:rPr>
          <w:rFonts w:ascii="Times New Roman" w:cs="Times New Roman" w:eastAsia="Times New Roman" w:hAnsi="Times New Roman"/>
          <w:sz w:val="18"/>
          <w:szCs w:val="18"/>
          <w:color w:val="auto"/>
        </w:rPr>
      </w:pPr>
    </w:p>
    <w:p>
      <w:pPr>
        <w:jc w:val="both"/>
        <w:ind w:left="760" w:firstLine="641"/>
        <w:spacing w:after="0" w:line="297" w:lineRule="auto"/>
        <w:tabs>
          <w:tab w:leader="none" w:pos="2296"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 w:lineRule="exact"/>
        <w:rPr>
          <w:rFonts w:ascii="Times New Roman" w:cs="Times New Roman" w:eastAsia="Times New Roman" w:hAnsi="Times New Roman"/>
          <w:sz w:val="18"/>
          <w:szCs w:val="18"/>
          <w:color w:val="auto"/>
        </w:rPr>
      </w:pPr>
    </w:p>
    <w:p>
      <w:pPr>
        <w:jc w:val="both"/>
        <w:ind w:left="1400" w:firstLine="649"/>
        <w:spacing w:after="0" w:line="308" w:lineRule="auto"/>
        <w:tabs>
          <w:tab w:leader="none" w:pos="2876" w:val="left"/>
        </w:tabs>
        <w:numPr>
          <w:ilvl w:val="3"/>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w:t>
      </w:r>
    </w:p>
    <w:p>
      <w:pPr>
        <w:sectPr>
          <w:pgSz w:w="11900" w:h="16838" w:orient="portrait"/>
          <w:cols w:equalWidth="0" w:num="1">
            <w:col w:w="10220"/>
          </w:cols>
          <w:pgMar w:left="1440" w:top="607" w:right="239" w:bottom="1440" w:gutter="0" w:footer="0" w:header="0"/>
        </w:sectPr>
      </w:pPr>
    </w:p>
    <w:bookmarkStart w:id="87" w:name="page88"/>
    <w:bookmarkEnd w:id="87"/>
    <w:p>
      <w:pPr>
        <w:jc w:val="both"/>
        <w:ind w:left="1400"/>
        <w:spacing w:after="0" w:line="297" w:lineRule="auto"/>
        <w:rPr>
          <w:sz w:val="20"/>
          <w:szCs w:val="20"/>
          <w:color w:val="auto"/>
        </w:rPr>
      </w:pPr>
      <w:r>
        <w:rPr>
          <w:rFonts w:ascii="Times New Roman" w:cs="Times New Roman" w:eastAsia="Times New Roman" w:hAnsi="Times New Roman"/>
          <w:sz w:val="18"/>
          <w:szCs w:val="18"/>
          <w:color w:val="auto"/>
        </w:rPr>
        <w:t>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 w:lineRule="exact"/>
        <w:rPr>
          <w:sz w:val="20"/>
          <w:szCs w:val="20"/>
          <w:color w:val="auto"/>
        </w:rPr>
      </w:pPr>
    </w:p>
    <w:p>
      <w:pPr>
        <w:ind w:left="2940" w:hanging="891"/>
        <w:spacing w:after="0"/>
        <w:tabs>
          <w:tab w:leader="none" w:pos="2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Internal Revenue Service Form W-8ECI,</w:t>
      </w:r>
    </w:p>
    <w:p>
      <w:pPr>
        <w:spacing w:after="0" w:line="50" w:lineRule="exact"/>
        <w:rPr>
          <w:sz w:val="20"/>
          <w:szCs w:val="20"/>
          <w:color w:val="auto"/>
        </w:rPr>
      </w:pPr>
    </w:p>
    <w:p>
      <w:pPr>
        <w:jc w:val="both"/>
        <w:ind w:left="1400" w:firstLine="649"/>
        <w:spacing w:after="0" w:line="297" w:lineRule="auto"/>
        <w:tabs>
          <w:tab w:leader="none" w:pos="29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8"/>
          <w:szCs w:val="18"/>
          <w:u w:val="single" w:color="auto"/>
          <w:color w:val="auto"/>
        </w:rPr>
        <w:t>Exhibit 3.01-1</w:t>
      </w:r>
      <w:r>
        <w:rPr>
          <w:rFonts w:ascii="Times New Roman" w:cs="Times New Roman" w:eastAsia="Times New Roman" w:hAnsi="Times New Roman"/>
          <w:sz w:val="18"/>
          <w:szCs w:val="18"/>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copies of IRS Form W-8BEN (or W-8BEN, as applicable); or</w:t>
      </w:r>
    </w:p>
    <w:p>
      <w:pPr>
        <w:spacing w:after="0" w:line="3" w:lineRule="exact"/>
        <w:rPr>
          <w:sz w:val="20"/>
          <w:szCs w:val="20"/>
          <w:color w:val="auto"/>
        </w:rPr>
      </w:pPr>
    </w:p>
    <w:p>
      <w:pPr>
        <w:jc w:val="both"/>
        <w:ind w:left="1400" w:firstLine="648"/>
        <w:spacing w:after="0" w:line="297"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3.01-2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3.01-3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3.01-4</w:t>
      </w:r>
      <w:r>
        <w:rPr>
          <w:rFonts w:ascii="Times New Roman" w:cs="Times New Roman" w:eastAsia="Times New Roman" w:hAnsi="Times New Roman"/>
          <w:sz w:val="18"/>
          <w:szCs w:val="18"/>
          <w:color w:val="auto"/>
        </w:rPr>
        <w:t xml:space="preserve"> on behalf of each such direct and indirect partner;</w:t>
      </w:r>
    </w:p>
    <w:p>
      <w:pPr>
        <w:spacing w:after="0" w:line="3" w:lineRule="exact"/>
        <w:rPr>
          <w:sz w:val="20"/>
          <w:szCs w:val="20"/>
          <w:color w:val="auto"/>
        </w:rPr>
      </w:pPr>
    </w:p>
    <w:p>
      <w:pPr>
        <w:jc w:val="both"/>
        <w:ind w:left="760" w:firstLine="641"/>
        <w:spacing w:after="0" w:line="297" w:lineRule="auto"/>
        <w:tabs>
          <w:tab w:leader="none" w:pos="229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3" w:lineRule="exact"/>
        <w:rPr>
          <w:rFonts w:ascii="Times New Roman" w:cs="Times New Roman" w:eastAsia="Times New Roman" w:hAnsi="Times New Roman"/>
          <w:sz w:val="18"/>
          <w:szCs w:val="18"/>
          <w:color w:val="auto"/>
        </w:rPr>
      </w:pPr>
    </w:p>
    <w:p>
      <w:pPr>
        <w:jc w:val="both"/>
        <w:ind w:left="760" w:firstLine="641"/>
        <w:spacing w:after="0" w:line="297" w:lineRule="auto"/>
        <w:tabs>
          <w:tab w:leader="none" w:pos="230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4"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300" w:lineRule="auto"/>
        <w:tabs>
          <w:tab w:leader="none" w:pos="9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w:t>
      </w:r>
    </w:p>
    <w:p>
      <w:pPr>
        <w:sectPr>
          <w:pgSz w:w="11900" w:h="16838" w:orient="portrait"/>
          <w:cols w:equalWidth="0" w:num="1">
            <w:col w:w="10220"/>
          </w:cols>
          <w:pgMar w:left="1440" w:top="607" w:right="239" w:bottom="1440" w:gutter="0" w:footer="0" w:header="0"/>
        </w:sectPr>
      </w:pPr>
    </w:p>
    <w:bookmarkStart w:id="88" w:name="page89"/>
    <w:bookmarkEnd w:id="88"/>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 w:lineRule="exact"/>
        <w:rPr>
          <w:sz w:val="20"/>
          <w:szCs w:val="20"/>
          <w:color w:val="auto"/>
        </w:rPr>
      </w:pPr>
    </w:p>
    <w:p>
      <w:pPr>
        <w:jc w:val="both"/>
        <w:ind w:left="660" w:firstLine="645"/>
        <w:spacing w:after="0" w:line="297" w:lineRule="auto"/>
        <w:tabs>
          <w:tab w:leader="none" w:pos="21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Illegality.3.02  Illegality..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w:t>
      </w:r>
    </w:p>
    <w:p>
      <w:pPr>
        <w:spacing w:after="0" w:line="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its Lending Office to perform any of its obligations hereunder or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issue, make, maintain, fund or charge interest with respect to any such Credit Extension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promptly after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218" w:lineRule="exact"/>
        <w:rPr>
          <w:sz w:val="20"/>
          <w:szCs w:val="20"/>
          <w:color w:val="auto"/>
        </w:rPr>
      </w:pPr>
    </w:p>
    <w:p>
      <w:pPr>
        <w:ind w:left="1300"/>
        <w:spacing w:after="0"/>
        <w:tabs>
          <w:tab w:leader="none" w:pos="1980" w:val="left"/>
          <w:tab w:leader="none" w:pos="4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Inability to Determine Rates.3.03</w:t>
        <w:tab/>
        <w:t>Inability to Determine Rates..</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in connection with any request for a Eurodollar Rate Loan or a conversion to or continuation thereof or otherwise, (a) the Administrative Agent determines that (i) Dollar deposits are not being offered to banks in the applicable offshore interbank eurodollar market for such currency for the applicable amount and Interest Period of such Eurodollar Rate Loan or (ii) adequate and reasonable means do not exist for determining the Eurodollar Base Rate for any requested Interest Period with respect to a proposed Eurodollar Rate Loan or in connection with an existing or proposed Base Rate Loan (in each case with respect to this clause (a),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(b) the Administrative Agent or the Required Lenders determine that for any reason the Eurodollar Base Rate for any requested Interest Period with respect to a proposed Eurodollar Rate Loan does not adequately and fairly reflect the cost to the Lenders of funding such Loan, the Administrative Agent will promptly notify the Borrower and all Lenders.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revokes such notice. Upon receipt of such notice, the Borrower may revoke any pending request for a Borrowing, conversion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if the Administrative Agent has made the determination described in clause (a)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 Administrative Agent, in consultation with the Borrower and the affected Lenders, may establish an alternative interest rate for the applicable Impacted Loans, in which case, such alternative interest rate shall apply with respect to such Impacted Loans until (1) the Administrative Agent revokes the notice delivered with respect to the applicable Impacted Loans under the first sentence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(2) the Administrative Agent notifies the Borrower that such alternative interest rate does not adequately and fairly reflect the cost to such Lenders of funding the applicable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interest rate or to determine or charge interest rates based upon such rate or any Governmental Authority has imposed material restrictions on the ability of such Lender to do any of the foregoing and, in each case, such Lender provides the Administrative Agent and the Borrower written notice thereof.</w:t>
      </w:r>
    </w:p>
    <w:p>
      <w:pPr>
        <w:sectPr>
          <w:pgSz w:w="11900" w:h="16838" w:orient="portrait"/>
          <w:cols w:equalWidth="0" w:num="1">
            <w:col w:w="11420"/>
          </w:cols>
          <w:pgMar w:left="240" w:top="607" w:right="239" w:bottom="1440" w:gutter="0" w:footer="0" w:header="0"/>
        </w:sectPr>
      </w:pPr>
    </w:p>
    <w:bookmarkStart w:id="89" w:name="page90"/>
    <w:bookmarkEnd w:id="89"/>
    <w:p>
      <w:pPr>
        <w:ind w:left="1300"/>
        <w:spacing w:after="0"/>
        <w:tabs>
          <w:tab w:leader="none" w:pos="1980" w:val="left"/>
          <w:tab w:leader="none" w:pos="3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Increased Costs.3.04</w:t>
      </w:r>
      <w:r>
        <w:rPr>
          <w:sz w:val="20"/>
          <w:szCs w:val="20"/>
          <w:color w:val="auto"/>
        </w:rPr>
        <w:tab/>
      </w:r>
      <w:r>
        <w:rPr>
          <w:rFonts w:ascii="Times New Roman" w:cs="Times New Roman" w:eastAsia="Times New Roman" w:hAnsi="Times New Roman"/>
          <w:sz w:val="17"/>
          <w:szCs w:val="17"/>
          <w:u w:val="single" w:color="auto"/>
          <w:color w:val="auto"/>
        </w:rPr>
        <w:t>Increased Costs..</w:t>
      </w:r>
    </w:p>
    <w:p>
      <w:pPr>
        <w:spacing w:after="0" w:line="50" w:lineRule="exact"/>
        <w:rPr>
          <w:sz w:val="20"/>
          <w:szCs w:val="20"/>
          <w:color w:val="auto"/>
        </w:rPr>
      </w:pPr>
    </w:p>
    <w:p>
      <w:pPr>
        <w:ind w:left="2160" w:hanging="855"/>
        <w:spacing w:after="0"/>
        <w:tabs>
          <w:tab w:leader="none" w:pos="21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49"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76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the L/C Issuer;</w:t>
      </w:r>
    </w:p>
    <w:p>
      <w:pPr>
        <w:spacing w:after="0" w:line="1"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 w:lineRule="exact"/>
        <w:rPr>
          <w:rFonts w:ascii="Times New Roman" w:cs="Times New Roman" w:eastAsia="Times New Roman" w:hAnsi="Times New Roman"/>
          <w:sz w:val="18"/>
          <w:szCs w:val="18"/>
          <w:color w:val="auto"/>
        </w:rPr>
      </w:pPr>
    </w:p>
    <w:p>
      <w:pPr>
        <w:ind w:left="1300" w:right="20" w:firstLine="653"/>
        <w:spacing w:after="0" w:line="284" w:lineRule="auto"/>
        <w:tabs>
          <w:tab w:leader="none" w:pos="286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(or of maintaining its obligation to make any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215" w:lineRule="exact"/>
        <w:rPr>
          <w:sz w:val="20"/>
          <w:szCs w:val="20"/>
          <w:color w:val="auto"/>
        </w:rPr>
      </w:pPr>
    </w:p>
    <w:p>
      <w:pPr>
        <w:jc w:val="both"/>
        <w:ind w:left="660" w:firstLine="645"/>
        <w:spacing w:after="0" w:line="315" w:lineRule="auto"/>
        <w:tabs>
          <w:tab w:leader="none" w:pos="216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Requirements</w:t>
      </w:r>
      <w:r>
        <w:rPr>
          <w:rFonts w:ascii="Times New Roman" w:cs="Times New Roman" w:eastAsia="Times New Roman" w:hAnsi="Times New Roman"/>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jc w:val="both"/>
        <w:ind w:left="660" w:firstLine="645"/>
        <w:spacing w:after="0" w:line="297" w:lineRule="auto"/>
        <w:tabs>
          <w:tab w:leader="none" w:pos="21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 w:lineRule="exact"/>
        <w:rPr>
          <w:sz w:val="20"/>
          <w:szCs w:val="20"/>
          <w:color w:val="auto"/>
        </w:rPr>
      </w:pPr>
    </w:p>
    <w:p>
      <w:pPr>
        <w:ind w:left="660"/>
        <w:spacing w:after="0"/>
        <w:tabs>
          <w:tab w:leader="none" w:pos="1320" w:val="left"/>
          <w:tab w:leader="none" w:pos="3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Compensation for Losses.3.05</w:t>
      </w:r>
      <w:r>
        <w:rPr>
          <w:sz w:val="20"/>
          <w:szCs w:val="20"/>
          <w:color w:val="auto"/>
        </w:rPr>
        <w:tab/>
      </w:r>
      <w:r>
        <w:rPr>
          <w:rFonts w:ascii="Times New Roman" w:cs="Times New Roman" w:eastAsia="Times New Roman" w:hAnsi="Times New Roman"/>
          <w:sz w:val="17"/>
          <w:szCs w:val="17"/>
          <w:u w:val="single" w:color="auto"/>
          <w:color w:val="auto"/>
        </w:rPr>
        <w:t>Compensation for Losses..</w:t>
      </w:r>
    </w:p>
    <w:p>
      <w:pPr>
        <w:spacing w:after="0" w:line="27"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94" w:lineRule="exact"/>
        <w:rPr>
          <w:sz w:val="20"/>
          <w:szCs w:val="20"/>
          <w:color w:val="auto"/>
        </w:rPr>
      </w:pPr>
    </w:p>
    <w:p>
      <w:pPr>
        <w:ind w:left="660" w:firstLine="645"/>
        <w:spacing w:after="0" w:line="297" w:lineRule="auto"/>
        <w:tabs>
          <w:tab w:leader="none" w:pos="21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ind w:left="660" w:right="20" w:firstLine="645"/>
        <w:spacing w:after="0" w:line="297" w:lineRule="auto"/>
        <w:tabs>
          <w:tab w:leader="none" w:pos="21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ind w:left="660" w:firstLine="645"/>
        <w:spacing w:after="0" w:line="329" w:lineRule="auto"/>
        <w:tabs>
          <w:tab w:leader="none" w:pos="21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Eurodollar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607" w:right="2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Eurodollar Rate Loan made by it at the Eurodollar Base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207" w:lineRule="exact"/>
        <w:rPr>
          <w:sz w:val="20"/>
          <w:szCs w:val="20"/>
          <w:color w:val="auto"/>
        </w:rPr>
      </w:pPr>
    </w:p>
    <w:p>
      <w:pPr>
        <w:ind w:left="1300"/>
        <w:spacing w:after="0"/>
        <w:tabs>
          <w:tab w:leader="none" w:pos="1980" w:val="left"/>
          <w:tab w:leader="none" w:pos="6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Mitigation Obligations; Replacement of Lenders.3.06</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4" w:lineRule="exact"/>
        <w:rPr>
          <w:rFonts w:ascii="Times New Roman" w:cs="Times New Roman" w:eastAsia="Times New Roman" w:hAnsi="Times New Roman"/>
          <w:sz w:val="18"/>
          <w:szCs w:val="18"/>
          <w:color w:val="auto"/>
        </w:rPr>
      </w:pPr>
    </w:p>
    <w:p>
      <w:pPr>
        <w:jc w:val="both"/>
        <w:ind w:left="660" w:right="20" w:firstLine="645"/>
        <w:spacing w:after="0" w:line="297" w:lineRule="auto"/>
        <w:tabs>
          <w:tab w:leader="none" w:pos="21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Survival.3.07  Survival..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Revolving Commitments, repayment of all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and resignation of the Administrative Agent.</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ARTICLE X</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ARTICLE XI</w:t>
            </w:r>
          </w:p>
        </w:tc>
        <w:tc>
          <w:tcPr>
            <w:tcW w:w="1420" w:type="dxa"/>
            <w:vAlign w:val="bottom"/>
          </w:tcPr>
          <w:p>
            <w:pPr>
              <w:spacing w:after="0"/>
              <w:rPr>
                <w:sz w:val="21"/>
                <w:szCs w:val="21"/>
                <w:color w:val="auto"/>
              </w:rPr>
            </w:pPr>
          </w:p>
        </w:tc>
      </w:tr>
      <w:tr>
        <w:trPr>
          <w:trHeight w:val="257"/>
        </w:trPr>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ARTICLE XII</w:t>
            </w:r>
          </w:p>
        </w:tc>
        <w:tc>
          <w:tcPr>
            <w:tcW w:w="14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GUARANTY</w:t>
            </w:r>
          </w:p>
        </w:tc>
      </w:tr>
      <w:tr>
        <w:trPr>
          <w:trHeight w:val="216"/>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Guaranty.4.01  The Guaranty..</w:t>
            </w:r>
          </w:p>
        </w:tc>
        <w:tc>
          <w:tcPr>
            <w:tcW w:w="14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Guarantors hereby jointly and severally guarantees to each Lender, each Swap Bank, each Treasury Management Bank, and the Administrative Agent as hereinafter provided, as primary obligor and not as surety, the prompt payment of all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provision to the contrary contained herein or in any other of the Loan Documents, Secured Swap Agreements or Secured Treasury Management Agreements, (i)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law and (ii) the Obligation of a Guarantor that are guaranteed under this Guaranty shall exclude any Excluded Swap Obligations with respect to such Guarantor.</w:t>
      </w:r>
    </w:p>
    <w:p>
      <w:pPr>
        <w:spacing w:after="0" w:line="211" w:lineRule="exact"/>
        <w:rPr>
          <w:sz w:val="20"/>
          <w:szCs w:val="20"/>
          <w:color w:val="auto"/>
        </w:rPr>
      </w:pPr>
    </w:p>
    <w:p>
      <w:pPr>
        <w:ind w:left="1300"/>
        <w:spacing w:after="0"/>
        <w:tabs>
          <w:tab w:leader="none" w:pos="1980" w:val="left"/>
          <w:tab w:leader="none" w:pos="4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Obligations Unconditional.4.02</w:t>
      </w:r>
      <w:r>
        <w:rPr>
          <w:sz w:val="20"/>
          <w:szCs w:val="20"/>
          <w:color w:val="auto"/>
        </w:rPr>
        <w:tab/>
      </w:r>
      <w:r>
        <w:rPr>
          <w:rFonts w:ascii="Times New Roman" w:cs="Times New Roman" w:eastAsia="Times New Roman" w:hAnsi="Times New Roman"/>
          <w:sz w:val="17"/>
          <w:szCs w:val="17"/>
          <w:u w:val="single" w:color="auto"/>
          <w:color w:val="auto"/>
        </w:rPr>
        <w:t>Obligations Unconditional..</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obligations of the Guarantors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that the obligations of the Guarantors hereunder</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211" w:lineRule="exact"/>
        <w:rPr>
          <w:sz w:val="20"/>
          <w:szCs w:val="20"/>
          <w:color w:val="auto"/>
        </w:rPr>
      </w:pPr>
    </w:p>
    <w:p>
      <w:pPr>
        <w:ind w:left="660" w:firstLine="645"/>
        <w:spacing w:after="0" w:line="297" w:lineRule="auto"/>
        <w:tabs>
          <w:tab w:leader="none" w:pos="21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any Guarantor, the time for any performance of or compliance with any of the Obligations shall be extended, or such performance or compliance shall be waived;</w:t>
      </w:r>
    </w:p>
    <w:p>
      <w:pPr>
        <w:jc w:val="both"/>
        <w:ind w:left="660" w:firstLine="645"/>
        <w:spacing w:after="0" w:line="297" w:lineRule="auto"/>
        <w:tabs>
          <w:tab w:leader="none" w:pos="21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any of the Loan Documents, any Secured Swap Agreement, or any Secured Treasury Management Agreement, or any other agreement or instrument referred to in the Loan Documents, such Secured Swap Agreements or such Secured Treasury Management Agreements shall be done or omitted;</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Obligations shall be accelerated, or any of the Obligations shall be modified, supplemented or amended in any respect, or any right under any of the Loan Documents, any Secured Swap Agreement or any Secured Treasury Management Agreement, or any other agreement or instrument referred to in the Loan Documents, such Secured Swap Agreements or such Secured Treasury Management Agreements shall be waived or any other guarantee of any of the Obligations or any security therefor shall be released, impaired or exchanged in whole or in part or otherwise dealt with;</w:t>
      </w:r>
    </w:p>
    <w:p>
      <w:pPr>
        <w:spacing w:after="0" w:line="2" w:lineRule="exact"/>
        <w:rPr>
          <w:rFonts w:ascii="Times New Roman" w:cs="Times New Roman" w:eastAsia="Times New Roman" w:hAnsi="Times New Roman"/>
          <w:sz w:val="18"/>
          <w:szCs w:val="18"/>
          <w:color w:val="auto"/>
        </w:rPr>
      </w:pPr>
    </w:p>
    <w:p>
      <w:pPr>
        <w:ind w:left="660" w:firstLine="645"/>
        <w:spacing w:after="0" w:line="297" w:lineRule="auto"/>
        <w:tabs>
          <w:tab w:leader="none" w:pos="21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or in favor of, the Administrative Agent or any Lender or Lenders as security for any of the Obligations shall fail to attach or be perfected; or</w:t>
      </w:r>
    </w:p>
    <w:p>
      <w:pPr>
        <w:ind w:left="2160" w:hanging="855"/>
        <w:spacing w:after="0"/>
        <w:tabs>
          <w:tab w:leader="none" w:pos="21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Obligations shall be determined to be void or voidable (including, without limitation, for the benefit of any creditor of</w:t>
      </w:r>
    </w:p>
    <w:p>
      <w:pPr>
        <w:spacing w:after="0" w:line="6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Guarantor) or shall be subordinated to the claims of any Person (including, without limitation, any creditor of any Guarantor).</w:t>
      </w:r>
    </w:p>
    <w:p>
      <w:pPr>
        <w:spacing w:after="0" w:line="27"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respect to its obligations hereunder, each Guarantor hereby expressly waives diligence, presentment, demand of payment, protest and all</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notices whatsoever, and any requirement that the Administrative Agent or any Lender exhaust any right, power or remedy or proceed against any Person under any of the Loan Documents, any Secured Swap Agreement or any Secured Treasury Management Agreement, or any other agreement or instrument referred to in the Loan Documents, such Secured Swap Agreements or such Secured Treasury Management Agreements, or against any other Person under any other guarantee of, or security for, any of the Obligations.</w:t>
      </w:r>
    </w:p>
    <w:p>
      <w:pPr>
        <w:spacing w:after="0" w:line="213" w:lineRule="exact"/>
        <w:rPr>
          <w:sz w:val="20"/>
          <w:szCs w:val="20"/>
          <w:color w:val="auto"/>
        </w:rPr>
      </w:pPr>
    </w:p>
    <w:p>
      <w:pPr>
        <w:ind w:left="2000" w:hanging="695"/>
        <w:spacing w:after="0"/>
        <w:tabs>
          <w:tab w:leader="none" w:pos="2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Reinstatement.4.03  Reinstatement..</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obligations of the Guarantors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Administrative Agent and each Lender on demand for all reasonable costs and expenses (including, without limitation, the reasonable fees, charges and disbursements of counsel) incurred by the Administrative Agent or such Lender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215" w:lineRule="exact"/>
        <w:rPr>
          <w:sz w:val="20"/>
          <w:szCs w:val="20"/>
          <w:color w:val="auto"/>
        </w:rPr>
      </w:pPr>
    </w:p>
    <w:p>
      <w:pPr>
        <w:ind w:left="1300"/>
        <w:spacing w:after="0"/>
        <w:tabs>
          <w:tab w:leader="none" w:pos="1980" w:val="left"/>
          <w:tab w:leader="none" w:pos="4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Certain Additional Waivers.4.04</w:t>
      </w:r>
      <w:r>
        <w:rPr>
          <w:sz w:val="20"/>
          <w:szCs w:val="20"/>
          <w:color w:val="auto"/>
        </w:rPr>
        <w:tab/>
      </w:r>
      <w:r>
        <w:rPr>
          <w:rFonts w:ascii="Times New Roman" w:cs="Times New Roman" w:eastAsia="Times New Roman" w:hAnsi="Times New Roman"/>
          <w:sz w:val="17"/>
          <w:szCs w:val="17"/>
          <w:u w:val="single" w:color="auto"/>
          <w:color w:val="auto"/>
        </w:rPr>
        <w:t>Certain Additional Waivers..</w:t>
      </w:r>
    </w:p>
    <w:p>
      <w:pPr>
        <w:spacing w:after="0" w:line="2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through the exercise of rights of contribution pursuant to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2000" w:hanging="695"/>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Remedies.4.05  Remedies..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Guarantors agree that, to the fullest extent permitted by law, as between the Guarantors, on the one hand, and the Administrative Agent and the Lenders, on the other hand, the Obligations may be declared to be forthwith due and payable as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Guarantors acknowledge and agree that their obligations hereunder are secured in accordance with the terms of the Collateral Documents and that the Lenders may exercise their remedies thereunder in accordance with the terms thereof.</w:t>
      </w:r>
    </w:p>
    <w:p>
      <w:pPr>
        <w:sectPr>
          <w:pgSz w:w="11900" w:h="16838" w:orient="portrait"/>
          <w:cols w:equalWidth="0" w:num="1">
            <w:col w:w="11420"/>
          </w:cols>
          <w:pgMar w:left="240" w:top="580" w:right="239" w:bottom="1440" w:gutter="0" w:footer="0" w:header="0"/>
        </w:sectPr>
      </w:pPr>
    </w:p>
    <w:bookmarkStart w:id="92" w:name="page93"/>
    <w:bookmarkEnd w:id="92"/>
    <w:p>
      <w:pPr>
        <w:ind w:left="1300"/>
        <w:spacing w:after="0"/>
        <w:tabs>
          <w:tab w:leader="none" w:pos="1980" w:val="left"/>
          <w:tab w:leader="none" w:pos="4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Rights of Contribution.4.06</w:t>
      </w:r>
      <w:r>
        <w:rPr>
          <w:sz w:val="20"/>
          <w:szCs w:val="20"/>
          <w:color w:val="auto"/>
        </w:rPr>
        <w:tab/>
      </w:r>
      <w:r>
        <w:rPr>
          <w:rFonts w:ascii="Times New Roman" w:cs="Times New Roman" w:eastAsia="Times New Roman" w:hAnsi="Times New Roman"/>
          <w:sz w:val="17"/>
          <w:szCs w:val="17"/>
          <w:u w:val="single" w:color="auto"/>
          <w:color w:val="auto"/>
        </w:rPr>
        <w:t>Rights of Contribution..</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have been paid in full and the Commitments have terminated.</w:t>
      </w:r>
    </w:p>
    <w:p>
      <w:pPr>
        <w:spacing w:after="0" w:line="209" w:lineRule="exact"/>
        <w:rPr>
          <w:sz w:val="20"/>
          <w:szCs w:val="20"/>
          <w:color w:val="auto"/>
        </w:rPr>
      </w:pPr>
    </w:p>
    <w:p>
      <w:pPr>
        <w:ind w:left="1300"/>
        <w:spacing w:after="0"/>
        <w:tabs>
          <w:tab w:leader="none" w:pos="1980" w:val="left"/>
          <w:tab w:leader="none" w:pos="5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Guarantee of Payment; Continuing Guarantee.4.07</w:t>
      </w:r>
      <w:r>
        <w:rPr>
          <w:sz w:val="20"/>
          <w:szCs w:val="20"/>
          <w:color w:val="auto"/>
        </w:rPr>
        <w:tab/>
      </w:r>
      <w:r>
        <w:rPr>
          <w:rFonts w:ascii="Times New Roman" w:cs="Times New Roman" w:eastAsia="Times New Roman" w:hAnsi="Times New Roman"/>
          <w:sz w:val="17"/>
          <w:szCs w:val="17"/>
          <w:u w:val="single" w:color="auto"/>
          <w:color w:val="auto"/>
        </w:rPr>
        <w:t>Guarantee of Payment; Continuing Guarantee..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The guarantee in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a guaranty of payment and not of collection, is a continuing guarantee, and shall apply to all Obligations whenever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w:t>
      </w:r>
    </w:p>
    <w:p>
      <w:pPr>
        <w:spacing w:after="0" w:line="234" w:lineRule="exact"/>
        <w:rPr>
          <w:sz w:val="20"/>
          <w:szCs w:val="20"/>
          <w:color w:val="auto"/>
        </w:rPr>
      </w:pPr>
    </w:p>
    <w:p>
      <w:pPr>
        <w:ind w:left="2000" w:hanging="695"/>
        <w:spacing w:after="0"/>
        <w:tabs>
          <w:tab w:leader="none" w:pos="2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Loan Party that is a Qualified ECP Guarantor at the time the Guaranty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by any Loan Party that is not then an “eligible contract participant” under the Commodity Exchange Act (a “</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voidable under applicable Debtor Relief Laws, and not for any greater amount). The obligations and undertakings of each applicable Loan Party under this Section shall remain in full force and effect until such time as the Obligations (other than contingent indemnification obligations that survive the termination of this Agreement) have been paid in full and the Commitments have expired or terminated.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ARTICLE XIV</w:t>
            </w:r>
          </w:p>
        </w:tc>
      </w:tr>
      <w:tr>
        <w:trPr>
          <w:trHeight w:val="257"/>
        </w:trPr>
        <w:tc>
          <w:tcPr>
            <w:tcW w:w="100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XV</w:t>
            </w:r>
          </w:p>
        </w:tc>
        <w:tc>
          <w:tcPr>
            <w:tcW w:w="180" w:type="dxa"/>
            <w:vAlign w:val="bottom"/>
          </w:tcPr>
          <w:p>
            <w:pPr>
              <w:spacing w:after="0"/>
              <w:rPr>
                <w:sz w:val="22"/>
                <w:szCs w:val="22"/>
                <w:color w:val="auto"/>
              </w:rPr>
            </w:pPr>
          </w:p>
        </w:tc>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CONDITIONS PRECEDENT TO CREDIT EXTENSIONS</w:t>
            </w:r>
          </w:p>
        </w:tc>
      </w:tr>
      <w:tr>
        <w:trPr>
          <w:trHeight w:val="216"/>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Conditions of Initial Credit Extension.5.01</w:t>
            </w:r>
          </w:p>
        </w:tc>
        <w:tc>
          <w:tcPr>
            <w:tcW w:w="180" w:type="dxa"/>
            <w:vAlign w:val="bottom"/>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Conditions of Initial Credit Extension..</w:t>
            </w:r>
          </w:p>
        </w:tc>
        <w:tc>
          <w:tcPr>
            <w:tcW w:w="1620" w:type="dxa"/>
            <w:vAlign w:val="bottom"/>
          </w:tcPr>
          <w:p>
            <w:pPr>
              <w:spacing w:after="0"/>
              <w:rPr>
                <w:sz w:val="18"/>
                <w:szCs w:val="18"/>
                <w:color w:val="auto"/>
              </w:rPr>
            </w:pPr>
          </w:p>
        </w:tc>
      </w:tr>
    </w:tbl>
    <w:p>
      <w:pPr>
        <w:spacing w:after="0" w:line="2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become effective upon and the obligation of the L/C Issuer and each Lender to make its initial Credit Extension hereunder is subject to satisfaction of the following conditions precedent:</w:t>
      </w:r>
    </w:p>
    <w:p>
      <w:pPr>
        <w:spacing w:after="0" w:line="189" w:lineRule="exact"/>
        <w:rPr>
          <w:sz w:val="20"/>
          <w:szCs w:val="20"/>
          <w:color w:val="auto"/>
        </w:rPr>
      </w:pPr>
    </w:p>
    <w:p>
      <w:pPr>
        <w:ind w:left="660" w:firstLine="645"/>
        <w:spacing w:after="0" w:line="297" w:lineRule="auto"/>
        <w:tabs>
          <w:tab w:leader="none" w:pos="21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Receipt by the Administrative Agent of executed counterparts of this Agreement and the other Loan Documents, each properly executed by a Responsible Officer of the signing Loan Party and, in the case of this Agreement, by each Lender.</w:t>
      </w:r>
    </w:p>
    <w:p>
      <w:pPr>
        <w:jc w:val="both"/>
        <w:ind w:left="660" w:firstLine="645"/>
        <w:spacing w:after="0" w:line="297" w:lineRule="auto"/>
        <w:tabs>
          <w:tab w:leader="none" w:pos="21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Administrative Agent shall have received:</w:t>
      </w:r>
    </w:p>
    <w:p>
      <w:pPr>
        <w:spacing w:after="0" w:line="49"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w:t>
      </w:r>
    </w:p>
    <w:p>
      <w:pPr>
        <w:spacing w:after="0" w:line="49" w:lineRule="exact"/>
        <w:rPr>
          <w:rFonts w:ascii="Times New Roman" w:cs="Times New Roman" w:eastAsia="Times New Roman" w:hAnsi="Times New Roman"/>
          <w:sz w:val="18"/>
          <w:szCs w:val="18"/>
          <w:color w:val="auto"/>
        </w:rPr>
      </w:pPr>
    </w:p>
    <w:p>
      <w:pPr>
        <w:ind w:left="1300" w:firstLine="653"/>
        <w:spacing w:after="0" w:line="297" w:lineRule="auto"/>
        <w:tabs>
          <w:tab w:leader="none" w:pos="281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Holdings and its Subsidiaries for the fiscal years ended December 31, 2011 and December 31, 2012, including balance sheets and statements of income or operations, shareholders’ equity and cash flows;</w:t>
      </w:r>
    </w:p>
    <w:p>
      <w:pPr>
        <w:jc w:val="both"/>
        <w:ind w:left="1300" w:firstLine="653"/>
        <w:spacing w:after="0" w:line="297" w:lineRule="auto"/>
        <w:tabs>
          <w:tab w:leader="none" w:pos="286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financial statements of Holdings and its Subsidiaries for the fiscal quarter ended December 31, 2014, including balance sheets and statements of income or operations, shareholders’ equity and cash flows (the “</w:t>
      </w:r>
      <w:r>
        <w:rPr>
          <w:rFonts w:ascii="Times New Roman" w:cs="Times New Roman" w:eastAsia="Times New Roman" w:hAnsi="Times New Roman"/>
          <w:sz w:val="18"/>
          <w:szCs w:val="18"/>
          <w:u w:val="single" w:color="auto"/>
          <w:color w:val="auto"/>
        </w:rPr>
        <w:t>Interim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1300" w:firstLine="653"/>
        <w:spacing w:after="0" w:line="297" w:lineRule="auto"/>
        <w:tabs>
          <w:tab w:leader="none" w:pos="28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for Holdings and its Subsidiaries in form and substance satisfactory to the Lenders for each year commencing with the fiscal year ended December 31, 2015 through December 31, 2018; and</w:t>
      </w:r>
    </w:p>
    <w:p>
      <w:pPr>
        <w:jc w:val="both"/>
        <w:ind w:left="660" w:firstLine="645"/>
        <w:spacing w:after="0" w:line="297" w:lineRule="auto"/>
        <w:tabs>
          <w:tab w:leader="none" w:pos="21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There shall not have occurred a material adverse change since December 31, 2013 in the operations, business, assets, liabilities (actual or contingent) or condition (financial or otherwise) of the Loan Parties and their respective Subsidiaries taken as a whole.</w:t>
      </w:r>
    </w:p>
    <w:p>
      <w:pPr>
        <w:spacing w:after="0" w:line="1" w:lineRule="exact"/>
        <w:rPr>
          <w:rFonts w:ascii="Times New Roman" w:cs="Times New Roman" w:eastAsia="Times New Roman" w:hAnsi="Times New Roman"/>
          <w:sz w:val="18"/>
          <w:szCs w:val="18"/>
          <w:color w:val="auto"/>
        </w:rPr>
      </w:pPr>
    </w:p>
    <w:p>
      <w:pPr>
        <w:ind w:left="660" w:firstLine="645"/>
        <w:spacing w:after="0" w:line="329" w:lineRule="auto"/>
        <w:tabs>
          <w:tab w:leader="none" w:pos="21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shall not exist any action, suit, investigation or proceeding pending or threatened in any court or before an arbitrator or Governmental Authority that could reasonably be expected to have a Material Adverse Effect.</w:t>
      </w:r>
    </w:p>
    <w:p>
      <w:pPr>
        <w:sectPr>
          <w:pgSz w:w="11900" w:h="16838" w:orient="portrait"/>
          <w:cols w:equalWidth="0" w:num="1">
            <w:col w:w="11420"/>
          </w:cols>
          <w:pgMar w:left="240" w:top="607" w:right="239" w:bottom="1440" w:gutter="0" w:footer="0" w:header="0"/>
        </w:sectPr>
      </w:pPr>
    </w:p>
    <w:bookmarkStart w:id="93" w:name="page94"/>
    <w:bookmarkEnd w:id="93"/>
    <w:p>
      <w:pPr>
        <w:jc w:val="both"/>
        <w:ind w:left="-540" w:firstLine="645"/>
        <w:spacing w:after="0" w:line="297" w:lineRule="auto"/>
        <w:tabs>
          <w:tab w:leader="none" w:pos="9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Documents, Resolutions, Etc</w:t>
      </w:r>
      <w:r>
        <w:rPr>
          <w:rFonts w:ascii="Times New Roman" w:cs="Times New Roman" w:eastAsia="Times New Roman" w:hAnsi="Times New Roman"/>
          <w:sz w:val="18"/>
          <w:szCs w:val="18"/>
          <w:color w:val="auto"/>
        </w:rPr>
        <w:t>. Receipt by the Administrative Agent of the following, each of which shall be originals or facsimiles (followed promptly by originals), in form and substance reasonably satisfactory to the Administrative Agent and its legal counsel:</w:t>
      </w:r>
    </w:p>
    <w:p>
      <w:pPr>
        <w:spacing w:after="0" w:line="1"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1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 w:lineRule="exact"/>
        <w:rPr>
          <w:rFonts w:ascii="Times New Roman" w:cs="Times New Roman" w:eastAsia="Times New Roman" w:hAnsi="Times New Roman"/>
          <w:sz w:val="18"/>
          <w:szCs w:val="18"/>
          <w:color w:val="auto"/>
        </w:rPr>
      </w:pPr>
    </w:p>
    <w:p>
      <w:pPr>
        <w:ind w:left="100" w:firstLine="653"/>
        <w:spacing w:after="0" w:line="297" w:lineRule="auto"/>
        <w:tabs>
          <w:tab w:leader="none" w:pos="16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ind w:left="960" w:hanging="855"/>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and Priority of Liens</w:t>
      </w:r>
      <w:r>
        <w:rPr>
          <w:rFonts w:ascii="Times New Roman" w:cs="Times New Roman" w:eastAsia="Times New Roman" w:hAnsi="Times New Roman"/>
          <w:sz w:val="18"/>
          <w:szCs w:val="18"/>
          <w:color w:val="auto"/>
        </w:rPr>
        <w:t>. Receipt by the Administrative Agent of the following:</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5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searches of Uniform Commercial Code filings in the jurisdiction of formation of each Loan Party or where a filing would need to be made in order to perfect the Administrative Agent’s security interest in the Collateral, copies of the financing statements on file in such jurisdictions and evidence that no Liens exist other than Permitted Liens;</w:t>
      </w:r>
    </w:p>
    <w:p>
      <w:pPr>
        <w:spacing w:after="0" w:line="1" w:lineRule="exact"/>
        <w:rPr>
          <w:rFonts w:ascii="Times New Roman" w:cs="Times New Roman" w:eastAsia="Times New Roman" w:hAnsi="Times New Roman"/>
          <w:sz w:val="18"/>
          <w:szCs w:val="18"/>
          <w:color w:val="auto"/>
        </w:rPr>
      </w:pPr>
    </w:p>
    <w:p>
      <w:pPr>
        <w:ind w:left="100" w:right="20" w:firstLine="653"/>
        <w:spacing w:after="0" w:line="297" w:lineRule="auto"/>
        <w:tabs>
          <w:tab w:leader="none" w:pos="161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statements for each appropriate jurisdiction as is necessary, in the Administrative Agent’s sole discretion, to perfect the Administrative Agent’s security interest in the Collateral;</w:t>
      </w:r>
    </w:p>
    <w:p>
      <w:pPr>
        <w:ind w:left="100" w:firstLine="653"/>
        <w:spacing w:after="0" w:line="297" w:lineRule="auto"/>
        <w:tabs>
          <w:tab w:leader="none" w:pos="16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evidencing any certificated Equity Interests pledged to the Administrative Agent pursuant to the Security and Pledge Agreement, together with duly executed in blank and undated stock powers attached thereto;</w:t>
      </w:r>
    </w:p>
    <w:p>
      <w:pPr>
        <w:ind w:left="1660" w:hanging="907"/>
        <w:spacing w:after="0"/>
        <w:tabs>
          <w:tab w:leader="none" w:pos="16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searches of ownership of, and Liens on, intellectual property of each Loan Party in the appropriate governmental</w:t>
      </w:r>
    </w:p>
    <w:p>
      <w:pPr>
        <w:spacing w:after="0" w:line="4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 and</w:t>
      </w:r>
    </w:p>
    <w:p>
      <w:pPr>
        <w:spacing w:after="0" w:line="49" w:lineRule="exact"/>
        <w:rPr>
          <w:rFonts w:ascii="Times New Roman" w:cs="Times New Roman" w:eastAsia="Times New Roman" w:hAnsi="Times New Roman"/>
          <w:sz w:val="18"/>
          <w:szCs w:val="18"/>
          <w:color w:val="auto"/>
        </w:rPr>
      </w:pPr>
    </w:p>
    <w:p>
      <w:pPr>
        <w:jc w:val="both"/>
        <w:ind w:left="100" w:firstLine="653"/>
        <w:spacing w:after="0" w:line="297" w:lineRule="auto"/>
        <w:tabs>
          <w:tab w:leader="none" w:pos="160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notices of grant of security interest in the form required by the Security and Pledge Agreement as are necessary, in the Administrative Agent’s sole discretion, to perfect the Administrative Agent’s security interest in the intellectual property of the Loan Parties.</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6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Receipt by the Administrative Agent of copies of insurance policies or certificates of insurance of the Loan Parties evidencing liability and casualty insurance meeting the requirements set forth in the Loan Documents, including, but not limited to, naming the Administrative Agent as additional insured (in the case of liability insurance) or lender’s loss payee on Collateral (in the case of hazard insurance) on behalf of the Lenders.</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Receipt by the Administrative Agent of a certificate signed by a Responsible Officer of Holdings certifying that (i) the conditions specified in </w:t>
      </w:r>
      <w:r>
        <w:rPr>
          <w:rFonts w:ascii="Times New Roman" w:cs="Times New Roman" w:eastAsia="Times New Roman" w:hAnsi="Times New Roman"/>
          <w:sz w:val="18"/>
          <w:szCs w:val="18"/>
          <w:u w:val="single" w:color="auto"/>
          <w:color w:val="auto"/>
        </w:rPr>
        <w:t>Sections 5.01(d)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5.02(a)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and (ii) Holdings and its Subsidiaries (after giving effect to the transactions contemplated hereby and the incurrence of Indebtedness related thereto) are Solvent on a consolidated basis.</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All governmental, shareholder and third party consents and approvals necessary in connection with the transactions contemplated hereby shall have been obtained; all such consents and approvals shall be in force and effect; and all applicable waiting periods shall have expired without any action being taken by any authority that could restrain, prevent or impose any material adverse condition on the transactions contemplated hereby or that could seek or threaten any of the foregoing, and no Law shall be applicable which has, or could reasonably be expected to have, such effect.</w:t>
      </w:r>
    </w:p>
    <w:p>
      <w:pPr>
        <w:spacing w:after="0" w:line="2"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6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Existing Indebtedness</w:t>
      </w:r>
      <w:r>
        <w:rPr>
          <w:rFonts w:ascii="Times New Roman" w:cs="Times New Roman" w:eastAsia="Times New Roman" w:hAnsi="Times New Roman"/>
          <w:sz w:val="18"/>
          <w:szCs w:val="18"/>
          <w:color w:val="auto"/>
        </w:rPr>
        <w:t xml:space="preserve">. Receipt by the Administrative Agent of evidence that the all outstanding Indebtedness of Holdings and its Subsidiaries (other than Indebtedness permitted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concurrently with the Closing Date is being repaid, refinanced or otherwise terminated and all Liens securing obligations under such Indebtedness (other than Liens permitted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concurrently with the Closing Date are being released.</w:t>
      </w:r>
    </w:p>
    <w:p>
      <w:pPr>
        <w:spacing w:after="0" w:line="1" w:lineRule="exact"/>
        <w:rPr>
          <w:rFonts w:ascii="Times New Roman" w:cs="Times New Roman" w:eastAsia="Times New Roman" w:hAnsi="Times New Roman"/>
          <w:sz w:val="18"/>
          <w:szCs w:val="18"/>
          <w:color w:val="auto"/>
        </w:rPr>
      </w:pPr>
    </w:p>
    <w:p>
      <w:pPr>
        <w:jc w:val="both"/>
        <w:ind w:left="-540" w:firstLine="645"/>
        <w:spacing w:after="0" w:line="297" w:lineRule="auto"/>
        <w:tabs>
          <w:tab w:leader="none" w:pos="9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Anti-Corruption Laws</w:t>
      </w:r>
      <w:r>
        <w:rPr>
          <w:rFonts w:ascii="Times New Roman" w:cs="Times New Roman" w:eastAsia="Times New Roman" w:hAnsi="Times New Roman"/>
          <w:sz w:val="18"/>
          <w:szCs w:val="18"/>
          <w:color w:val="auto"/>
        </w:rPr>
        <w:t>. The provision by the Loan Parties of all documentation and other information that the Administrative Agent or such Lender requests in order to comply with its ongoing obligations under applicable “know your customer”, anti-corruption and anti-money laundering rules and regulations, including the Patriot Act.</w:t>
      </w:r>
    </w:p>
    <w:p>
      <w:pPr>
        <w:spacing w:after="0" w:line="1" w:lineRule="exact"/>
        <w:rPr>
          <w:rFonts w:ascii="Times New Roman" w:cs="Times New Roman" w:eastAsia="Times New Roman" w:hAnsi="Times New Roman"/>
          <w:sz w:val="18"/>
          <w:szCs w:val="18"/>
          <w:color w:val="auto"/>
        </w:rPr>
      </w:pPr>
    </w:p>
    <w:p>
      <w:pPr>
        <w:ind w:left="-540" w:firstLine="645"/>
        <w:spacing w:after="0" w:line="297" w:lineRule="auto"/>
        <w:tabs>
          <w:tab w:leader="none" w:pos="10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Receipt by the Administrative Agent, the Arrangers and the Lenders of any fees required by the Loan Documents to be paid on or before the Closing Date.</w:t>
      </w:r>
    </w:p>
    <w:p>
      <w:pPr>
        <w:jc w:val="both"/>
        <w:ind w:left="-540" w:firstLine="645"/>
        <w:spacing w:after="0" w:line="305" w:lineRule="auto"/>
        <w:tabs>
          <w:tab w:leader="none" w:pos="96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xml:space="preserve">. Unless waived by the Administrative Agent, the Borrower shall have paid all reasonable fees, charges and disbursements of counsel to the Administrative Agent to the extent invoiced prior to or on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ectPr>
          <w:pgSz w:w="11900" w:h="16838" w:orient="portrait"/>
          <w:cols w:equalWidth="0" w:num="1">
            <w:col w:w="10220"/>
          </w:cols>
          <w:pgMar w:left="1440" w:top="607" w:right="239" w:bottom="1440" w:gutter="0" w:footer="0" w:header="0"/>
        </w:sectPr>
      </w:pPr>
    </w:p>
    <w:bookmarkStart w:id="94" w:name="page95"/>
    <w:bookmarkEnd w:id="94"/>
    <w:p>
      <w:pPr>
        <w:jc w:val="both"/>
        <w:ind w:left="660" w:firstLine="645"/>
        <w:spacing w:after="0" w:line="297" w:lineRule="auto"/>
        <w:tabs>
          <w:tab w:leader="none" w:pos="21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Receipt by the Administrative Agent and the Lenders of such other documents, instruments, agreements and information as reasonably requested by the Administrative Agent or any Lender, including, but not limited to, information regarding litigation, tax, accounting, labor, insurance, pension liabilities (actual or contingent), real estate leases, material contracts, debt agreements, property ownership, environmental</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contingent liabilities and management of Holdings and its Subsidiaries.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for purposes of determining compliance with the conditions</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specified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13" w:lineRule="exact"/>
        <w:rPr>
          <w:sz w:val="20"/>
          <w:szCs w:val="20"/>
          <w:color w:val="auto"/>
        </w:rPr>
      </w:pPr>
    </w:p>
    <w:p>
      <w:pPr>
        <w:ind w:left="1300"/>
        <w:spacing w:after="0"/>
        <w:tabs>
          <w:tab w:leader="none" w:pos="1980" w:val="left"/>
          <w:tab w:leader="none" w:pos="5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Conditions to all Credit Extensions.5.02</w:t>
      </w:r>
      <w:r>
        <w:rPr>
          <w:sz w:val="20"/>
          <w:szCs w:val="20"/>
          <w:color w:val="auto"/>
        </w:rPr>
        <w:tab/>
      </w:r>
      <w:r>
        <w:rPr>
          <w:rFonts w:ascii="Times New Roman" w:cs="Times New Roman" w:eastAsia="Times New Roman" w:hAnsi="Times New Roman"/>
          <w:sz w:val="17"/>
          <w:szCs w:val="17"/>
          <w:u w:val="single" w:color="auto"/>
          <w:color w:val="auto"/>
        </w:rPr>
        <w:t>Conditions to all Credit Extensions..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obligation of each Lender and the L/C Issuer to honor any Request for Credit Extension is subject to the following conditions precedent:</w:t>
      </w:r>
    </w:p>
    <w:p>
      <w:pPr>
        <w:spacing w:after="0" w:line="247" w:lineRule="exact"/>
        <w:rPr>
          <w:sz w:val="20"/>
          <w:szCs w:val="20"/>
          <w:color w:val="auto"/>
        </w:rPr>
      </w:pPr>
    </w:p>
    <w:p>
      <w:pPr>
        <w:jc w:val="both"/>
        <w:ind w:left="660" w:firstLine="645"/>
        <w:spacing w:after="0" w:line="297" w:lineRule="auto"/>
        <w:tabs>
          <w:tab w:leader="none" w:pos="21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the representations and warranties contained in subsections (a) and (b)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thereof.</w:t>
      </w:r>
    </w:p>
    <w:p>
      <w:pPr>
        <w:spacing w:after="0" w:line="49"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and/or the Swing Line Lender shall have received a Request for</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Extension in accordance with the requirements hereof.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for Credit Extension submitted by the Borrower shall be deemed to be a representation and warranty that the conditions specified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5.02(a)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ARTICLE XVI</w:t>
            </w: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662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ARTICLE XVII</w:t>
            </w:r>
          </w:p>
        </w:tc>
      </w:tr>
      <w:tr>
        <w:trPr>
          <w:trHeight w:val="252"/>
        </w:trPr>
        <w:tc>
          <w:tcPr>
            <w:tcW w:w="166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XVIII</w:t>
            </w:r>
          </w:p>
        </w:tc>
        <w:tc>
          <w:tcPr>
            <w:tcW w:w="180" w:type="dxa"/>
            <w:vAlign w:val="bottom"/>
          </w:tcPr>
          <w:p>
            <w:pPr>
              <w:spacing w:after="0"/>
              <w:rPr>
                <w:sz w:val="21"/>
                <w:szCs w:val="21"/>
                <w:color w:val="auto"/>
              </w:rPr>
            </w:pPr>
          </w:p>
        </w:tc>
        <w:tc>
          <w:tcPr>
            <w:tcW w:w="3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r>
      <w:tr>
        <w:trPr>
          <w:trHeight w:val="234"/>
        </w:trPr>
        <w:tc>
          <w:tcPr>
            <w:tcW w:w="82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Loan Parties represent and warrant to the Administrative Agent and the Lenders that:</w:t>
            </w:r>
          </w:p>
        </w:tc>
      </w:tr>
      <w:tr>
        <w:trPr>
          <w:trHeight w:val="419"/>
        </w:trPr>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Existence, Qualification and Power.6.01</w:t>
            </w:r>
          </w:p>
        </w:tc>
        <w:tc>
          <w:tcPr>
            <w:tcW w:w="18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Existence, Qualification and Power..</w:t>
            </w:r>
          </w:p>
        </w:tc>
      </w:tr>
      <w:tr>
        <w:trPr>
          <w:trHeight w:val="20"/>
        </w:trPr>
        <w:tc>
          <w:tcPr>
            <w:tcW w:w="166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Loan Party (a) is duly organized or formed, validly existing and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215" w:lineRule="exact"/>
        <w:rPr>
          <w:sz w:val="20"/>
          <w:szCs w:val="20"/>
          <w:color w:val="auto"/>
        </w:rPr>
      </w:pPr>
    </w:p>
    <w:p>
      <w:pPr>
        <w:ind w:left="1300"/>
        <w:spacing w:after="0"/>
        <w:tabs>
          <w:tab w:leader="none" w:pos="1980" w:val="left"/>
          <w:tab w:leader="none" w:pos="4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Authorization; No Contravention.6.02</w:t>
      </w:r>
      <w:r>
        <w:rPr>
          <w:sz w:val="20"/>
          <w:szCs w:val="20"/>
          <w:color w:val="auto"/>
        </w:rPr>
        <w:tab/>
      </w:r>
      <w:r>
        <w:rPr>
          <w:rFonts w:ascii="Times New Roman" w:cs="Times New Roman" w:eastAsia="Times New Roman" w:hAnsi="Times New Roman"/>
          <w:sz w:val="17"/>
          <w:szCs w:val="17"/>
          <w:u w:val="single" w:color="auto"/>
          <w:color w:val="auto"/>
        </w:rPr>
        <w:t>Authorization; No Contravention..</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(including, without limitation, Regulation U or Regulation X issued by the FRB).</w:t>
      </w:r>
    </w:p>
    <w:p>
      <w:pPr>
        <w:spacing w:after="0" w:line="215" w:lineRule="exact"/>
        <w:rPr>
          <w:sz w:val="20"/>
          <w:szCs w:val="20"/>
          <w:color w:val="auto"/>
        </w:rPr>
      </w:pPr>
    </w:p>
    <w:p>
      <w:pPr>
        <w:ind w:left="1300"/>
        <w:spacing w:after="0"/>
        <w:tabs>
          <w:tab w:leader="none" w:pos="1980" w:val="left"/>
          <w:tab w:leader="none" w:pos="5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Governmental Authorization; Other Consents.6.03</w:t>
        <w:tab/>
        <w:t>Governmental Authorization; Other Consents..</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sectPr>
          <w:pgSz w:w="11900" w:h="16838" w:orient="portrait"/>
          <w:cols w:equalWidth="0" w:num="1">
            <w:col w:w="11420"/>
          </w:cols>
          <w:pgMar w:left="240" w:top="607" w:right="239" w:bottom="1440" w:gutter="0" w:footer="0" w:header="0"/>
        </w:sectPr>
      </w:pPr>
    </w:p>
    <w:bookmarkStart w:id="95" w:name="page96"/>
    <w:bookmarkEnd w:id="95"/>
    <w:p>
      <w:pPr>
        <w:ind w:left="1300"/>
        <w:spacing w:after="0"/>
        <w:tabs>
          <w:tab w:leader="none" w:pos="1980" w:val="left"/>
          <w:tab w:leader="none" w:pos="3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Binding Effect.6.04</w:t>
        <w:tab/>
        <w:t>Binding Effect..</w:t>
      </w:r>
    </w:p>
    <w:p>
      <w:pPr>
        <w:spacing w:after="0" w:line="27"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8"/>
          <w:szCs w:val="18"/>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w:t>
      </w:r>
    </w:p>
    <w:p>
      <w:pPr>
        <w:spacing w:after="0" w:line="194" w:lineRule="exact"/>
        <w:rPr>
          <w:sz w:val="20"/>
          <w:szCs w:val="20"/>
          <w:color w:val="auto"/>
        </w:rPr>
      </w:pPr>
    </w:p>
    <w:p>
      <w:pPr>
        <w:ind w:left="1300"/>
        <w:spacing w:after="0"/>
        <w:tabs>
          <w:tab w:leader="none" w:pos="1980" w:val="left"/>
          <w:tab w:leader="none" w:pos="6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Financial Statements; No Material Adverse Effect.6.05</w:t>
      </w:r>
      <w:r>
        <w:rPr>
          <w:sz w:val="20"/>
          <w:szCs w:val="20"/>
          <w:color w:val="auto"/>
        </w:rPr>
        <w:tab/>
      </w:r>
      <w:r>
        <w:rPr>
          <w:rFonts w:ascii="Times New Roman" w:cs="Times New Roman" w:eastAsia="Times New Roman" w:hAnsi="Times New Roman"/>
          <w:sz w:val="17"/>
          <w:szCs w:val="17"/>
          <w:u w:val="single" w:color="auto"/>
          <w:color w:val="auto"/>
        </w:rPr>
        <w:t>Financial Statements; No Material Adverse Effect..</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(ii) fairly present the financial condition of Holdings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Holdings and its Subsidiaries as of the date thereof, including liabilities for taxes, commitments and Indebtedness.</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Financial Statements (i) were prepared in accordance with GAAP consistently applied throughout the period covered thereby, except as otherwise expressly noted therein; (ii) fairly present the financial condition of Holdings and its Subsidiaries as of the date thereof and their results of operations for the period covered thereby, subject, in the case of clauses (i) and (ii), to the absence of footnotes and to normal year-end audit adjustments; and (iii) show all material indebtedness and other liabilities, direct or contingent, of Holdings and its Subsidiaries as of the date thereof, including liabilities for taxes, material commitments and Indebtedness.</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Audited Financial Statements to and including the Closing Date, there has been no Disposition by any Loan Party or any Subsidiary,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in each case, which is not reflected in the foregoing financial statements or in the notes thereto and has not otherwise been disclosed in writing to the Lenders on or prior to the Closing Date.</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delivered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prepared in accordance with GAAP (except as may otherwise be permitted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present fairly (on the basis disclosed in the footnotes to such financial statements) the consolidated financial condition, results of operations and cash flows of Holdings and its Subsidiaries as of the dates thereof and for the periods covered thereby.</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Litigation.6.06  Litigation..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proceedings, claims or disputes pending or, to the knowledge of any Responsible Officer of the Borrower after due and</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diligent investigation,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(b) could reasonably be expected to have a Material Adverse Effect.</w:t>
      </w:r>
    </w:p>
    <w:p>
      <w:pPr>
        <w:spacing w:after="0" w:line="213" w:lineRule="exact"/>
        <w:rPr>
          <w:sz w:val="20"/>
          <w:szCs w:val="20"/>
          <w:color w:val="auto"/>
        </w:rPr>
      </w:pPr>
    </w:p>
    <w:p>
      <w:pPr>
        <w:ind w:left="1300"/>
        <w:spacing w:after="0"/>
        <w:tabs>
          <w:tab w:leader="none" w:pos="1980" w:val="left"/>
          <w:tab w:leader="none" w:pos="3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 Default.6.07</w:t>
        <w:tab/>
        <w:t>No Default..</w:t>
      </w:r>
    </w:p>
    <w:p>
      <w:pPr>
        <w:spacing w:after="0" w:line="50" w:lineRule="exact"/>
        <w:rPr>
          <w:sz w:val="20"/>
          <w:szCs w:val="20"/>
          <w:color w:val="auto"/>
        </w:rPr>
      </w:pPr>
    </w:p>
    <w:p>
      <w:pPr>
        <w:ind w:left="660" w:firstLine="645"/>
        <w:spacing w:after="0" w:line="297" w:lineRule="auto"/>
        <w:tabs>
          <w:tab w:leader="none" w:pos="21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Loan Party nor any Subsidiary is in default under or with respect to any Contractual Obligation that could reasonably be expected to have a Material Adverse Effect.</w:t>
      </w:r>
    </w:p>
    <w:p>
      <w:pPr>
        <w:ind w:left="2160" w:hanging="855"/>
        <w:spacing w:after="0"/>
        <w:tabs>
          <w:tab w:leader="none" w:pos="2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w:t>
      </w:r>
    </w:p>
    <w:p>
      <w:pPr>
        <w:spacing w:after="0" w:line="50" w:lineRule="exact"/>
        <w:rPr>
          <w:sz w:val="20"/>
          <w:szCs w:val="20"/>
          <w:color w:val="auto"/>
        </w:rPr>
      </w:pPr>
    </w:p>
    <w:p>
      <w:pPr>
        <w:ind w:left="660"/>
        <w:spacing w:after="0"/>
        <w:tabs>
          <w:tab w:leader="none" w:pos="1320" w:val="left"/>
          <w:tab w:leader="none" w:pos="4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Property; Liens.6.08</w:t>
      </w:r>
      <w:r>
        <w:rPr>
          <w:sz w:val="20"/>
          <w:szCs w:val="20"/>
          <w:color w:val="auto"/>
        </w:rPr>
        <w:tab/>
      </w:r>
      <w:r>
        <w:rPr>
          <w:rFonts w:ascii="Times New Roman" w:cs="Times New Roman" w:eastAsia="Times New Roman" w:hAnsi="Times New Roman"/>
          <w:sz w:val="17"/>
          <w:szCs w:val="17"/>
          <w:u w:val="single" w:color="auto"/>
          <w:color w:val="auto"/>
        </w:rPr>
        <w:t>Ownership of Property; Liens..</w:t>
      </w:r>
    </w:p>
    <w:p>
      <w:pPr>
        <w:spacing w:after="0" w:line="2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Permitted Liens.</w:t>
      </w:r>
    </w:p>
    <w:p>
      <w:pPr>
        <w:spacing w:after="0" w:line="206" w:lineRule="exact"/>
        <w:rPr>
          <w:sz w:val="20"/>
          <w:szCs w:val="20"/>
          <w:color w:val="auto"/>
        </w:rPr>
      </w:pPr>
    </w:p>
    <w:p>
      <w:pPr>
        <w:ind w:left="1300"/>
        <w:spacing w:after="0"/>
        <w:tabs>
          <w:tab w:leader="none" w:pos="1980" w:val="left"/>
          <w:tab w:leader="none" w:pos="4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Environmental Compliance.6.09</w:t>
        <w:tab/>
        <w:t>Environmental Compliance..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could not reasonably be expected to have a Material Adverse Effect:</w:t>
      </w:r>
    </w:p>
    <w:p>
      <w:pPr>
        <w:spacing w:after="0" w:line="247" w:lineRule="exact"/>
        <w:rPr>
          <w:sz w:val="20"/>
          <w:szCs w:val="20"/>
          <w:color w:val="auto"/>
        </w:rPr>
      </w:pPr>
    </w:p>
    <w:p>
      <w:pPr>
        <w:jc w:val="both"/>
        <w:ind w:left="660" w:firstLine="645"/>
        <w:spacing w:after="0" w:line="297" w:lineRule="auto"/>
        <w:tabs>
          <w:tab w:leader="none" w:pos="21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Facilities and all operations at the Facilities are in compliance with all applicable Environmental Laws, and there is no violation of any Environmental Law with respect to the Facilities or the Businesses, and there are no conditions relating to the Facilities or the Businesses that could give rise to liability under any applicable Environmental Laws.</w:t>
      </w:r>
    </w:p>
    <w:p>
      <w:pPr>
        <w:spacing w:after="0" w:line="1" w:lineRule="exact"/>
        <w:rPr>
          <w:rFonts w:ascii="Times New Roman" w:cs="Times New Roman" w:eastAsia="Times New Roman" w:hAnsi="Times New Roman"/>
          <w:sz w:val="18"/>
          <w:szCs w:val="18"/>
          <w:color w:val="auto"/>
        </w:rPr>
      </w:pPr>
    </w:p>
    <w:p>
      <w:pPr>
        <w:ind w:left="660" w:firstLine="645"/>
        <w:spacing w:after="0" w:line="329" w:lineRule="auto"/>
        <w:tabs>
          <w:tab w:leader="none" w:pos="21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ectPr>
          <w:pgSz w:w="11900" w:h="16838" w:orient="portrait"/>
          <w:cols w:equalWidth="0" w:num="1">
            <w:col w:w="11420"/>
          </w:cols>
          <w:pgMar w:left="240" w:top="607" w:right="239" w:bottom="1440" w:gutter="0" w:footer="0" w:header="0"/>
        </w:sectPr>
      </w:pPr>
    </w:p>
    <w:bookmarkStart w:id="96" w:name="page97"/>
    <w:bookmarkEnd w:id="96"/>
    <w:p>
      <w:pPr>
        <w:jc w:val="both"/>
        <w:ind w:left="660" w:firstLine="645"/>
        <w:spacing w:after="0" w:line="297" w:lineRule="auto"/>
        <w:tabs>
          <w:tab w:leader="none" w:pos="21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Loan Party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the Borrower have knowledge or reason to believe that any such notice will be received or is being threatened.</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Materials have not been transported or disposed of from the Facilities, or generated, treated, stored or disposed of at, on or under any of the Facilities or any other location, in each case by or on behalf of any Loan Party or any Subsidiary in violation of, or in a manner that would be reasonably likely to give rise to liability under, any applicable Environmental Law.</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judicial proceeding or governmental or administrative action is pending or, to the knowledge of any Responsible Officer of the Borrower,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Facilities or the Businesses.</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or threat of release of Hazardous Materials at or from the Facilities, or arising from or related to the operations (including, without limitation, disposal) of any Loan Party or any Subsidiary in connection with the Facilities or otherwise in connection with the Businesses, in violation of or in amounts or in a manner that could give rise to liability under Environmental Laws.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Insurance.6.10  Insurance..</w:t>
      </w:r>
    </w:p>
    <w:p>
      <w:pPr>
        <w:spacing w:after="0" w:line="27" w:lineRule="exact"/>
        <w:rPr>
          <w:rFonts w:ascii="Times New Roman" w:cs="Times New Roman" w:eastAsia="Times New Roman" w:hAnsi="Times New Roman"/>
          <w:sz w:val="18"/>
          <w:szCs w:val="18"/>
          <w:color w:val="auto"/>
        </w:rPr>
      </w:pPr>
    </w:p>
    <w:p>
      <w:pPr>
        <w:jc w:val="both"/>
        <w:ind w:firstLine="656"/>
        <w:spacing w:after="0" w:line="259" w:lineRule="auto"/>
        <w:tabs>
          <w:tab w:leader="none" w:pos="10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properties of the Loan Parties and their Subsidiaries are insured with financially sound and reputable insurance companies not Affiliates of such Persons, in such amounts, with such deductibles and covering such risks as are customarily carried by companies engaged in similar businesses and owning similar properties in localities where the applicable Loan Party or the applicable Subsidiary operates. The insurance coverage of the Loan Parties and their Subsidiaries as in effect on the Closing Date is outlined as to carrier, policy number, expiration date, type and amount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and applicable law.</w:t>
      </w:r>
    </w:p>
    <w:p>
      <w:pPr>
        <w:spacing w:after="0" w:line="203" w:lineRule="exact"/>
        <w:rPr>
          <w:sz w:val="20"/>
          <w:szCs w:val="20"/>
          <w:color w:val="auto"/>
        </w:rPr>
      </w:pPr>
    </w:p>
    <w:p>
      <w:pPr>
        <w:ind w:left="2000" w:hanging="695"/>
        <w:spacing w:after="0"/>
        <w:tabs>
          <w:tab w:leader="none" w:pos="2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Taxes.6.11  Taxes..</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Loan Parties and their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Neither any Loan Party nor any Subsidiary thereof is party to any tax sharing agreement.</w:t>
      </w:r>
    </w:p>
    <w:p>
      <w:pPr>
        <w:spacing w:after="0" w:line="210" w:lineRule="exact"/>
        <w:rPr>
          <w:sz w:val="20"/>
          <w:szCs w:val="20"/>
          <w:color w:val="auto"/>
        </w:rPr>
      </w:pPr>
    </w:p>
    <w:p>
      <w:pPr>
        <w:ind w:left="1300"/>
        <w:spacing w:after="0"/>
        <w:tabs>
          <w:tab w:leader="none" w:pos="1980" w:val="left"/>
          <w:tab w:leader="none" w:pos="3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ERISA Compliance.6.12</w:t>
      </w:r>
      <w:r>
        <w:rPr>
          <w:sz w:val="20"/>
          <w:szCs w:val="20"/>
          <w:color w:val="auto"/>
        </w:rPr>
        <w:tab/>
      </w:r>
      <w:r>
        <w:rPr>
          <w:rFonts w:ascii="Times New Roman" w:cs="Times New Roman" w:eastAsia="Times New Roman" w:hAnsi="Times New Roman"/>
          <w:sz w:val="17"/>
          <w:szCs w:val="17"/>
          <w:u w:val="single" w:color="auto"/>
          <w:color w:val="auto"/>
        </w:rPr>
        <w:t>ERISA Compliance..</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Internal Revenue Service to the effect that the form of such Plan is qualified under Section 401(a) of the Internal Revenue Code and the trust related thereto has been determined by the Internal Revenue Service to be exempt from federal income tax under Section 501(a) of the Internal Revenue Code or an application for such a letter is currently being processed by the Internal Revenue Service. To the best knowledge of any of the Responsible Officers of the Borrower, nothing has occurred that would prevent, or cause the loss of, such tax-qualified status.</w:t>
      </w:r>
    </w:p>
    <w:p>
      <w:pPr>
        <w:spacing w:after="0" w:line="3"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best knowledge of any of the Responsible Officers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302" w:lineRule="auto"/>
        <w:tabs>
          <w:tab w:leader="none" w:pos="21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ERISA Event has occurred and no Responsible Officer of the Borrower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sixty percent (60%) or higher and no Responsible Officer of the Borrower knows of any facts or circumstances that could reasonably be expected to cause the funding target attainment percentage for any such plan to drop below sixty percent (60%) as of the most recent</w:t>
      </w:r>
    </w:p>
    <w:p>
      <w:pPr>
        <w:sectPr>
          <w:pgSz w:w="11900" w:h="16838" w:orient="portrait"/>
          <w:cols w:equalWidth="0" w:num="1">
            <w:col w:w="11420"/>
          </w:cols>
          <w:pgMar w:left="240" w:top="607" w:right="239" w:bottom="1440" w:gutter="0" w:footer="0" w:header="0"/>
        </w:sectPr>
      </w:pPr>
    </w:p>
    <w:bookmarkStart w:id="97" w:name="page98"/>
    <w:bookmarkEnd w:id="97"/>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 w:lineRule="exact"/>
        <w:rPr>
          <w:sz w:val="20"/>
          <w:szCs w:val="20"/>
          <w:color w:val="auto"/>
        </w:rPr>
      </w:pPr>
    </w:p>
    <w:p>
      <w:pPr>
        <w:ind w:left="660"/>
        <w:spacing w:after="0"/>
        <w:tabs>
          <w:tab w:leader="none" w:pos="1320" w:val="left"/>
          <w:tab w:leader="none" w:pos="3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Loan Parties and Ownership.6.13</w:t>
      </w:r>
      <w:r>
        <w:rPr>
          <w:sz w:val="20"/>
          <w:szCs w:val="20"/>
          <w:color w:val="auto"/>
        </w:rPr>
        <w:tab/>
      </w:r>
      <w:r>
        <w:rPr>
          <w:rFonts w:ascii="Times New Roman" w:cs="Times New Roman" w:eastAsia="Times New Roman" w:hAnsi="Times New Roman"/>
          <w:sz w:val="17"/>
          <w:szCs w:val="17"/>
          <w:u w:val="single" w:color="auto"/>
          <w:color w:val="auto"/>
        </w:rPr>
        <w:t>Loan Parties and Ownership..</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 xml:space="preserve"> is a complete and accurate list as of the Closing Date of each Subsidiary of any Loan Party, together with (a) jurisdiction of formation, (b) number of shares of each class of Equity Interests outstanding, (c) number and percentage of outstanding shares of each class owned (directly or indirectly) by any Loan Party or any Subsidiary, (d) number and effect, if exercised, of all outstanding options, warrants, rights of conversion or purchase and all other similar rights with respect thereto and (e) whether such Subsidiary is a Material Domestic Subsidiary. The outstanding Equity Interests of each Subsidiary of any Loan Party are validly issued, fully paid and non-assessable.</w:t>
      </w:r>
    </w:p>
    <w:p>
      <w:pPr>
        <w:spacing w:after="0" w:line="210" w:lineRule="exact"/>
        <w:rPr>
          <w:sz w:val="20"/>
          <w:szCs w:val="20"/>
          <w:color w:val="auto"/>
        </w:rPr>
      </w:pPr>
    </w:p>
    <w:p>
      <w:pPr>
        <w:ind w:left="1300"/>
        <w:spacing w:after="0"/>
        <w:tabs>
          <w:tab w:leader="none" w:pos="1980" w:val="left"/>
          <w:tab w:leader="none" w:pos="5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Margin Regulations; Investment Company Act.6.14</w:t>
      </w:r>
      <w:r>
        <w:rPr>
          <w:sz w:val="20"/>
          <w:szCs w:val="20"/>
          <w:color w:val="auto"/>
        </w:rPr>
        <w:tab/>
      </w:r>
      <w:r>
        <w:rPr>
          <w:rFonts w:ascii="Times New Roman" w:cs="Times New Roman" w:eastAsia="Times New Roman" w:hAnsi="Times New Roman"/>
          <w:sz w:val="17"/>
          <w:szCs w:val="17"/>
          <w:u w:val="single" w:color="auto"/>
          <w:color w:val="auto"/>
        </w:rPr>
        <w:t>Margin Regulations; Investment Company Act..</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Holdings and its Subsidiaries on a consolidated basis) subject to the provisions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xml:space="preserve"> will be margin stock.</w:t>
      </w:r>
    </w:p>
    <w:p>
      <w:pPr>
        <w:spacing w:after="0" w:line="2" w:lineRule="exact"/>
        <w:rPr>
          <w:rFonts w:ascii="Times New Roman" w:cs="Times New Roman" w:eastAsia="Times New Roman" w:hAnsi="Times New Roman"/>
          <w:sz w:val="18"/>
          <w:szCs w:val="18"/>
          <w:color w:val="auto"/>
        </w:rPr>
      </w:pPr>
    </w:p>
    <w:p>
      <w:pPr>
        <w:ind w:left="660" w:right="20" w:firstLine="645"/>
        <w:spacing w:after="0" w:line="297" w:lineRule="auto"/>
        <w:tabs>
          <w:tab w:leader="none" w:pos="21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any Loan Party, any Person Controlling any Loan Party, or any Subsidiary is or is required to be registered as an “investment company” under the Investment Company Act of 1940.</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Disclosure.6.15  Disclosure..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disclosed to the Administrative Agent and the Lenders all agreements, instruments and corporate or other restrictions to which</w:t>
      </w:r>
    </w:p>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it or any of its Subsidiaries is subject, and all other matters known to any of the Responsible Officers of the Borrower,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(and as of the time)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w:t>
      </w:r>
    </w:p>
    <w:p>
      <w:pPr>
        <w:spacing w:after="0" w:line="216" w:lineRule="exact"/>
        <w:rPr>
          <w:sz w:val="20"/>
          <w:szCs w:val="20"/>
          <w:color w:val="auto"/>
        </w:rPr>
      </w:pPr>
    </w:p>
    <w:p>
      <w:pPr>
        <w:ind w:left="1300"/>
        <w:spacing w:after="0"/>
        <w:tabs>
          <w:tab w:leader="none" w:pos="1980" w:val="left"/>
          <w:tab w:leader="none" w:pos="4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Compliance with Laws.6.16</w:t>
      </w:r>
      <w:r>
        <w:rPr>
          <w:sz w:val="20"/>
          <w:szCs w:val="20"/>
          <w:color w:val="auto"/>
        </w:rPr>
        <w:tab/>
      </w:r>
      <w:r>
        <w:rPr>
          <w:rFonts w:ascii="Times New Roman" w:cs="Times New Roman" w:eastAsia="Times New Roman" w:hAnsi="Times New Roman"/>
          <w:sz w:val="17"/>
          <w:szCs w:val="17"/>
          <w:u w:val="single" w:color="auto"/>
          <w:color w:val="auto"/>
        </w:rPr>
        <w:t>Compliance with Laws..</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6" w:lineRule="exact"/>
        <w:rPr>
          <w:sz w:val="20"/>
          <w:szCs w:val="20"/>
          <w:color w:val="auto"/>
        </w:rPr>
      </w:pPr>
    </w:p>
    <w:p>
      <w:pPr>
        <w:ind w:left="1300"/>
        <w:spacing w:after="0"/>
        <w:tabs>
          <w:tab w:leader="none" w:pos="1980" w:val="left"/>
          <w:tab w:leader="none" w:pos="5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Intellectual Property; Licenses, Etc.6.17</w:t>
      </w:r>
      <w:r>
        <w:rPr>
          <w:sz w:val="20"/>
          <w:szCs w:val="20"/>
          <w:color w:val="auto"/>
        </w:rPr>
        <w:tab/>
      </w:r>
      <w:r>
        <w:rPr>
          <w:rFonts w:ascii="Times New Roman" w:cs="Times New Roman" w:eastAsia="Times New Roman" w:hAnsi="Times New Roman"/>
          <w:sz w:val="17"/>
          <w:szCs w:val="17"/>
          <w:u w:val="single" w:color="auto"/>
          <w:color w:val="auto"/>
        </w:rPr>
        <w:t>Intellectual Property; Licenses, Etc..</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Loan Party and its Subsidiaries own, or possess the legal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that are reasonably necessary for the operation of their respective businesses, except to the extent any failure to do so could not reasonably be expected to have a Material Adverse Effect.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is a list of all IP Rights registered or pending registration with the United States Copyright Office or the United States Patent and Trademark Office and owned by each Loan Party as of the Closing Date.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any Responsible Officer of the Borrower know of any such claim, and, to the knowledge of any Responsible Officer of the Borrower, the use of any IP Rights by any Loan Party or any of its Subsidiaries or the granting of a right or a license in respect of any IP Rights from any Loan Party or any of its Subsidiaries does not infringe on the rights of any Person. As of the Closing Date, none of the IP Rights owned by any of the Loan Parties or any of its Subsidiaries is subject to any licensing agreement or similar arrangement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2000" w:hanging="695"/>
        <w:spacing w:after="0"/>
        <w:tabs>
          <w:tab w:leader="none" w:pos="2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Solvency.6.18  Solvency..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is Solvent, individually, and Holdings and its Subsidiaries are Solvent on a consolidated basis.</w:t>
      </w:r>
    </w:p>
    <w:p>
      <w:pPr>
        <w:sectPr>
          <w:pgSz w:w="11900" w:h="16838" w:orient="portrait"/>
          <w:cols w:equalWidth="0" w:num="1">
            <w:col w:w="11420"/>
          </w:cols>
          <w:pgMar w:left="240" w:top="607" w:right="239" w:bottom="1440" w:gutter="0" w:footer="0" w:header="0"/>
        </w:sectPr>
      </w:pPr>
    </w:p>
    <w:bookmarkStart w:id="98" w:name="page99"/>
    <w:bookmarkEnd w:id="98"/>
    <w:p>
      <w:pPr>
        <w:ind w:left="1300"/>
        <w:spacing w:after="0"/>
        <w:tabs>
          <w:tab w:leader="none" w:pos="1980" w:val="left"/>
          <w:tab w:leader="none" w:pos="5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Perfection of Security Interests in the Collateral.6.19</w:t>
      </w:r>
      <w:r>
        <w:rPr>
          <w:sz w:val="20"/>
          <w:szCs w:val="20"/>
          <w:color w:val="auto"/>
        </w:rPr>
        <w:tab/>
      </w:r>
      <w:r>
        <w:rPr>
          <w:rFonts w:ascii="Times New Roman" w:cs="Times New Roman" w:eastAsia="Times New Roman" w:hAnsi="Times New Roman"/>
          <w:sz w:val="17"/>
          <w:szCs w:val="17"/>
          <w:u w:val="single" w:color="auto"/>
          <w:color w:val="auto"/>
        </w:rPr>
        <w:t>Perfection of Security Interests in the Collateral..</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Collateral Documents create valid security interests in, and Liens on, the property described in and subject to the lien-granting provisions of the Collateral Documents, which security interests and Liens are currently perfected security interests and Liens, prior to all other Liens other than Permitted Liens.</w:t>
      </w:r>
    </w:p>
    <w:p>
      <w:pPr>
        <w:spacing w:after="0" w:line="206" w:lineRule="exact"/>
        <w:rPr>
          <w:sz w:val="20"/>
          <w:szCs w:val="20"/>
          <w:color w:val="auto"/>
        </w:rPr>
      </w:pPr>
    </w:p>
    <w:p>
      <w:pPr>
        <w:ind w:left="1300"/>
        <w:spacing w:after="0"/>
        <w:tabs>
          <w:tab w:leader="none" w:pos="1980" w:val="left"/>
          <w:tab w:leader="none" w:pos="3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Business Locations.6.20</w:t>
      </w:r>
      <w:r>
        <w:rPr>
          <w:sz w:val="20"/>
          <w:szCs w:val="20"/>
          <w:color w:val="auto"/>
        </w:rPr>
        <w:tab/>
      </w:r>
      <w:r>
        <w:rPr>
          <w:rFonts w:ascii="Times New Roman" w:cs="Times New Roman" w:eastAsia="Times New Roman" w:hAnsi="Times New Roman"/>
          <w:sz w:val="17"/>
          <w:szCs w:val="17"/>
          <w:u w:val="single" w:color="auto"/>
          <w:color w:val="auto"/>
        </w:rPr>
        <w:t>Business Locations..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6.20(a)</w:t>
      </w:r>
      <w:r>
        <w:rPr>
          <w:rFonts w:ascii="Times New Roman" w:cs="Times New Roman" w:eastAsia="Times New Roman" w:hAnsi="Times New Roman"/>
          <w:sz w:val="18"/>
          <w:szCs w:val="18"/>
          <w:color w:val="auto"/>
        </w:rPr>
        <w:t xml:space="preserve"> is a list of all real property located in the United States that is owned or leased by the Loan Parties as of the Closing Date. Set forth on </w:t>
      </w:r>
      <w:r>
        <w:rPr>
          <w:rFonts w:ascii="Times New Roman" w:cs="Times New Roman" w:eastAsia="Times New Roman" w:hAnsi="Times New Roman"/>
          <w:sz w:val="18"/>
          <w:szCs w:val="18"/>
          <w:u w:val="single" w:color="auto"/>
          <w:color w:val="auto"/>
        </w:rPr>
        <w:t>Schedule 6.20(b)</w:t>
      </w:r>
      <w:r>
        <w:rPr>
          <w:rFonts w:ascii="Times New Roman" w:cs="Times New Roman" w:eastAsia="Times New Roman" w:hAnsi="Times New Roman"/>
          <w:sz w:val="18"/>
          <w:szCs w:val="18"/>
          <w:color w:val="auto"/>
        </w:rPr>
        <w:t xml:space="preserve"> is the tax payer identification number and organizational identification number of each Loan Party as of the Closing Date. The exact legal name and state of organization of (a) the Borrower is as set forth on the signature pages hereto and (b) each Guarantor is (i) as set forth on the signature pages hereto, (ii) as set forth on the signature pages to the Guarantor Joinder Agreement pursuant to which such Guarantor became a party hereto or</w:t>
      </w:r>
    </w:p>
    <w:p>
      <w:pPr>
        <w:spacing w:after="0" w:line="2" w:lineRule="exact"/>
        <w:rPr>
          <w:sz w:val="20"/>
          <w:szCs w:val="20"/>
          <w:color w:val="auto"/>
        </w:rPr>
      </w:pPr>
    </w:p>
    <w:p>
      <w:pPr>
        <w:jc w:val="both"/>
        <w:ind w:firstLine="8"/>
        <w:spacing w:after="0" w:line="255" w:lineRule="auto"/>
        <w:tabs>
          <w:tab w:leader="none" w:pos="3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otherwise disclosed by the Loan Parties to the Administrative Agent in accordance with </w:t>
      </w:r>
      <w:r>
        <w:rPr>
          <w:rFonts w:ascii="Times New Roman" w:cs="Times New Roman" w:eastAsia="Times New Roman" w:hAnsi="Times New Roman"/>
          <w:sz w:val="18"/>
          <w:szCs w:val="18"/>
          <w:u w:val="single" w:color="auto"/>
          <w:color w:val="auto"/>
        </w:rPr>
        <w:t>Section 8.13(c)</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6.20(c)</w:t>
      </w:r>
      <w:r>
        <w:rPr>
          <w:rFonts w:ascii="Times New Roman" w:cs="Times New Roman" w:eastAsia="Times New Roman" w:hAnsi="Times New Roman"/>
          <w:sz w:val="18"/>
          <w:szCs w:val="18"/>
          <w:color w:val="auto"/>
        </w:rPr>
        <w:t>, no Loan Party has during the five years preceding the Closing Date (i) changed its legal name, (ii) changed its state of formation, or (iii) been party to a merger, consolidation or other change in structure.</w:t>
      </w:r>
    </w:p>
    <w:p>
      <w:pPr>
        <w:spacing w:after="0" w:line="213" w:lineRule="exact"/>
        <w:rPr>
          <w:sz w:val="20"/>
          <w:szCs w:val="20"/>
          <w:color w:val="auto"/>
        </w:rPr>
      </w:pPr>
    </w:p>
    <w:p>
      <w:pPr>
        <w:ind w:left="1300"/>
        <w:spacing w:after="0"/>
        <w:tabs>
          <w:tab w:leader="none" w:pos="198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Labor Matters.6.21</w:t>
        <w:tab/>
        <w:t>Labor Matters..</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of the Closing Date, (a) there are no collective bargaining agreements or Multiemployer Plans covering the employees of any Loan Party or any Subsidiary and (b) no Loan Party or any Subsidiary has suffered any strikes, walkouts, work stoppages or other material labor difficulty within the last five years.</w:t>
      </w:r>
    </w:p>
    <w:p>
      <w:pPr>
        <w:spacing w:after="0" w:line="206" w:lineRule="exact"/>
        <w:rPr>
          <w:sz w:val="20"/>
          <w:szCs w:val="20"/>
          <w:color w:val="auto"/>
        </w:rPr>
      </w:pPr>
    </w:p>
    <w:p>
      <w:pPr>
        <w:ind w:left="1300"/>
        <w:spacing w:after="0"/>
        <w:tabs>
          <w:tab w:leader="none" w:pos="1980" w:val="left"/>
          <w:tab w:leader="none" w:pos="4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Government Sanctions.6.22</w:t>
        <w:tab/>
        <w:t>Government Sanctions..</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Neither Holdings, the Borrower, nor any of its Subsidiaries, nor, to the knowledge of any Responsible Officer of the Borrower, any director, officer, employee, agent, affiliate or representative thereof, is an individual or entity that is, or is owned or controlled by any individual or entity that is (a) currently the subject or target of any Sanctions, (b) included on OFAC’s List of Specially Designated National’s, HMT’s Consolidated List of Financial Sanctions Targets and the Investment Ban List, or any similar list enforced by any other relevant sanctions authority having jurisdiction over the Loan Parties and their respective Subsidiaries or (c) located, organized or resident in a Designated Jurisdiction. Each of Holdings, the Borrower and its Subsidiaries has instituted and maintains policies and procedures designed to promote and achieve compliance with all applicable Sanctions in all material respects and are in compliance with all applicable Sanctions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noncompliance with any applicable Sanctions by the Loan Parties and their respective Subsidiaries would not result in a violation of Sanctions by the Administrative Agent, any Lenders or any of their Affiliates. No Borrowing, or Letter of Credit, use of proceeds or other transaction contemplated by this Agreement or any other Loan Document violates applicable Sanctions.</w:t>
      </w:r>
    </w:p>
    <w:p>
      <w:pPr>
        <w:spacing w:after="0" w:line="219" w:lineRule="exact"/>
        <w:rPr>
          <w:sz w:val="20"/>
          <w:szCs w:val="20"/>
          <w:color w:val="auto"/>
        </w:rPr>
      </w:pPr>
    </w:p>
    <w:p>
      <w:pPr>
        <w:ind w:left="1300"/>
        <w:spacing w:after="0"/>
        <w:tabs>
          <w:tab w:leader="none" w:pos="198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7"/>
          <w:szCs w:val="17"/>
          <w:u w:val="single" w:color="auto"/>
          <w:color w:val="auto"/>
        </w:rPr>
        <w:t>PATRIOT Act</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To the extent applicable, Holdings, the Borrower and each Subsidiary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applicable to the Loan Parties and their respective Subsidiaries and (b) the PATRIOT Act.</w:t>
      </w:r>
    </w:p>
    <w:p>
      <w:pPr>
        <w:spacing w:after="0" w:line="209" w:lineRule="exact"/>
        <w:rPr>
          <w:sz w:val="20"/>
          <w:szCs w:val="20"/>
          <w:color w:val="auto"/>
        </w:rPr>
      </w:pPr>
    </w:p>
    <w:p>
      <w:pPr>
        <w:ind w:left="1300"/>
        <w:spacing w:after="0"/>
        <w:tabs>
          <w:tab w:leader="none" w:pos="1980" w:val="left"/>
          <w:tab w:leader="none" w:pos="4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Holdings, the Borrower and its Subsidiaries have conducted their businesses in compliance with the United States Foreign Corrupt Practices Act of 1977, the UK Bribery Act 2010 and other similar anti-corruption or bribery legislation promulgated by other authorities having jurisdiction over the Loan Parties and their respective Subsidiaries and have instituted and maintained policies and procedures designed to promote and achieve compliance with such laws. No Borrowing, or Letter of Credit, use of proceeds or other transaction contemplated by this Agreement or any other Loan Document will violate such laws.</w:t>
      </w:r>
    </w:p>
    <w:p>
      <w:pPr>
        <w:sectPr>
          <w:pgSz w:w="11900" w:h="16838" w:orient="portrait"/>
          <w:cols w:equalWidth="0" w:num="1">
            <w:col w:w="11420"/>
          </w:cols>
          <w:pgMar w:left="240" w:top="607" w:right="239" w:bottom="1440" w:gutter="0" w:footer="0" w:header="0"/>
        </w:sectPr>
      </w:pPr>
    </w:p>
    <w:bookmarkStart w:id="99" w:name="page100"/>
    <w:bookmarkEnd w:id="99"/>
    <w:p>
      <w:pPr>
        <w:ind w:left="1300"/>
        <w:spacing w:after="0"/>
        <w:tabs>
          <w:tab w:leader="none" w:pos="1980" w:val="left"/>
          <w:tab w:leader="none" w:pos="3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Insurance Licenses</w:t>
      </w: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7"/>
          <w:szCs w:val="17"/>
          <w:u w:val="single" w:color="auto"/>
          <w:color w:val="auto"/>
        </w:rPr>
        <w:t>Insurance Licenses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Borrower and each Subsidiary has all Insurance Licenses necessary (if any) to conduct its business except to the extent the failure to have such Insurance License would not have a Material Adverse Effect. To the knowledge of any Responsible Officer of the Borrower, (a) no Insurance License of any Subsidiary is the subject of a proceeding for suspension or revocation or any similar proceedings, (b) there is no sustainable basis for such a suspension or revocation, and (c) no such suspension or revocation is threatened by any Applicable Insurance Regulatory Authority; except, in each case referred to in clauses (a) through (c), to the extent that such event could not reasonably be expected to have a Material Adverse Effect.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ARTICLE XIX</w:t>
      </w:r>
    </w:p>
    <w:p>
      <w:pPr>
        <w:spacing w:after="0" w:line="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ARTICLE XX</w:t>
      </w:r>
    </w:p>
    <w:p>
      <w:pPr>
        <w:spacing w:after="0" w:line="50" w:lineRule="exact"/>
        <w:rPr>
          <w:sz w:val="20"/>
          <w:szCs w:val="20"/>
          <w:color w:val="auto"/>
        </w:rPr>
      </w:pPr>
    </w:p>
    <w:p>
      <w:pPr>
        <w:ind w:left="3340"/>
        <w:spacing w:after="0"/>
        <w:tabs>
          <w:tab w:leader="none" w:pos="5740" w:val="left"/>
        </w:tabs>
        <w:rPr>
          <w:sz w:val="20"/>
          <w:szCs w:val="20"/>
          <w:color w:val="auto"/>
        </w:rPr>
      </w:pPr>
      <w:r>
        <w:rPr>
          <w:rFonts w:ascii="Times New Roman" w:cs="Times New Roman" w:eastAsia="Times New Roman" w:hAnsi="Times New Roman"/>
          <w:sz w:val="18"/>
          <w:szCs w:val="18"/>
          <w:color w:val="auto"/>
        </w:rPr>
        <w:t>ARTICLE XXI</w:t>
      </w:r>
      <w:r>
        <w:rPr>
          <w:sz w:val="20"/>
          <w:szCs w:val="20"/>
          <w:color w:val="auto"/>
        </w:rPr>
        <w:tab/>
      </w:r>
      <w:r>
        <w:rPr>
          <w:rFonts w:ascii="Times New Roman" w:cs="Times New Roman" w:eastAsia="Times New Roman" w:hAnsi="Times New Roman"/>
          <w:sz w:val="17"/>
          <w:szCs w:val="17"/>
          <w:color w:val="auto"/>
        </w:rPr>
        <w:t>AFFIRMATIVE COVENANTS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or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shall remain outstanding, the Loan Parties shall and shall cause each Subsidiary to:</w:t>
      </w:r>
    </w:p>
    <w:p>
      <w:pPr>
        <w:spacing w:after="0" w:line="234" w:lineRule="exact"/>
        <w:rPr>
          <w:sz w:val="20"/>
          <w:szCs w:val="20"/>
          <w:color w:val="auto"/>
        </w:rPr>
      </w:pPr>
    </w:p>
    <w:p>
      <w:pPr>
        <w:ind w:left="1300"/>
        <w:spacing w:after="0"/>
        <w:tabs>
          <w:tab w:leader="none" w:pos="1980" w:val="left"/>
          <w:tab w:leader="none" w:pos="4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Financial Statements.7.01</w:t>
        <w:tab/>
        <w:t>Financial Statements..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Deliver to the Administrative Agent and each Lender, in form and detail satisfactory to the Administrative Agent and the Required Lenders:</w:t>
      </w:r>
    </w:p>
    <w:p>
      <w:pPr>
        <w:spacing w:after="0" w:line="247" w:lineRule="exact"/>
        <w:rPr>
          <w:sz w:val="20"/>
          <w:szCs w:val="20"/>
          <w:color w:val="auto"/>
        </w:rPr>
      </w:pPr>
    </w:p>
    <w:p>
      <w:pPr>
        <w:jc w:val="both"/>
        <w:ind w:left="660" w:firstLine="645"/>
        <w:spacing w:after="0" w:line="297" w:lineRule="auto"/>
        <w:tabs>
          <w:tab w:leader="none" w:pos="21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the date that is one hundred twenty days after the end of each fiscal year of Holdings and the date such information is filed with the SEC, a consolidated balance sheet of Holdings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3"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the date that is forty-five days after the end of each of the first three fiscal quarters of each fiscal year of Holdings and the date such information is filed with the SEC, a consolidated balance sheet of Holdings and its Subsidiaries as at the end of such fiscal quarter, and the related consolidated statements of income or operations, changes in shareholders’ equity and cash flows for such fiscal quarter and for the portion of the Holdings’ fiscal year then ended, setting forth in each case in comparative form the figures for the corresponding fiscal quarter of the previous fiscal year and the corresponding portion of the previous fiscal year, all in reasonable detail and certified by a Responsible Officer of Holdings as fairly presenting the financial condition, results of operations, shareholders’ equity and cash flows of Holdings and its Subsidiaries in accordance with GAAP, subject only to normal year-end audit adjustments and the absence of footnotes.</w:t>
      </w:r>
    </w:p>
    <w:p>
      <w:pPr>
        <w:spacing w:after="0" w:line="3" w:lineRule="exact"/>
        <w:rPr>
          <w:sz w:val="20"/>
          <w:szCs w:val="20"/>
          <w:color w:val="auto"/>
        </w:rPr>
      </w:pPr>
    </w:p>
    <w:p>
      <w:pPr>
        <w:ind w:left="660"/>
        <w:spacing w:after="0"/>
        <w:tabs>
          <w:tab w:leader="none" w:pos="1320" w:val="left"/>
          <w:tab w:leader="none" w:pos="4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Certificates; Other Information.7.02</w:t>
        <w:tab/>
        <w:t>Certificates; Other Information..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 to the Administrative Agent and each Lender, in form and detail reasonably satisfactory to the Administrative Agent and the Required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34" w:lineRule="exact"/>
        <w:rPr>
          <w:sz w:val="20"/>
          <w:szCs w:val="20"/>
          <w:color w:val="auto"/>
        </w:rPr>
      </w:pPr>
    </w:p>
    <w:p>
      <w:pPr>
        <w:jc w:val="both"/>
        <w:ind w:left="660" w:firstLine="645"/>
        <w:spacing w:after="0" w:line="297" w:lineRule="auto"/>
        <w:tabs>
          <w:tab w:leader="none" w:pos="21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a certificate of its independent certified public accountants certifying such financial statements and stating that in making the examination necessary therefor no knowledge was obtained of any Default or, if any such Default shall exist, stating the nature and status of such event;</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a Responsible Officer of Holdings;</w:t>
      </w:r>
    </w:p>
    <w:p>
      <w:pPr>
        <w:jc w:val="both"/>
        <w:ind w:left="660" w:firstLine="645"/>
        <w:spacing w:after="0" w:line="297" w:lineRule="auto"/>
        <w:tabs>
          <w:tab w:leader="none" w:pos="21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30 days after the start of each fiscal year of Holdings, beginning with the fiscal year ending December 31, 2015, an annual business plan and budget of Holdings and its Subsidiaries containing, among other things, pro forma financial statements for each quarter of such fiscal year;</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each annual report, proxy or financial statement or other report or communication sent to the equityholders of any Loan Party, and copies of all annual, regular, periodic and special reports and registration statements which a Loan Party files with the SEC under Section 13 or 15(d) of the Securities Exchange Act of 1934, and not otherwise required to be delivered to the Administrative Agent pursuant hereto;</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certificate of a Responsible Officer of Holdings containing information regarding the amount of all Dispositions, Involuntary Dispositions, Debt Issuances, Equity Issuances and Acquisitions that occurred during the period covered by such financial statements;</w:t>
      </w:r>
    </w:p>
    <w:p>
      <w:pPr>
        <w:spacing w:after="0" w:line="1" w:lineRule="exact"/>
        <w:rPr>
          <w:rFonts w:ascii="Times New Roman" w:cs="Times New Roman" w:eastAsia="Times New Roman" w:hAnsi="Times New Roman"/>
          <w:sz w:val="18"/>
          <w:szCs w:val="18"/>
          <w:color w:val="auto"/>
        </w:rPr>
      </w:pPr>
    </w:p>
    <w:p>
      <w:pPr>
        <w:ind w:left="660" w:firstLine="645"/>
        <w:spacing w:after="0" w:line="329" w:lineRule="auto"/>
        <w:tabs>
          <w:tab w:leader="none" w:pos="21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by the Administrative Agent or any Lender, copies of any detailed audit reports, management letters or recommendations submitted to the board of directors (or the audit committee of the board</w:t>
      </w:r>
    </w:p>
    <w:p>
      <w:pPr>
        <w:sectPr>
          <w:pgSz w:w="11900" w:h="16838" w:orient="portrait"/>
          <w:cols w:equalWidth="0" w:num="1">
            <w:col w:w="11420"/>
          </w:cols>
          <w:pgMar w:left="240" w:top="607" w:right="239" w:bottom="1440" w:gutter="0" w:footer="0" w:header="0"/>
        </w:sectPr>
      </w:pPr>
    </w:p>
    <w:bookmarkStart w:id="100" w:name="page101"/>
    <w:bookmarkEnd w:id="100"/>
    <w:p>
      <w:pPr>
        <w:ind w:left="660" w:right="20"/>
        <w:spacing w:after="0" w:line="297" w:lineRule="auto"/>
        <w:rPr>
          <w:sz w:val="20"/>
          <w:szCs w:val="20"/>
          <w:color w:val="auto"/>
        </w:rPr>
      </w:pPr>
      <w:r>
        <w:rPr>
          <w:rFonts w:ascii="Times New Roman" w:cs="Times New Roman" w:eastAsia="Times New Roman" w:hAnsi="Times New Roman"/>
          <w:sz w:val="18"/>
          <w:szCs w:val="18"/>
          <w:color w:val="auto"/>
        </w:rPr>
        <w:t>of directors) of Holdings by independent accountants in connection with the accounts or books of Holdings or any Subsidiary, or any audit of any of them;</w:t>
      </w:r>
    </w:p>
    <w:p>
      <w:pPr>
        <w:spacing w:after="0" w:line="1" w:lineRule="exact"/>
        <w:rPr>
          <w:sz w:val="20"/>
          <w:szCs w:val="20"/>
          <w:color w:val="auto"/>
        </w:rPr>
      </w:pPr>
    </w:p>
    <w:p>
      <w:pPr>
        <w:jc w:val="both"/>
        <w:ind w:left="660" w:right="20" w:firstLine="645"/>
        <w:spacing w:after="0" w:line="297" w:lineRule="auto"/>
        <w:tabs>
          <w:tab w:leader="none" w:pos="216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financial or corporate affairs of any Loan Party or any Subsidiary, or compliance with the terms of the Loan Documents, as the Administrative Agent or any Lender may from time to time reasonably request; and</w:t>
      </w:r>
    </w:p>
    <w:p>
      <w:pPr>
        <w:jc w:val="both"/>
        <w:ind w:left="660" w:firstLine="645"/>
        <w:spacing w:after="0" w:line="297" w:lineRule="auto"/>
        <w:tabs>
          <w:tab w:leader="none" w:pos="21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certificate of a Responsible Officer of Holdings (i) listing (A) all applications by any Loan Party, if any, for Copyrights, Patents or Trademarks (each such term as defined in the Security and Pledge Agreement) made since the date of the prior certificate (or, in the case of the first such certificate, the Closing Date), (B) all issuances of registrations or letters on existing applications by any Loan Party for Copyrights, Patents and Trademarks (each such term as defined in the Security and Pledge Agreement) received since the date of the prior certificate (or, in the case of the first such certificate, the Closing Date),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91" w:lineRule="auto"/>
        <w:tabs>
          <w:tab w:leader="none" w:pos="9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Trademark Licenses, Copyright Licenses and Patent Licenses (each such term as defined in the Security and Pledge Agreement) entered into by any Loan Party since the date of the prior certificate (or, in the case of the first such certificate, the Closing Date), and (ii) attaching the insurance binder or other evidence of insurance for any insurance coverage of any Loan Party or any Subsidiary that was renewed, replaced or modified during the period covered by such financial statements;</w:t>
      </w: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Borrower shall notify the Administrative Agent and each Lender (by facsimile or e-mail) of the posting of any such documents and provide to the Administrative Agent by e-mail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copies of the documents referred to above, and each Lender shall be solely responsible for requesting delivery to it or maintaining its copies of such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Arrangers may, but shall not be obligated to, make available to the Lenders and the L/C Issuer materials and/or information provided by or on behalf of the Borrower hereunder (collectively, the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marked “PUBLIC” are permitted to be made available through a portion of the Platform designated as “Public Side Information;” and (z) the Administrative Agent and the Arrangers shall be entitled to treat any Borrower Materials that are not marked “PUBLIC” as being suitable only for posting on a portion of the Platform that is not designated as “Public Side Information.”</w:t>
      </w:r>
    </w:p>
    <w:p>
      <w:pPr>
        <w:spacing w:after="0" w:line="216" w:lineRule="exact"/>
        <w:rPr>
          <w:sz w:val="20"/>
          <w:szCs w:val="20"/>
          <w:color w:val="auto"/>
        </w:rPr>
      </w:pPr>
    </w:p>
    <w:p>
      <w:pPr>
        <w:ind w:left="2000" w:hanging="695"/>
        <w:spacing w:after="0"/>
        <w:tabs>
          <w:tab w:leader="none" w:pos="2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Notices.7.03  Notices..</w:t>
      </w:r>
    </w:p>
    <w:p>
      <w:pPr>
        <w:spacing w:after="0" w:line="50" w:lineRule="exact"/>
        <w:rPr>
          <w:sz w:val="20"/>
          <w:szCs w:val="20"/>
          <w:color w:val="auto"/>
        </w:rPr>
      </w:pPr>
    </w:p>
    <w:p>
      <w:pPr>
        <w:ind w:left="660" w:firstLine="645"/>
        <w:spacing w:after="0" w:line="297" w:lineRule="auto"/>
        <w:tabs>
          <w:tab w:leader="none" w:pos="21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any Responsible Officer of the Borrower becomes aware thereof, notify the Administrative Agent and each Lender of the occurrence of any Default.</w:t>
      </w:r>
    </w:p>
    <w:p>
      <w:pPr>
        <w:jc w:val="both"/>
        <w:ind w:left="660" w:firstLine="645"/>
        <w:spacing w:after="0" w:line="313" w:lineRule="auto"/>
        <w:tabs>
          <w:tab w:leader="none" w:pos="21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any Responsible Officer of the Borrower becomes aware thereof, notify the Administrative Agent and each Lender of any matter that has resulted or could reasonably be expected to result in a Material Adverse Effect.</w:t>
      </w:r>
    </w:p>
    <w:p>
      <w:pPr>
        <w:sectPr>
          <w:pgSz w:w="11900" w:h="16838" w:orient="portrait"/>
          <w:cols w:equalWidth="0" w:num="1">
            <w:col w:w="11420"/>
          </w:cols>
          <w:pgMar w:left="240" w:top="607" w:right="239" w:bottom="1440" w:gutter="0" w:footer="0" w:header="0"/>
        </w:sectPr>
      </w:pPr>
    </w:p>
    <w:bookmarkStart w:id="101" w:name="page102"/>
    <w:bookmarkEnd w:id="101"/>
    <w:p>
      <w:pPr>
        <w:ind w:left="660" w:firstLine="645"/>
        <w:spacing w:after="0" w:line="297" w:lineRule="auto"/>
        <w:tabs>
          <w:tab w:leader="none" w:pos="21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any Responsible Officer of the Borrower becomes aware thereof, notify the Administrative Agent and each Lender of the occurrence of any ERISA Event.</w:t>
      </w:r>
    </w:p>
    <w:p>
      <w:pPr>
        <w:jc w:val="both"/>
        <w:ind w:left="660" w:firstLine="645"/>
        <w:spacing w:after="0" w:line="297" w:lineRule="auto"/>
        <w:tabs>
          <w:tab w:leader="none" w:pos="21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notify the Administrative Agent and each Lender of any material change in accounting policies or financial reporting practices by Holdings or any Subsidiary, including any determination by the Borrower referred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shall be accompanied by a statement of a Responsible Officer of the Borrower setting forth</w:t>
      </w:r>
    </w:p>
    <w:p>
      <w:pPr>
        <w:spacing w:after="0" w:line="2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details of the occurrence referred to therein and stating what action the applicable Loan Party has taken and proposes to take with respect thereto. Each notice pursuant to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207" w:lineRule="exact"/>
        <w:rPr>
          <w:sz w:val="20"/>
          <w:szCs w:val="20"/>
          <w:color w:val="auto"/>
        </w:rPr>
      </w:pPr>
    </w:p>
    <w:p>
      <w:pPr>
        <w:ind w:left="1300"/>
        <w:spacing w:after="0"/>
        <w:tabs>
          <w:tab w:leader="none" w:pos="1980" w:val="left"/>
          <w:tab w:leader="none" w:pos="4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Payment of Obligations.7.04</w:t>
      </w:r>
      <w:r>
        <w:rPr>
          <w:sz w:val="20"/>
          <w:szCs w:val="20"/>
          <w:color w:val="auto"/>
        </w:rPr>
        <w:tab/>
      </w:r>
      <w:r>
        <w:rPr>
          <w:rFonts w:ascii="Times New Roman" w:cs="Times New Roman" w:eastAsia="Times New Roman" w:hAnsi="Times New Roman"/>
          <w:sz w:val="17"/>
          <w:szCs w:val="17"/>
          <w:u w:val="single" w:color="auto"/>
          <w:color w:val="auto"/>
        </w:rPr>
        <w:t>Payment of Obligations..</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Pay and discharge, as the same shall become due and payable, all its obligations and liabilities, including (a) all material tax liabilities, assessments and governmental charges or levies upon it or its properties or assets, unless the same are being contested in good faith by appropriate proceedings diligently conducted and adequate reserves to the extent required by GAAP are being maintained by the Loan Party or such Subsidiary; (b) all lawful claims which, if unpaid, would by law become a Lien upon its property (other than Permitted Liens); and (c) all Indebtedness in excess of the Threshold Amount, as and when due and payable, but subject to any subordination provisions contained in any instrument or agreement evidencing such Indebtedness.</w:t>
      </w:r>
    </w:p>
    <w:p>
      <w:pPr>
        <w:spacing w:after="0" w:line="210" w:lineRule="exact"/>
        <w:rPr>
          <w:sz w:val="20"/>
          <w:szCs w:val="20"/>
          <w:color w:val="auto"/>
        </w:rPr>
      </w:pPr>
    </w:p>
    <w:p>
      <w:pPr>
        <w:ind w:left="1300"/>
        <w:spacing w:after="0"/>
        <w:tabs>
          <w:tab w:leader="none" w:pos="1980" w:val="left"/>
          <w:tab w:leader="none" w:pos="4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Preservation of Existence, Etc.7.05</w:t>
      </w:r>
      <w:r>
        <w:rPr>
          <w:sz w:val="20"/>
          <w:szCs w:val="20"/>
          <w:color w:val="auto"/>
        </w:rPr>
        <w:tab/>
      </w:r>
      <w:r>
        <w:rPr>
          <w:rFonts w:ascii="Times New Roman" w:cs="Times New Roman" w:eastAsia="Times New Roman" w:hAnsi="Times New Roman"/>
          <w:sz w:val="17"/>
          <w:szCs w:val="17"/>
          <w:u w:val="single" w:color="auto"/>
          <w:color w:val="auto"/>
        </w:rPr>
        <w:t>Preservation of Existence, Etc..</w:t>
      </w:r>
    </w:p>
    <w:p>
      <w:pPr>
        <w:spacing w:after="0" w:line="50" w:lineRule="exact"/>
        <w:rPr>
          <w:sz w:val="20"/>
          <w:szCs w:val="20"/>
          <w:color w:val="auto"/>
        </w:rPr>
      </w:pPr>
    </w:p>
    <w:p>
      <w:pPr>
        <w:ind w:left="660" w:firstLine="645"/>
        <w:spacing w:after="0" w:line="297" w:lineRule="auto"/>
        <w:tabs>
          <w:tab w:leader="none" w:pos="21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renew and maintain in full force and effect its legal existence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8.05</w:t>
      </w:r>
      <w:r>
        <w:rPr>
          <w:rFonts w:ascii="Times New Roman" w:cs="Times New Roman" w:eastAsia="Times New Roman" w:hAnsi="Times New Roman"/>
          <w:sz w:val="18"/>
          <w:szCs w:val="18"/>
          <w:color w:val="auto"/>
        </w:rPr>
        <w:t>.</w:t>
      </w:r>
    </w:p>
    <w:p>
      <w:pPr>
        <w:ind w:left="660" w:firstLine="645"/>
        <w:spacing w:after="0" w:line="297" w:lineRule="auto"/>
        <w:tabs>
          <w:tab w:leader="none" w:pos="21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renew and maintain in full force and effect its good standing under the Laws of the jurisdiction of its organization, except to the extent the failure to do so could not reasonably be expected to have a Material Adverse Effect.</w:t>
      </w:r>
    </w:p>
    <w:p>
      <w:pPr>
        <w:ind w:left="660" w:firstLine="645"/>
        <w:spacing w:after="0" w:line="297" w:lineRule="auto"/>
        <w:tabs>
          <w:tab w:leader="none" w:pos="21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ind w:left="660" w:firstLine="645"/>
        <w:spacing w:after="0" w:line="297" w:lineRule="auto"/>
        <w:tabs>
          <w:tab w:leader="none" w:pos="21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material registered patents, copyrights, trademarks, trade names and service marks, the non-preservation or non-renewal of which could reasonably be expected to have a Material Adverse Effect.</w:t>
      </w:r>
    </w:p>
    <w:p>
      <w:pPr>
        <w:spacing w:after="0" w:line="1" w:lineRule="exact"/>
        <w:rPr>
          <w:sz w:val="20"/>
          <w:szCs w:val="20"/>
          <w:color w:val="auto"/>
        </w:rPr>
      </w:pPr>
    </w:p>
    <w:p>
      <w:pPr>
        <w:ind w:left="660"/>
        <w:spacing w:after="0"/>
        <w:tabs>
          <w:tab w:leader="none" w:pos="1320" w:val="left"/>
          <w:tab w:leader="none" w:pos="3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Maintenance of Properties.7.06</w:t>
        <w:tab/>
        <w:t>Maintenance of Properties..</w:t>
      </w:r>
    </w:p>
    <w:p>
      <w:pPr>
        <w:spacing w:after="0" w:line="50" w:lineRule="exact"/>
        <w:rPr>
          <w:sz w:val="20"/>
          <w:szCs w:val="20"/>
          <w:color w:val="auto"/>
        </w:rPr>
      </w:pPr>
    </w:p>
    <w:p>
      <w:pPr>
        <w:jc w:val="both"/>
        <w:ind w:left="660" w:right="20" w:firstLine="645"/>
        <w:spacing w:after="0" w:line="297" w:lineRule="auto"/>
        <w:tabs>
          <w:tab w:leader="none" w:pos="21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protect all of its material properties and equipment necessary in the operation of its business in good working order and condition, ordinary wear and tear excepted, except where the failure to do so could not reasonably be expected to have a Material Adverse Effect.</w:t>
      </w:r>
    </w:p>
    <w:p>
      <w:pPr>
        <w:spacing w:after="0" w:line="1" w:lineRule="exact"/>
        <w:rPr>
          <w:rFonts w:ascii="Times New Roman" w:cs="Times New Roman" w:eastAsia="Times New Roman" w:hAnsi="Times New Roman"/>
          <w:sz w:val="18"/>
          <w:szCs w:val="18"/>
          <w:color w:val="auto"/>
        </w:rPr>
      </w:pPr>
    </w:p>
    <w:p>
      <w:pPr>
        <w:ind w:left="660" w:right="20" w:firstLine="645"/>
        <w:spacing w:after="0" w:line="297" w:lineRule="auto"/>
        <w:tabs>
          <w:tab w:leader="none" w:pos="21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necessary repairs thereto and renewals and replacements thereof, except where the failure to do so could not reasonably be expected to have a Material Adverse Effect.</w:t>
      </w:r>
    </w:p>
    <w:p>
      <w:pPr>
        <w:ind w:left="660" w:firstLine="645"/>
        <w:spacing w:after="0" w:line="297" w:lineRule="auto"/>
        <w:tabs>
          <w:tab w:leader="none" w:pos="215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standard of care typical in the industry in the operation and maintenance of its facilities, except where the failure to do so could not reasonably be expected to have a Material Adverse Effect.</w:t>
      </w:r>
    </w:p>
    <w:p>
      <w:pPr>
        <w:spacing w:after="0" w:line="1" w:lineRule="exact"/>
        <w:rPr>
          <w:sz w:val="20"/>
          <w:szCs w:val="20"/>
          <w:color w:val="auto"/>
        </w:rPr>
      </w:pPr>
    </w:p>
    <w:p>
      <w:pPr>
        <w:ind w:left="660"/>
        <w:spacing w:after="0"/>
        <w:tabs>
          <w:tab w:leader="none" w:pos="1320" w:val="left"/>
          <w:tab w:leader="none" w:pos="3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Maintenance of Insurance.7.07</w:t>
        <w:tab/>
        <w:t>Maintenance of Insurance..</w:t>
      </w:r>
    </w:p>
    <w:p>
      <w:pPr>
        <w:spacing w:after="0" w:line="27" w:lineRule="exact"/>
        <w:rPr>
          <w:sz w:val="20"/>
          <w:szCs w:val="20"/>
          <w:color w:val="auto"/>
        </w:rPr>
      </w:pPr>
    </w:p>
    <w:p>
      <w:pPr>
        <w:jc w:val="both"/>
        <w:ind w:firstLine="656"/>
        <w:spacing w:after="0" w:line="263" w:lineRule="auto"/>
        <w:tabs>
          <w:tab w:leader="none" w:pos="10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(and with such deductibles) as are customarily carried under similar circumstances by such other Persons.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pacing w:after="0" w:line="211" w:lineRule="exact"/>
        <w:rPr>
          <w:sz w:val="20"/>
          <w:szCs w:val="20"/>
          <w:color w:val="auto"/>
        </w:rPr>
      </w:pPr>
    </w:p>
    <w:p>
      <w:pPr>
        <w:ind w:left="1300"/>
        <w:spacing w:after="0"/>
        <w:tabs>
          <w:tab w:leader="none" w:pos="1980" w:val="left"/>
          <w:tab w:leader="none" w:pos="4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Compliance with Laws.7.08</w:t>
      </w:r>
      <w:r>
        <w:rPr>
          <w:sz w:val="20"/>
          <w:szCs w:val="20"/>
          <w:color w:val="auto"/>
        </w:rPr>
        <w:tab/>
      </w:r>
      <w:r>
        <w:rPr>
          <w:rFonts w:ascii="Times New Roman" w:cs="Times New Roman" w:eastAsia="Times New Roman" w:hAnsi="Times New Roman"/>
          <w:sz w:val="17"/>
          <w:szCs w:val="17"/>
          <w:u w:val="single" w:color="auto"/>
          <w:color w:val="auto"/>
        </w:rPr>
        <w:t>Compliance with Laws..</w:t>
      </w:r>
    </w:p>
    <w:p>
      <w:pPr>
        <w:spacing w:after="0" w:line="2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Comply with the requirements of all Laws (including Environmental Laws) and all orders, writs, injunctions and decrees applicable to it or to its business or property, except in such instances in which (a) such requirement of Law or order, writ, injunction</w:t>
      </w:r>
    </w:p>
    <w:p>
      <w:pPr>
        <w:sectPr>
          <w:pgSz w:w="11900" w:h="16838" w:orient="portrait"/>
          <w:cols w:equalWidth="0" w:num="1">
            <w:col w:w="11420"/>
          </w:cols>
          <w:pgMar w:left="240" w:top="607" w:right="239" w:bottom="1440" w:gutter="0" w:footer="0" w:header="0"/>
        </w:sectPr>
      </w:pPr>
    </w:p>
    <w:bookmarkStart w:id="102" w:name="page103"/>
    <w:bookmarkEnd w:id="102"/>
    <w:p>
      <w:pPr>
        <w:ind w:right="20"/>
        <w:spacing w:after="0" w:line="282" w:lineRule="auto"/>
        <w:rPr>
          <w:sz w:val="20"/>
          <w:szCs w:val="20"/>
          <w:color w:val="auto"/>
        </w:rPr>
      </w:pPr>
      <w:r>
        <w:rPr>
          <w:rFonts w:ascii="Times New Roman" w:cs="Times New Roman" w:eastAsia="Times New Roman" w:hAnsi="Times New Roman"/>
          <w:sz w:val="18"/>
          <w:szCs w:val="18"/>
          <w:color w:val="auto"/>
        </w:rPr>
        <w:t>or decree is being contested in good faith by appropriate proceedings diligently conducted; or (b) the failure to comply therewith could not reasonably be expected to have a Material Adverse Effect.</w:t>
      </w:r>
    </w:p>
    <w:p>
      <w:pPr>
        <w:spacing w:after="0" w:line="189" w:lineRule="exact"/>
        <w:rPr>
          <w:sz w:val="20"/>
          <w:szCs w:val="20"/>
          <w:color w:val="auto"/>
        </w:rPr>
      </w:pPr>
    </w:p>
    <w:p>
      <w:pPr>
        <w:ind w:left="1300"/>
        <w:spacing w:after="0"/>
        <w:tabs>
          <w:tab w:leader="none" w:pos="1980" w:val="left"/>
          <w:tab w:leader="none" w:pos="3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Books and Records.7.09</w:t>
      </w:r>
      <w:r>
        <w:rPr>
          <w:sz w:val="20"/>
          <w:szCs w:val="20"/>
          <w:color w:val="auto"/>
        </w:rPr>
        <w:tab/>
      </w:r>
      <w:r>
        <w:rPr>
          <w:rFonts w:ascii="Times New Roman" w:cs="Times New Roman" w:eastAsia="Times New Roman" w:hAnsi="Times New Roman"/>
          <w:sz w:val="17"/>
          <w:szCs w:val="17"/>
          <w:u w:val="single" w:color="auto"/>
          <w:color w:val="auto"/>
        </w:rPr>
        <w:t>Books and Records..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proper books of record and account, in which full, true and correct entries in conformity (in all material respects) with GAAP consistently applied shall be made of all financial transactions and matters involving the assets and business of such Loan Party or such Subsidiary, as the case may be.</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6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 w:lineRule="exact"/>
        <w:rPr>
          <w:sz w:val="20"/>
          <w:szCs w:val="20"/>
          <w:color w:val="auto"/>
        </w:rPr>
      </w:pPr>
    </w:p>
    <w:p>
      <w:pPr>
        <w:ind w:left="660"/>
        <w:spacing w:after="0"/>
        <w:tabs>
          <w:tab w:leader="none" w:pos="1320" w:val="left"/>
          <w:tab w:leader="none" w:pos="3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Inspection Rights.7.10</w:t>
      </w:r>
      <w:r>
        <w:rPr>
          <w:sz w:val="20"/>
          <w:szCs w:val="20"/>
          <w:color w:val="auto"/>
        </w:rPr>
        <w:tab/>
      </w:r>
      <w:r>
        <w:rPr>
          <w:rFonts w:ascii="Times New Roman" w:cs="Times New Roman" w:eastAsia="Times New Roman" w:hAnsi="Times New Roman"/>
          <w:sz w:val="17"/>
          <w:szCs w:val="17"/>
          <w:u w:val="single" w:color="auto"/>
          <w:color w:val="auto"/>
        </w:rPr>
        <w:t>Inspection Rights..</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Permit representatives or independent contractors of the Administrative Agent and each Lender to visit and, to the extent permitted by Laws,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the Administrative Agent shall not exercise such rights more often than two (2) times during any calendar year absent the existence of an Event of Default and only one (1) such time shall be at the Borrower’s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w:t>
      </w:r>
    </w:p>
    <w:p>
      <w:pPr>
        <w:spacing w:after="0" w:line="219" w:lineRule="exact"/>
        <w:rPr>
          <w:sz w:val="20"/>
          <w:szCs w:val="20"/>
          <w:color w:val="auto"/>
        </w:rPr>
      </w:pPr>
    </w:p>
    <w:p>
      <w:pPr>
        <w:ind w:left="1300"/>
        <w:spacing w:after="0"/>
        <w:tabs>
          <w:tab w:leader="none" w:pos="1980" w:val="left"/>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Use of Proceeds.7.11</w:t>
      </w:r>
      <w:r>
        <w:rPr>
          <w:sz w:val="20"/>
          <w:szCs w:val="20"/>
          <w:color w:val="auto"/>
        </w:rPr>
        <w:tab/>
      </w:r>
      <w:r>
        <w:rPr>
          <w:rFonts w:ascii="Times New Roman" w:cs="Times New Roman" w:eastAsia="Times New Roman" w:hAnsi="Times New Roman"/>
          <w:sz w:val="17"/>
          <w:szCs w:val="17"/>
          <w:u w:val="single" w:color="auto"/>
          <w:color w:val="auto"/>
        </w:rPr>
        <w:t>Use of Proceeds..</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Use the proceeds of the Credit Extensions (a) to refinance certain existing Indebtedness, (b) to finance working capital, capital expenditures and Permitted Acquisitions and (c) for other general corporate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proceeds of the Credit Extensions be used in contravention of any Law or of any Loan Document.</w:t>
      </w:r>
    </w:p>
    <w:p>
      <w:pPr>
        <w:spacing w:after="0" w:line="206" w:lineRule="exact"/>
        <w:rPr>
          <w:sz w:val="20"/>
          <w:szCs w:val="20"/>
          <w:color w:val="auto"/>
        </w:rPr>
      </w:pPr>
    </w:p>
    <w:p>
      <w:pPr>
        <w:ind w:left="1300"/>
        <w:spacing w:after="0"/>
        <w:tabs>
          <w:tab w:leader="none" w:pos="1980" w:val="left"/>
          <w:tab w:leader="none" w:pos="8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Additional Subsidiaries or Change in Status to Material Domestic Subsidiary.7.12</w:t>
      </w:r>
      <w:r>
        <w:rPr>
          <w:sz w:val="20"/>
          <w:szCs w:val="20"/>
          <w:color w:val="auto"/>
        </w:rPr>
        <w:tab/>
      </w:r>
      <w:r>
        <w:rPr>
          <w:rFonts w:ascii="Times New Roman" w:cs="Times New Roman" w:eastAsia="Times New Roman" w:hAnsi="Times New Roman"/>
          <w:sz w:val="17"/>
          <w:szCs w:val="17"/>
          <w:u w:val="single" w:color="auto"/>
          <w:color w:val="auto"/>
        </w:rPr>
        <w:t>Additional Subsidiaries..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after the acquisition of any Material Domestic Subsidiary, (x) notify the Administrative Agent thereof in writing, together with the (i) jurisdiction of formation, (ii) number of shares of each class of Equity Interests outstanding, (iii) number and percentage of outstanding shares of each class owned (directly or indirectly) by the Borrower or any Subsidiary and (iv) number and effect, if exercised, of all outstanding options, warrants, rights of conversion or purchase and all other similar rights with respect thereto and (y) cause such Material Domestic Subsidiary to (i) become a Guarantor by executing and delivering to the Administrative Agent a Guarantor Joinder Agreement or such other documents as the Administrative Agent shall reasonably deem appropriate for such purpose, and (ii) deliver to the Administrative Agent documents of the types referred to in </w:t>
      </w:r>
      <w:r>
        <w:rPr>
          <w:rFonts w:ascii="Times New Roman" w:cs="Times New Roman" w:eastAsia="Times New Roman" w:hAnsi="Times New Roman"/>
          <w:sz w:val="18"/>
          <w:szCs w:val="18"/>
          <w:u w:val="single" w:color="auto"/>
          <w:color w:val="auto"/>
        </w:rPr>
        <w:t>Sections 5.01(f)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if requested by the Administrative Agent in its sole discretion, favorable customary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all in form, content and scope reasonably satisfactory to the Administrative Agent. For purposes of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 determinations of whether a newly acquired Subsidiary constitutes a “Material Domestic Subsidiary” shall be made on a Pro Forma Basis.</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delivery of each Compliance Certificate (or such later date as the Administrative Agent may agree in its sole discretion), notify the Administrative Agent in writing of the acquisition or formation of any Subsidiary that is not a Material Domestic Subsidiary, together with the (i) jurisdiction of formation, (ii) number of shares of each class of Equity Interests outstanding, (iii) number and percentage of outstanding shares of each class owned (directly or indirectly) by the Borrower or any Subsidiary and (iv) number and effect, if exercised, of all outstanding options, warrants, rights of conversion or purchase and all other similar rights with respect thereto;</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302" w:lineRule="auto"/>
        <w:tabs>
          <w:tab w:leader="none" w:pos="21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ten (10) Business Days (or such later date as the Administrative Agent may agree in its sole discretion) after delivery of any Compliance Certificate that discloses that a Subsidiary that has not previously been a Material Domestic Subsidiary has become a Material Domestic Subsidiary, in each case cause such Person to (i) become a Guarantor by executing and delivering to the Administrative Agent a Guarantor Joinder Agreement or such other documents as the Administrative Agent shall deem appropriate for such purpose, and (ii) deliver to the Administrative Agent documents of the types referred to in </w:t>
      </w:r>
      <w:r>
        <w:rPr>
          <w:rFonts w:ascii="Times New Roman" w:cs="Times New Roman" w:eastAsia="Times New Roman" w:hAnsi="Times New Roman"/>
          <w:sz w:val="18"/>
          <w:szCs w:val="18"/>
          <w:u w:val="single" w:color="auto"/>
          <w:color w:val="auto"/>
        </w:rPr>
        <w:t>Sections 5.01(f)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if requested by the Administrative Agent in its sole discretion, favorable customary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all in form, content and scope reasonably satisfactory to the Administrative Agent.</w:t>
      </w:r>
    </w:p>
    <w:p>
      <w:pPr>
        <w:sectPr>
          <w:pgSz w:w="11900" w:h="16838" w:orient="portrait"/>
          <w:cols w:equalWidth="0" w:num="1">
            <w:col w:w="11420"/>
          </w:cols>
          <w:pgMar w:left="240" w:top="580" w:right="239" w:bottom="1440" w:gutter="0" w:footer="0" w:header="0"/>
        </w:sectPr>
      </w:pPr>
    </w:p>
    <w:bookmarkStart w:id="103" w:name="page104"/>
    <w:bookmarkEnd w:id="103"/>
    <w:p>
      <w:pPr>
        <w:ind w:left="660"/>
        <w:spacing w:after="0"/>
        <w:tabs>
          <w:tab w:leader="none" w:pos="1320" w:val="left"/>
          <w:tab w:leader="none" w:pos="3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ERISA Compliance.7.13</w:t>
      </w:r>
      <w:r>
        <w:rPr>
          <w:sz w:val="20"/>
          <w:szCs w:val="20"/>
          <w:color w:val="auto"/>
        </w:rPr>
        <w:tab/>
      </w:r>
      <w:r>
        <w:rPr>
          <w:rFonts w:ascii="Times New Roman" w:cs="Times New Roman" w:eastAsia="Times New Roman" w:hAnsi="Times New Roman"/>
          <w:sz w:val="17"/>
          <w:szCs w:val="17"/>
          <w:u w:val="single" w:color="auto"/>
          <w:color w:val="auto"/>
        </w:rPr>
        <w:t>ERISA Compliance..</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Do, and cause each of its ERISA Affiliates to do, each of the following: (a) maintain each Plan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Plan subject to Section 412, Section 430 or Section 431 of the Internal Revenue Code.</w:t>
      </w:r>
    </w:p>
    <w:p>
      <w:pPr>
        <w:spacing w:after="0" w:line="209" w:lineRule="exact"/>
        <w:rPr>
          <w:sz w:val="20"/>
          <w:szCs w:val="20"/>
          <w:color w:val="auto"/>
        </w:rPr>
      </w:pPr>
    </w:p>
    <w:p>
      <w:pPr>
        <w:ind w:left="1300"/>
        <w:spacing w:after="0"/>
        <w:tabs>
          <w:tab w:leader="none" w:pos="1980" w:val="left"/>
          <w:tab w:leader="none" w:pos="3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Pledged Assets.7.14</w:t>
      </w:r>
      <w:r>
        <w:rPr>
          <w:sz w:val="20"/>
          <w:szCs w:val="20"/>
          <w:color w:val="auto"/>
        </w:rPr>
        <w:tab/>
      </w:r>
      <w:r>
        <w:rPr>
          <w:rFonts w:ascii="Times New Roman" w:cs="Times New Roman" w:eastAsia="Times New Roman" w:hAnsi="Times New Roman"/>
          <w:sz w:val="17"/>
          <w:szCs w:val="17"/>
          <w:u w:val="single" w:color="auto"/>
          <w:color w:val="auto"/>
        </w:rPr>
        <w:t>Pledged Assets..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Cause (i) 100% of the issued and outstanding Equity Interests of the Borrower and each Domestic Subsidiary and (ii) 65% (or such greater percentage that, due to a change in an applicable Law after the date hereof, (A) could not reasonably be expected to cause the undistributed earnings of such Foreign 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 Loan Party or any Domestic Subsidiary to be subject at all times to a first priority, perfected Lien in favor of the Administrative Agent, for the benefit of the holders of the Obligations, pursuant to the terms and conditions of the Collateral Documents, together with opinions of counsel and any filings and deliveries necessary in connection therewith to perfect the security interests therein, all in form and substance reasonably satisfactory to the Administrative Agent.</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Property</w:t>
      </w:r>
      <w:r>
        <w:rPr>
          <w:rFonts w:ascii="Times New Roman" w:cs="Times New Roman" w:eastAsia="Times New Roman" w:hAnsi="Times New Roman"/>
          <w:sz w:val="18"/>
          <w:szCs w:val="18"/>
          <w:color w:val="auto"/>
        </w:rPr>
        <w:t xml:space="preserve">. Cause all property (other than Excluded Property) of each Loan Party to be subject at all times to first priority, perfected and, in the case of owned real property, title insured Liens in favor of the Administrative Agent to secure the Obligations pursuant to the Collateral Documents or, with respect to any such property acquired subsequent to the Closing Date, such other additional security documents as the Administrative Agent shall reasonably request (subject to Permitted Liens) and, in connection with the foregoing, deliver to the Administrative Agent such other documentation as the Administrative Agent may reasonably request including filings and deliveries necessary to perfect such Liens, Organization Documents, resolutions, Real Property Security Documents, and favorable opinions of counsel to such Person, all in form, content and scope reasonably satisfactory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Loan Parties shall not be required to provide deposit account control agreements, security account control agreements or landlord lien waivers (except to the extent required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7.14(c)</w:t>
      </w: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5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 Consent</w:t>
      </w:r>
      <w:r>
        <w:rPr>
          <w:rFonts w:ascii="Times New Roman" w:cs="Times New Roman" w:eastAsia="Times New Roman" w:hAnsi="Times New Roman"/>
          <w:sz w:val="18"/>
          <w:szCs w:val="18"/>
          <w:color w:val="auto"/>
        </w:rPr>
        <w:t>. Use commercially reasonable efforts to obtain and maintain at all times a landlord lien waiver, in form and substance reasonably acceptable to the Administrative Agent, with respect to the Borrower’s headquarters (currently located at 400 Galleria Parkway, Suite 300, Atlanta, GA 30339).</w:t>
      </w:r>
    </w:p>
    <w:p>
      <w:pPr>
        <w:spacing w:after="0" w:line="176" w:lineRule="exact"/>
        <w:rPr>
          <w:sz w:val="20"/>
          <w:szCs w:val="20"/>
          <w:color w:val="auto"/>
        </w:rPr>
      </w:pPr>
    </w:p>
    <w:p>
      <w:pPr>
        <w:ind w:left="1300"/>
        <w:spacing w:after="0"/>
        <w:tabs>
          <w:tab w:leader="none" w:pos="1980" w:val="left"/>
          <w:tab w:leader="none" w:pos="4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Conduct its business in compliance with (a) the United States Foreign Corrupt Practices Act of 1977, the UK Bribery Act 2010, and other similar anti-corruption legislation promulgated by other authorities having jurisdiction over the Loan Parties and their respective Subsidiaries, and maintain policies and procedures designed to promote and achieve compliance with such laws, and (b) applicable Sanctions, and maintain policies and procedures designated to promote and achieve compliance with such laws.</w:t>
      </w:r>
    </w:p>
    <w:p>
      <w:pPr>
        <w:spacing w:after="0" w:line="209" w:lineRule="exact"/>
        <w:rPr>
          <w:sz w:val="20"/>
          <w:szCs w:val="20"/>
          <w:color w:val="auto"/>
        </w:rPr>
      </w:pPr>
    </w:p>
    <w:p>
      <w:pPr>
        <w:ind w:left="1300"/>
        <w:spacing w:after="0"/>
        <w:tabs>
          <w:tab w:leader="none" w:pos="1980" w:val="left"/>
          <w:tab w:leader="none" w:pos="4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7"/>
          <w:szCs w:val="17"/>
          <w:u w:val="single" w:color="auto"/>
          <w:color w:val="auto"/>
        </w:rPr>
        <w:t>Post-Closing Covenants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jc w:val="both"/>
        <w:ind w:left="660" w:firstLine="645"/>
        <w:spacing w:after="0" w:line="293" w:lineRule="auto"/>
        <w:tabs>
          <w:tab w:leader="none" w:pos="21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ninety (90) days of the Closing Date (or such later date as agreed in writing by the Administrative Agent in its sole discretion), cause Healthaxis.com Insurance Services, Inc. to either (x) transfer all or substantially all of its assets to a Loan Party and dissolve or (y) cause such Person to (i) become a Guarantor by executing and delivering to the Administrative Agent a Guarantor Joinder Agreement or such other documents as the Administrative Agent shall reasonably deem appropriate for such purpose, and (ii) deliver to the Administrative Agent documents of the types referred to in </w:t>
      </w:r>
      <w:r>
        <w:rPr>
          <w:rFonts w:ascii="Times New Roman" w:cs="Times New Roman" w:eastAsia="Times New Roman" w:hAnsi="Times New Roman"/>
          <w:sz w:val="18"/>
          <w:szCs w:val="18"/>
          <w:u w:val="single" w:color="auto"/>
          <w:color w:val="auto"/>
        </w:rPr>
        <w:t>Sections 5.01(f)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if requested by the Administrative Agent in its sole discretion, favorable customary opinions of counsel to such Person (which shall cover, among other things, the legality, validity, binding effect and enforceability of the documentation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all in form, content and scope reasonably satisfactory to the Administrative Agent;</w:t>
      </w:r>
    </w:p>
    <w:p>
      <w:pPr>
        <w:spacing w:after="0" w:line="5"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171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the Closing Date (or such later date as agreed in writing by the Administrative Agent in its sole discretion), use commercially reasonable efforts to deliver or cause to be delivered to the Administrative Agent a duly executed landlord consent, which shall be in form and substance reasonably acceptable to the Administrative Agent, with respect to the property located at 400 Galleria Parkway, Suite 300, Atlanta, GA 30339 (if the Borrower has been able to obtain such using its commercially reasonable efforts); and</w:t>
      </w:r>
    </w:p>
    <w:p>
      <w:pPr>
        <w:spacing w:after="0" w:line="182"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0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the Closing Date (or such later date as agreed in writing by the Administrative Agent in its sole discretion), cause a termination to be filed with respect any remaining notices of grant of security interest, intellectual property security agreements or similar documents with respect to any security interest in the intellectual</w:t>
      </w:r>
    </w:p>
    <w:p>
      <w:pPr>
        <w:sectPr>
          <w:pgSz w:w="11900" w:h="16838" w:orient="portrait"/>
          <w:cols w:equalWidth="0" w:num="1">
            <w:col w:w="11420"/>
          </w:cols>
          <w:pgMar w:left="240" w:top="607" w:right="2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property of the Borrower or any of its Subsidiaries in favor of SunTrust Bank (in its capacity as an administrative agent or lender).</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ARTICLE XXII</w:t>
      </w:r>
    </w:p>
    <w:p>
      <w:pPr>
        <w:spacing w:after="0" w:line="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ARTICLE XXIII</w:t>
      </w:r>
    </w:p>
    <w:p>
      <w:pPr>
        <w:spacing w:after="0" w:line="50" w:lineRule="exact"/>
        <w:rPr>
          <w:sz w:val="20"/>
          <w:szCs w:val="20"/>
          <w:color w:val="auto"/>
        </w:rPr>
      </w:pPr>
    </w:p>
    <w:p>
      <w:pPr>
        <w:ind w:left="3440"/>
        <w:spacing w:after="0"/>
        <w:tabs>
          <w:tab w:leader="none" w:pos="5960" w:val="left"/>
        </w:tabs>
        <w:rPr>
          <w:sz w:val="20"/>
          <w:szCs w:val="20"/>
          <w:color w:val="auto"/>
        </w:rPr>
      </w:pPr>
      <w:r>
        <w:rPr>
          <w:rFonts w:ascii="Times New Roman" w:cs="Times New Roman" w:eastAsia="Times New Roman" w:hAnsi="Times New Roman"/>
          <w:sz w:val="18"/>
          <w:szCs w:val="18"/>
          <w:color w:val="auto"/>
        </w:rPr>
        <w:t>ARTICLE XXIV</w:t>
      </w:r>
      <w:r>
        <w:rPr>
          <w:sz w:val="20"/>
          <w:szCs w:val="20"/>
          <w:color w:val="auto"/>
        </w:rPr>
        <w:tab/>
      </w:r>
      <w:r>
        <w:rPr>
          <w:rFonts w:ascii="Times New Roman" w:cs="Times New Roman" w:eastAsia="Times New Roman" w:hAnsi="Times New Roman"/>
          <w:sz w:val="17"/>
          <w:szCs w:val="17"/>
          <w:color w:val="auto"/>
        </w:rPr>
        <w:t>NEGATIVE COVENANTS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or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Credit shall remain outstanding, no Loan Party shall, nor shall it permit any Subsidiary to, directly or indirectly:</w:t>
      </w:r>
    </w:p>
    <w:p>
      <w:pPr>
        <w:spacing w:after="0" w:line="234" w:lineRule="exact"/>
        <w:rPr>
          <w:sz w:val="20"/>
          <w:szCs w:val="20"/>
          <w:color w:val="auto"/>
        </w:rPr>
      </w:pPr>
    </w:p>
    <w:p>
      <w:pPr>
        <w:ind w:left="2000" w:hanging="695"/>
        <w:spacing w:after="0"/>
        <w:tabs>
          <w:tab w:leader="none" w:pos="2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Liens.8.01  Liens..</w:t>
      </w:r>
    </w:p>
    <w:p>
      <w:pPr>
        <w:spacing w:after="0" w:line="27"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8"/>
          <w:szCs w:val="18"/>
          <w:color w:val="auto"/>
        </w:rPr>
        <w:t>Create, incur, assume or suffer to exist any Lien upon any of its property, assets or revenues, whether now owned or hereafter acquired, other than the following:</w:t>
      </w:r>
    </w:p>
    <w:p>
      <w:pPr>
        <w:spacing w:after="0" w:line="194" w:lineRule="exact"/>
        <w:rPr>
          <w:sz w:val="20"/>
          <w:szCs w:val="20"/>
          <w:color w:val="auto"/>
        </w:rPr>
      </w:pPr>
    </w:p>
    <w:p>
      <w:pPr>
        <w:ind w:left="2160" w:hanging="855"/>
        <w:spacing w:after="0"/>
        <w:tabs>
          <w:tab w:leader="none" w:pos="2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date hereof and listed on </w:t>
      </w:r>
      <w:r>
        <w:rPr>
          <w:rFonts w:ascii="Times New Roman" w:cs="Times New Roman" w:eastAsia="Times New Roman" w:hAnsi="Times New Roman"/>
          <w:sz w:val="18"/>
          <w:szCs w:val="18"/>
          <w:u w:val="single" w:color="auto"/>
          <w:color w:val="auto"/>
        </w:rPr>
        <w:t>Schedule 8.01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(ii) the amount secured or benefited thereby is not increased,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to the extent required by GAAP;</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secure only amounts not overdue or, if overdue, are unfiled and no other action has been taken to enforce the same or are being contested in good faith by appropriate proceedings for which adequate reserves to the extent required by GAAP have been established;</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5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ind w:left="660" w:firstLine="645"/>
        <w:spacing w:after="0" w:line="297" w:lineRule="auto"/>
        <w:tabs>
          <w:tab w:leader="none" w:pos="21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jc w:val="both"/>
        <w:ind w:left="660" w:firstLine="645"/>
        <w:spacing w:after="0" w:line="297" w:lineRule="auto"/>
        <w:tabs>
          <w:tab w:leader="none" w:pos="216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 w:lineRule="exact"/>
        <w:rPr>
          <w:rFonts w:ascii="Times New Roman" w:cs="Times New Roman" w:eastAsia="Times New Roman" w:hAnsi="Times New Roman"/>
          <w:sz w:val="18"/>
          <w:szCs w:val="18"/>
          <w:color w:val="auto"/>
        </w:rPr>
      </w:pPr>
    </w:p>
    <w:p>
      <w:pPr>
        <w:ind w:left="660" w:firstLine="645"/>
        <w:spacing w:after="0" w:line="284" w:lineRule="auto"/>
        <w:tabs>
          <w:tab w:leader="none" w:pos="216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2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at the time of its acquisition or existing on the property of any Person acquired by the Borrower or any Subsidiary after the date hereof at the time of acquisition of such Person (other than Liens on the Equity Interests of any Person that becomes a Subsidiary)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Lien was not created in contemplation of such acquisition or such Person becoming a Subsidiary, (ii) such Lien does not encumber any property other than the property encumbered at the time of such acquisition or such Person becoming a Subsidiary, and the proceeds and products thereof, (iii) in the case of Liens securing Indebtedness other than purchase money Indebtedness and Capital Leases, such Liens do not extend to the property of any Person other than the Person acquired or formed to make such acquisition and (iv) the Indebtedness secured thereby is permitted under </w:t>
      </w:r>
      <w:r>
        <w:rPr>
          <w:rFonts w:ascii="Times New Roman" w:cs="Times New Roman" w:eastAsia="Times New Roman" w:hAnsi="Times New Roman"/>
          <w:sz w:val="18"/>
          <w:szCs w:val="18"/>
          <w:u w:val="single" w:color="auto"/>
          <w:color w:val="auto"/>
        </w:rPr>
        <w:t>Section 8.03(f)</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8.03(e)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(ii) the Indebtedness secured thereby does not exceed the cost (negotiated on an arm’s length basis and including related taxes and reasonable fees and expenses) of the property being acquired on the date of acquisition and (iii) such Liens attach to such property concurrently with or within ninety days after the acquisition thereof;</w:t>
      </w:r>
    </w:p>
    <w:p>
      <w:pPr>
        <w:spacing w:after="0" w:line="180"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not interfering in any material respect with the business of any Loan Party or any of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ectPr>
          <w:pgSz w:w="11900" w:h="16838" w:orient="portrait"/>
          <w:cols w:equalWidth="0" w:num="1">
            <w:col w:w="11420"/>
          </w:cols>
          <w:pgMar w:left="240" w:top="580" w:right="239" w:bottom="1440" w:gutter="0" w:footer="0" w:header="0"/>
        </w:sectPr>
      </w:pPr>
    </w:p>
    <w:bookmarkStart w:id="105" w:name="page106"/>
    <w:bookmarkEnd w:id="105"/>
    <w:p>
      <w:pPr>
        <w:ind w:right="20" w:firstLine="645"/>
        <w:spacing w:after="0" w:line="282" w:lineRule="auto"/>
        <w:tabs>
          <w:tab w:leader="none" w:pos="113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161" w:lineRule="exact"/>
        <w:rPr>
          <w:rFonts w:ascii="Times New Roman" w:cs="Times New Roman" w:eastAsia="Times New Roman" w:hAnsi="Times New Roman"/>
          <w:sz w:val="18"/>
          <w:szCs w:val="18"/>
          <w:color w:val="auto"/>
        </w:rPr>
      </w:pPr>
    </w:p>
    <w:p>
      <w:pPr>
        <w:ind w:left="1080" w:hanging="435"/>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rights of setoff upon deposits of cash in favor of banks or other depository institutions;</w:t>
      </w:r>
    </w:p>
    <w:p>
      <w:pPr>
        <w:spacing w:after="0" w:line="225" w:lineRule="exact"/>
        <w:rPr>
          <w:rFonts w:ascii="Times New Roman" w:cs="Times New Roman" w:eastAsia="Times New Roman" w:hAnsi="Times New Roman"/>
          <w:sz w:val="18"/>
          <w:szCs w:val="18"/>
          <w:color w:val="auto"/>
        </w:rPr>
      </w:pPr>
    </w:p>
    <w:p>
      <w:pPr>
        <w:ind w:firstLine="645"/>
        <w:spacing w:after="0" w:line="282" w:lineRule="auto"/>
        <w:tabs>
          <w:tab w:leader="none" w:pos="10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relating to escrows established for an adjustment in purchase price or liabilities or indemnities for Dispositions, to the extent such Dispositions are permitted under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08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solely on any cash earnest money deposits made by the Borrower or any of its Subsidiaries in connection with an Investment permitted by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4-210 of the Uniform Commercial Code on items in the course of collection;</w:t>
      </w:r>
    </w:p>
    <w:p>
      <w:pPr>
        <w:spacing w:after="0" w:line="225" w:lineRule="exact"/>
        <w:rPr>
          <w:sz w:val="20"/>
          <w:szCs w:val="20"/>
          <w:color w:val="auto"/>
        </w:rPr>
      </w:pPr>
    </w:p>
    <w:p>
      <w:pPr>
        <w:jc w:val="both"/>
        <w:ind w:firstLine="645"/>
        <w:spacing w:after="0" w:line="266" w:lineRule="auto"/>
        <w:tabs>
          <w:tab w:leader="none" w:pos="111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the Borrower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176" w:lineRule="exact"/>
        <w:rPr>
          <w:rFonts w:ascii="Times New Roman" w:cs="Times New Roman" w:eastAsia="Times New Roman" w:hAnsi="Times New Roman"/>
          <w:sz w:val="18"/>
          <w:szCs w:val="18"/>
          <w:color w:val="auto"/>
        </w:rPr>
      </w:pPr>
    </w:p>
    <w:p>
      <w:pPr>
        <w:ind w:firstLine="645"/>
        <w:spacing w:after="0" w:line="282" w:lineRule="auto"/>
        <w:tabs>
          <w:tab w:leader="none" w:pos="10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insurance premium refunds and insurance proceeds granted in favor of insurance companies (or their financing affiliates) in connection with the financing of insurance premiums permitted by </w:t>
      </w:r>
      <w:r>
        <w:rPr>
          <w:rFonts w:ascii="Times New Roman" w:cs="Times New Roman" w:eastAsia="Times New Roman" w:hAnsi="Times New Roman"/>
          <w:sz w:val="18"/>
          <w:szCs w:val="18"/>
          <w:u w:val="single" w:color="auto"/>
          <w:color w:val="auto"/>
        </w:rPr>
        <w:t>Section 8.03(g)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00" w:hanging="355"/>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if any, in favor of the Administrative Agent on Cash Collateral delivered pursuant to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020" w:hanging="375"/>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permitted hereunder in an aggregate amount outstanding not exceeding $5,000,000 at any time.</w:t>
      </w:r>
    </w:p>
    <w:p>
      <w:pPr>
        <w:spacing w:after="0" w:line="252" w:lineRule="exact"/>
        <w:rPr>
          <w:sz w:val="20"/>
          <w:szCs w:val="20"/>
          <w:color w:val="auto"/>
        </w:rPr>
      </w:pPr>
    </w:p>
    <w:p>
      <w:pPr>
        <w:ind w:right="7060" w:firstLine="645"/>
        <w:spacing w:after="0" w:line="298" w:lineRule="auto"/>
        <w:tabs>
          <w:tab w:leader="none" w:pos="13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8.02 Investments..</w:t>
      </w:r>
      <w:r>
        <w:rPr>
          <w:rFonts w:ascii="Times New Roman" w:cs="Times New Roman" w:eastAsia="Times New Roman" w:hAnsi="Times New Roman"/>
          <w:sz w:val="18"/>
          <w:szCs w:val="18"/>
          <w:color w:val="auto"/>
        </w:rPr>
        <w:t xml:space="preserve"> Make any Investments, except:</w:t>
      </w:r>
    </w:p>
    <w:p>
      <w:pPr>
        <w:spacing w:after="0" w:line="175" w:lineRule="exact"/>
        <w:rPr>
          <w:sz w:val="20"/>
          <w:szCs w:val="20"/>
          <w:color w:val="auto"/>
        </w:rPr>
      </w:pPr>
    </w:p>
    <w:p>
      <w:pPr>
        <w:ind w:right="20" w:firstLine="645"/>
        <w:spacing w:after="0" w:line="297" w:lineRule="auto"/>
        <w:tabs>
          <w:tab w:leader="none" w:pos="14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held by the Borrower or such Subsidiary in the form of cash or Cash Equivalents and (ii) Investments made in accordance with the Digital Insurance Deferred Compensation Plan;</w:t>
      </w:r>
    </w:p>
    <w:p>
      <w:pPr>
        <w:jc w:val="both"/>
        <w:ind w:firstLine="645"/>
        <w:spacing w:after="0" w:line="297" w:lineRule="auto"/>
        <w:tabs>
          <w:tab w:leader="none" w:pos="15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as of the Closing Date and set forth in </w:t>
      </w:r>
      <w:r>
        <w:rPr>
          <w:rFonts w:ascii="Times New Roman" w:cs="Times New Roman" w:eastAsia="Times New Roman" w:hAnsi="Times New Roman"/>
          <w:sz w:val="18"/>
          <w:szCs w:val="18"/>
          <w:u w:val="single" w:color="auto"/>
          <w:color w:val="auto"/>
        </w:rPr>
        <w:t>Schedule 8.02</w:t>
      </w:r>
      <w:r>
        <w:rPr>
          <w:rFonts w:ascii="Times New Roman" w:cs="Times New Roman" w:eastAsia="Times New Roman" w:hAnsi="Times New Roman"/>
          <w:sz w:val="18"/>
          <w:szCs w:val="18"/>
          <w:color w:val="auto"/>
        </w:rPr>
        <w:t xml:space="preserve"> and any modification, replacement, renewal or extension thereof, provided that the amount of the original Investment is not increased except by the terms of such Investments or to the extent otherwise permitted by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645"/>
        <w:spacing w:after="0" w:line="297" w:lineRule="auto"/>
        <w:tabs>
          <w:tab w:leader="none" w:pos="14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among the Loan Parties and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made by Loan Parties in or to, and Guarantees by Loan Parties of Indebtedness of any Subsidiary that is not a Guarantor (including all such Investments and Guarantees existing on the Closing Date) shall not exceed $5,000,000 in the aggregate at any one time outstanding;</w:t>
      </w:r>
    </w:p>
    <w:p>
      <w:pPr>
        <w:spacing w:after="0" w:line="1"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any Subsidiary of the Borrower that is not a Loan Party in any other Subsidiary of the Borrower that is not a</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Party;</w:t>
      </w:r>
    </w:p>
    <w:p>
      <w:pPr>
        <w:spacing w:after="0" w:line="49" w:lineRule="exact"/>
        <w:rPr>
          <w:rFonts w:ascii="Times New Roman" w:cs="Times New Roman" w:eastAsia="Times New Roman" w:hAnsi="Times New Roman"/>
          <w:sz w:val="18"/>
          <w:szCs w:val="18"/>
          <w:color w:val="auto"/>
        </w:rPr>
      </w:pPr>
    </w:p>
    <w:p>
      <w:pPr>
        <w:jc w:val="both"/>
        <w:ind w:firstLine="645"/>
        <w:spacing w:after="0" w:line="297" w:lineRule="auto"/>
        <w:tabs>
          <w:tab w:leader="none" w:pos="14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 w:lineRule="exact"/>
        <w:rPr>
          <w:rFonts w:ascii="Times New Roman" w:cs="Times New Roman" w:eastAsia="Times New Roman" w:hAnsi="Times New Roman"/>
          <w:sz w:val="18"/>
          <w:szCs w:val="18"/>
          <w:color w:val="auto"/>
        </w:rPr>
      </w:pPr>
    </w:p>
    <w:p>
      <w:pPr>
        <w:ind w:left="1480" w:hanging="835"/>
        <w:spacing w:after="0"/>
        <w:tabs>
          <w:tab w:leader="none" w:pos="1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by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49"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a Person that is acquired and becomes a Subsidiary or of a company merged or amalgamated or consolidated into any Subsidiary, in each case, after the Closing Date and in accordance with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as applicable, to the extent that such Investments were not made in contemplation of or in connection with such acquisition, merger, amalgamation or consolidation, do not (other than any investments by such acquired Restricted Subsidiary in one of its Subsidiaries) constitute a material portion of the aggregate assets acquired in such transaction and were in existence on the date of such acquisition, merger, amalgamation or consolidation;</w:t>
      </w:r>
    </w:p>
    <w:p>
      <w:pPr>
        <w:spacing w:after="0" w:line="2" w:lineRule="exact"/>
        <w:rPr>
          <w:rFonts w:ascii="Times New Roman" w:cs="Times New Roman" w:eastAsia="Times New Roman" w:hAnsi="Times New Roman"/>
          <w:sz w:val="18"/>
          <w:szCs w:val="18"/>
          <w:color w:val="auto"/>
        </w:rPr>
      </w:pPr>
    </w:p>
    <w:p>
      <w:pPr>
        <w:ind w:firstLine="645"/>
        <w:spacing w:after="0" w:line="297" w:lineRule="auto"/>
        <w:tabs>
          <w:tab w:leader="none" w:pos="14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Investments, transactions expressly permitted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8.05</w:t>
      </w:r>
      <w:r>
        <w:rPr>
          <w:rFonts w:ascii="Times New Roman" w:cs="Times New Roman" w:eastAsia="Times New Roman" w:hAnsi="Times New Roman"/>
          <w:sz w:val="18"/>
          <w:szCs w:val="18"/>
          <w:color w:val="auto"/>
        </w:rPr>
        <w:t xml:space="preserve"> (including the receipt of non-cash consideration for the Dispositions of assets permitted thereunder) and/or </w:t>
      </w:r>
      <w:r>
        <w:rPr>
          <w:rFonts w:ascii="Times New Roman" w:cs="Times New Roman" w:eastAsia="Times New Roman" w:hAnsi="Times New Roman"/>
          <w:sz w:val="18"/>
          <w:szCs w:val="18"/>
          <w:u w:val="single" w:color="auto"/>
          <w:color w:val="auto"/>
        </w:rPr>
        <w:t>8.06</w:t>
      </w:r>
      <w:r>
        <w:rPr>
          <w:rFonts w:ascii="Times New Roman" w:cs="Times New Roman" w:eastAsia="Times New Roman" w:hAnsi="Times New Roman"/>
          <w:sz w:val="18"/>
          <w:szCs w:val="18"/>
          <w:color w:val="auto"/>
        </w:rPr>
        <w:t>, respectively;</w:t>
      </w:r>
    </w:p>
    <w:p>
      <w:pPr>
        <w:ind w:left="1460" w:hanging="815"/>
        <w:spacing w:after="0"/>
        <w:tabs>
          <w:tab w:leader="none" w:pos="1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ectPr>
          <w:pgSz w:w="11900" w:h="16838" w:orient="portrait"/>
          <w:cols w:equalWidth="0" w:num="1">
            <w:col w:w="10760"/>
          </w:cols>
          <w:pgMar w:left="900" w:top="580" w:right="239" w:bottom="1440" w:gutter="0" w:footer="0" w:header="0"/>
        </w:sectPr>
      </w:pPr>
    </w:p>
    <w:bookmarkStart w:id="106" w:name="page107"/>
    <w:bookmarkEnd w:id="106"/>
    <w:p>
      <w:pPr>
        <w:ind w:left="4" w:firstLine="645"/>
        <w:spacing w:after="0" w:line="297" w:lineRule="auto"/>
        <w:tabs>
          <w:tab w:leader="none" w:pos="151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directors, officers, members of management, employees and consultants for business related travel, entertainment, relocation and analogous ordinary business purposes not exceeding $1,000,000 in the aggregate at any one time outstanding; and</w:t>
      </w:r>
    </w:p>
    <w:p>
      <w:pPr>
        <w:ind w:left="1464" w:hanging="815"/>
        <w:spacing w:after="0"/>
        <w:tabs>
          <w:tab w:leader="none" w:pos="14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Investments shall not exceed $5,000,000 in the aggregate at any one time outstanding.</w:t>
      </w:r>
    </w:p>
    <w:p>
      <w:pPr>
        <w:spacing w:after="0" w:line="50" w:lineRule="exact"/>
        <w:rPr>
          <w:sz w:val="20"/>
          <w:szCs w:val="20"/>
          <w:color w:val="auto"/>
        </w:rPr>
      </w:pPr>
    </w:p>
    <w:p>
      <w:pPr>
        <w:ind w:left="684" w:hanging="684"/>
        <w:spacing w:after="0"/>
        <w:tabs>
          <w:tab w:leader="none" w:pos="68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Indebtedness.8.03  Indebtedness..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Create, incur, assume or suffer to exist any Indebtedness, except:</w:t>
      </w:r>
    </w:p>
    <w:p>
      <w:pPr>
        <w:spacing w:after="0" w:line="247" w:lineRule="exact"/>
        <w:rPr>
          <w:sz w:val="20"/>
          <w:szCs w:val="20"/>
          <w:color w:val="auto"/>
        </w:rPr>
      </w:pPr>
    </w:p>
    <w:p>
      <w:pPr>
        <w:ind w:left="1504" w:hanging="855"/>
        <w:spacing w:after="0"/>
        <w:tabs>
          <w:tab w:leader="none" w:pos="15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w:t>
      </w:r>
    </w:p>
    <w:p>
      <w:pPr>
        <w:spacing w:after="0" w:line="49"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 its Subsidiaries set forth in </w:t>
      </w:r>
      <w:r>
        <w:rPr>
          <w:rFonts w:ascii="Times New Roman" w:cs="Times New Roman" w:eastAsia="Times New Roman" w:hAnsi="Times New Roman"/>
          <w:sz w:val="18"/>
          <w:szCs w:val="18"/>
          <w:u w:val="single" w:color="auto"/>
          <w:color w:val="auto"/>
        </w:rPr>
        <w:t>Schedule 8.03</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the extent constituting an Investment permitted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4" w:firstLine="645"/>
        <w:spacing w:after="0" w:line="292" w:lineRule="auto"/>
        <w:tabs>
          <w:tab w:leader="none" w:pos="151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(contingent or otherwise) of the Borrower or any Subsidiary existing or arising under any Swap Contract, provided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 w:lineRule="exact"/>
        <w:rPr>
          <w:rFonts w:ascii="Times New Roman" w:cs="Times New Roman" w:eastAsia="Times New Roman" w:hAnsi="Times New Roman"/>
          <w:sz w:val="18"/>
          <w:szCs w:val="18"/>
          <w:color w:val="auto"/>
        </w:rPr>
      </w:pPr>
    </w:p>
    <w:p>
      <w:pPr>
        <w:jc w:val="both"/>
        <w:ind w:left="4" w:firstLine="645"/>
        <w:spacing w:after="0" w:line="255" w:lineRule="auto"/>
        <w:tabs>
          <w:tab w:leader="none" w:pos="11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Indebtedness (including obligations in respect of Capital Leases or Synthetic Leases) hereafter incurred by the Borrower or any of its Subsidiaries to finance the purchase of fixed assets, and renewals, refinancings and extensions thereof, provided that (i) the total of all such Indebtedness for all such Persons taken together shall not exceed an aggregate principal amount of $2,500,000 at any one time outstanding; (ii) such Indebtedness when incurred shall not exceed the purchase price of the asset(s) financed (plus related taxes and reasonable fees and expenses); and (iii) no such Indebtedness shall be refinanced for a principal amount in excess of the principal balance outstanding thereon at the time of such refinancing (plus related taxes and reasonable fees and expenses);</w:t>
      </w:r>
    </w:p>
    <w:p>
      <w:pPr>
        <w:spacing w:after="0" w:line="188"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3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Subsidiary, or in respect of assets, in each case, acquired after the Closing Date in a Permitted Acquisition to the extent existing at the time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Indebtedness shall not have been incurred in contemplation of such Permitted Acquisition, (ii) the aggregate principal amount of such Indebtedness shall not exceed $10,000,000 in principal amount outstanding at any time and (iii) such Indebtedness arises in connection with the financing of specific assets.</w:t>
      </w:r>
    </w:p>
    <w:p>
      <w:pPr>
        <w:spacing w:after="0" w:line="180"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1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to any insurance company in connection with the financing of any insurance premiums permitted by such insurance company in the ordinary course of business, so long as such Indebtedness shall not exceed the amount of the unpaid cost of, and shall be incurred only to defer the cost of, such insurance for the annual period in which such Indebtedness is incurred;</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1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108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incurred in the ordinary course of business pursuant to the Digital Insurance Deferred Compensation Plan;</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reimbursement obligations with respect to letters of credit issued in the ordinary course of business in respect of health, disability or other employee benefits or property, casualty or liability insurance or self-insurance or other Indebtedness with respect to such similar reimbursement-type obligations;</w:t>
      </w:r>
    </w:p>
    <w:p>
      <w:pPr>
        <w:spacing w:after="0" w:line="176"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07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indemnification obligations or obligations in respect of purchase price or similar adjustments incurred in a Permitted Acquisition or Disposition permitted under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6" w:lineRule="auto"/>
        <w:tabs>
          <w:tab w:leader="none" w:pos="11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Subordinated Indebtedness of the Borrower owing to its direct or indirect owners (or Affiliates thereof) so long as (i) such Indebtedness is unsecured and (ii) after giving effect to the incurrence of such Subordinated Indebtedness on a Pro Forma Basis, the Loan Parties would be in compliance with the financial covenant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(iii) no Default or Event of Default then exists or would arise from the incurrence of such Indebtedness, and (iv) the maturity date of such Indebtedness is at least ninety-one days later than, the Revolving Loan Maturity Date; and</w:t>
      </w:r>
    </w:p>
    <w:p>
      <w:pPr>
        <w:sectPr>
          <w:pgSz w:w="11900" w:h="16838" w:orient="portrait"/>
          <w:cols w:equalWidth="0" w:num="1">
            <w:col w:w="10764"/>
          </w:cols>
          <w:pgMar w:left="896" w:top="607" w:right="239" w:bottom="1440" w:gutter="0" w:footer="0" w:header="0"/>
        </w:sectPr>
      </w:pPr>
    </w:p>
    <w:bookmarkStart w:id="107" w:name="page108"/>
    <w:bookmarkEnd w:id="107"/>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(m)</w:t>
        <w:tab/>
        <w:t>other Indebtedness; provided that such Indebtedness shall not exceed $5,000,000 in principal amount outstanding at any time.</w:t>
      </w:r>
    </w:p>
    <w:p>
      <w:pPr>
        <w:spacing w:after="0" w:line="252" w:lineRule="exact"/>
        <w:rPr>
          <w:sz w:val="20"/>
          <w:szCs w:val="20"/>
          <w:color w:val="auto"/>
        </w:rPr>
      </w:pPr>
    </w:p>
    <w:p>
      <w:pPr>
        <w:ind w:left="1300"/>
        <w:spacing w:after="0"/>
        <w:tabs>
          <w:tab w:leader="none" w:pos="1980" w:val="left"/>
          <w:tab w:leader="none" w:pos="4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Fundamental Changes.8.04</w:t>
        <w:tab/>
        <w:t>Fundamental Changes..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provided that, notwithstanding the foregoing provisions of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but subject to the terms of </w:t>
      </w:r>
      <w:r>
        <w:rPr>
          <w:rFonts w:ascii="Times New Roman" w:cs="Times New Roman" w:eastAsia="Times New Roman" w:hAnsi="Times New Roman"/>
          <w:sz w:val="18"/>
          <w:szCs w:val="18"/>
          <w:u w:val="single" w:color="auto"/>
          <w:color w:val="auto"/>
        </w:rPr>
        <w:t>Sections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7.14</w:t>
      </w:r>
      <w:r>
        <w:rPr>
          <w:rFonts w:ascii="Times New Roman" w:cs="Times New Roman" w:eastAsia="Times New Roman" w:hAnsi="Times New Roman"/>
          <w:sz w:val="18"/>
          <w:szCs w:val="18"/>
          <w:color w:val="auto"/>
        </w:rPr>
        <w:t>, (a) the Borrower may merge or consolidate with any of its Subsidiaries provided that the Borrower shall be the continuing or surviving corporation, (b) any Loan Party other than the Borrower may merge or consolidate with any other Loan Party other than the Borrower, (c) any Foreign Subsidiary may be merged or consolidated with or into any Loan Party provided that such Loan Party shall be the continuing or surviving corporation, (d) any Foreign Subsidiary may be merged or consolidated with or into any other Foreign Subsidiary and (e) any Subsidiary that is not a Material Domestic Subsidiary may be merged with or into any Loan Party or any other Subsidiary, provided that if any Loan Party is involved in such merger, such Loan Party shall be the continuing or surviving corporation.</w:t>
      </w:r>
    </w:p>
    <w:p>
      <w:pPr>
        <w:spacing w:after="0" w:line="214" w:lineRule="exact"/>
        <w:rPr>
          <w:sz w:val="20"/>
          <w:szCs w:val="20"/>
          <w:color w:val="auto"/>
        </w:rPr>
      </w:pPr>
    </w:p>
    <w:p>
      <w:pPr>
        <w:ind w:left="2000" w:hanging="695"/>
        <w:spacing w:after="0"/>
        <w:tabs>
          <w:tab w:leader="none" w:pos="2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Dispositions.8.05  Dispositions..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Make any Disposition other than a Permitted Spin-Off Transaction unless (a) the consideration paid in connection therewith shall be at least 75% in cash or Cash Equivalents paid contemporaneous with consummation of the transaction and shall be in an amount not less than the fair market value of the property disposed of, (b) if such transaction is a Sale and Leaseback Transaction, such transaction is not prohibited by the terms of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(c) such transaction does not involve the sale or other disposition of a minority equity interest in any Subsidiary, (d) no Default or Event of Default has occurred and is continuing both immediately prior to and after giving effect to such Disposition, (e) such transaction does not involve a sale or other disposition of receivables other than receivables owned by or attributable to other property concurrently being disposed of in a transaction otherwise permitted under this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and (f) the aggregate net book value of all of the assets sold or otherwise disposed of by the Borrower and its Subsidiaries in all such transactions (i) occurring during any fiscal year shall not exceed $5,000,000 and (ii) occurring during the term of this Agreement shall not exceed $15,000,000.</w:t>
      </w:r>
    </w:p>
    <w:p>
      <w:pPr>
        <w:spacing w:after="0" w:line="214" w:lineRule="exact"/>
        <w:rPr>
          <w:sz w:val="20"/>
          <w:szCs w:val="20"/>
          <w:color w:val="auto"/>
        </w:rPr>
      </w:pPr>
    </w:p>
    <w:p>
      <w:pPr>
        <w:ind w:left="1300"/>
        <w:spacing w:after="0"/>
        <w:tabs>
          <w:tab w:leader="none" w:pos="1980" w:val="left"/>
          <w:tab w:leader="none" w:pos="4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Restricted Payments.8.06</w:t>
      </w:r>
      <w:r>
        <w:rPr>
          <w:sz w:val="20"/>
          <w:szCs w:val="20"/>
          <w:color w:val="auto"/>
        </w:rPr>
        <w:tab/>
      </w:r>
      <w:r>
        <w:rPr>
          <w:rFonts w:ascii="Times New Roman" w:cs="Times New Roman" w:eastAsia="Times New Roman" w:hAnsi="Times New Roman"/>
          <w:sz w:val="17"/>
          <w:szCs w:val="17"/>
          <w:u w:val="single" w:color="auto"/>
          <w:color w:val="auto"/>
        </w:rPr>
        <w:t>Restricted Payments..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Declare or make, directly or indirectly, any Restricted Payment, or incur any obligation (contingent or otherwise) to do so, except that:</w:t>
      </w:r>
    </w:p>
    <w:p>
      <w:pPr>
        <w:spacing w:after="0" w:line="247" w:lineRule="exact"/>
        <w:rPr>
          <w:sz w:val="20"/>
          <w:szCs w:val="20"/>
          <w:color w:val="auto"/>
        </w:rPr>
      </w:pPr>
    </w:p>
    <w:p>
      <w:pPr>
        <w:ind w:left="660" w:right="20" w:firstLine="645"/>
        <w:spacing w:after="0" w:line="297" w:lineRule="auto"/>
        <w:tabs>
          <w:tab w:leader="none" w:pos="21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Restricted Payments to Persons that own Equity Interests in such Subsidiary, ratably according to their respective holdings of the type of Equity Interest in respect of which such Restricted Payment is being made;</w:t>
      </w:r>
    </w:p>
    <w:p>
      <w:pPr>
        <w:ind w:left="660" w:firstLine="645"/>
        <w:spacing w:after="0" w:line="284" w:lineRule="auto"/>
        <w:tabs>
          <w:tab w:leader="none" w:pos="216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declare and make dividend payments or other distributions payable solely in the Equity Interests of such Person; and</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17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repurchases of Equity Interests in the Borrower from TripleTree, LLC and its Affiliates, so long as (i) no Default or Event of Default then exists or would arise from such Restricted Payment and (ii) after giving effect to such Restricted Payment on a Pro Forma Basis, the Loan Parties would be in compliance with the financial covenants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Borrower, so long as (i) the aggregate amount of such Restricted Payments does not exceed $5,000,000 per fiscal year of the Borrower, (ii) no Default or Event of Default then exists or would arise from such Restricted Payment, (iii) after giving effect to such Restricted Payment on a Pro Forma Basis, (A) the Consolidated Leverage Ratio would not be in excess of 3.00 to 1.0 and (B) the Loan Parties would be in compliance with the financial covenant set forth in </w:t>
      </w:r>
      <w:r>
        <w:rPr>
          <w:rFonts w:ascii="Times New Roman" w:cs="Times New Roman" w:eastAsia="Times New Roman" w:hAnsi="Times New Roman"/>
          <w:sz w:val="18"/>
          <w:szCs w:val="18"/>
          <w:u w:val="single" w:color="auto"/>
          <w:color w:val="auto"/>
        </w:rPr>
        <w:t>Section 8.11(b)</w:t>
      </w:r>
      <w:r>
        <w:rPr>
          <w:rFonts w:ascii="Times New Roman" w:cs="Times New Roman" w:eastAsia="Times New Roman" w:hAnsi="Times New Roman"/>
          <w:sz w:val="18"/>
          <w:szCs w:val="18"/>
          <w:color w:val="auto"/>
        </w:rPr>
        <w:t xml:space="preserve">, in each case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(iv) immediately after giving effect to such Restricted Payment, there shall be at least $10,000,000 of Liquidity.</w:t>
      </w:r>
    </w:p>
    <w:p>
      <w:pPr>
        <w:spacing w:after="0" w:line="215" w:lineRule="exact"/>
        <w:rPr>
          <w:sz w:val="20"/>
          <w:szCs w:val="20"/>
          <w:color w:val="auto"/>
        </w:rPr>
      </w:pPr>
    </w:p>
    <w:p>
      <w:pPr>
        <w:ind w:left="1300"/>
        <w:spacing w:after="0"/>
        <w:tabs>
          <w:tab w:leader="none" w:pos="1980" w:val="left"/>
          <w:tab w:leader="none" w:pos="4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Change in Nature of Business.8.07</w:t>
      </w:r>
      <w:r>
        <w:rPr>
          <w:sz w:val="20"/>
          <w:szCs w:val="20"/>
          <w:color w:val="auto"/>
        </w:rPr>
        <w:tab/>
      </w:r>
      <w:r>
        <w:rPr>
          <w:rFonts w:ascii="Times New Roman" w:cs="Times New Roman" w:eastAsia="Times New Roman" w:hAnsi="Times New Roman"/>
          <w:sz w:val="17"/>
          <w:szCs w:val="17"/>
          <w:u w:val="single" w:color="auto"/>
          <w:color w:val="auto"/>
        </w:rPr>
        <w:t>Change in Nature of Business..</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Engage in any material line of business substantially different from those lines of business conducted by Holdings and its Subsidiaries on the Closing Date or any business substantially related or incidental thereto and reasonable expansions thereof; provided that, engaging in the provision of insurance or reinsurance (as opposed to the brokerage of insurance) shall not be deemed to be related or incidental to the lines of business conducted by Holdings and its Subsidiaries on the Closing Date.</w:t>
      </w:r>
    </w:p>
    <w:p>
      <w:pPr>
        <w:spacing w:after="0" w:line="209" w:lineRule="exact"/>
        <w:rPr>
          <w:sz w:val="20"/>
          <w:szCs w:val="20"/>
          <w:color w:val="auto"/>
        </w:rPr>
      </w:pPr>
    </w:p>
    <w:p>
      <w:pPr>
        <w:ind w:left="1300"/>
        <w:spacing w:after="0"/>
        <w:tabs>
          <w:tab w:leader="none" w:pos="1980" w:val="left"/>
          <w:tab w:leader="none" w:pos="5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Transactions with Affiliates and Insiders.8.08</w:t>
      </w:r>
      <w:r>
        <w:rPr>
          <w:sz w:val="20"/>
          <w:szCs w:val="20"/>
          <w:color w:val="auto"/>
        </w:rPr>
        <w:tab/>
      </w:r>
      <w:r>
        <w:rPr>
          <w:rFonts w:ascii="Times New Roman" w:cs="Times New Roman" w:eastAsia="Times New Roman" w:hAnsi="Times New Roman"/>
          <w:sz w:val="17"/>
          <w:szCs w:val="17"/>
          <w:u w:val="single" w:color="auto"/>
          <w:color w:val="auto"/>
        </w:rPr>
        <w:t>Transactions with Affiliates and Insiders..</w:t>
      </w:r>
    </w:p>
    <w:p>
      <w:pPr>
        <w:spacing w:after="0" w:line="2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Enter into or permit to exist any transaction or series of transactions with any officer, director or Affiliate of such Person other than (a) advances of working capital to any Loan Party, (b) transfers of cash and assets to any Loan Party, (c) intercompany</w:t>
      </w:r>
    </w:p>
    <w:p>
      <w:pPr>
        <w:sectPr>
          <w:pgSz w:w="11900" w:h="16838" w:orient="portrait"/>
          <w:cols w:equalWidth="0" w:num="1">
            <w:col w:w="11420"/>
          </w:cols>
          <w:pgMar w:left="240" w:top="580" w:right="239" w:bottom="1440" w:gutter="0" w:footer="0" w:header="0"/>
        </w:sectPr>
      </w:pPr>
    </w:p>
    <w:bookmarkStart w:id="108" w:name="page109"/>
    <w:bookmarkEnd w:id="10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transactions expressly permitted by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(d) normal and reasonable compensation and reimbursement of expenses of officers and directors in the ordinary course of business, (e) allocation of tax liabilities, insurance coverage, facilities management, real estate brokerage, bonus plans and corporate overhead among Fidelity National Financial, Inc. and its Subsidiaries (including Holdings and the Borrower), in each case in proportion to (and not in excess of) each participating Loan Party’s or Subsidiary’s liability or expenses in connection with such allocation arrangements, (f) the Profits Interest Plan and (g)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216" w:lineRule="exact"/>
        <w:rPr>
          <w:sz w:val="20"/>
          <w:szCs w:val="20"/>
          <w:color w:val="auto"/>
        </w:rPr>
      </w:pPr>
    </w:p>
    <w:p>
      <w:pPr>
        <w:ind w:left="1300"/>
        <w:spacing w:after="0"/>
        <w:tabs>
          <w:tab w:leader="none" w:pos="1980" w:val="left"/>
          <w:tab w:leader="none" w:pos="4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Burdensome Agreements.8.09</w:t>
        <w:tab/>
        <w:t>Burdensome Agreements..</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above) for (1) this Agreement and the other Loan Documents, (2) any document or instrument governing Indebtedness incurred pursuant to </w:t>
      </w:r>
      <w:r>
        <w:rPr>
          <w:rFonts w:ascii="Times New Roman" w:cs="Times New Roman" w:eastAsia="Times New Roman" w:hAnsi="Times New Roman"/>
          <w:sz w:val="18"/>
          <w:szCs w:val="18"/>
          <w:u w:val="single" w:color="auto"/>
          <w:color w:val="auto"/>
        </w:rPr>
        <w:t>Section 8.03(e)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restriction contained therein relates only to the asset or assets constructed or acquired in connection therewith, (3) any Permitted Lien or any document or instrument governing any Permitted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restriction contained therein relates only to the asset or assets subject to such Permitted Lien or (4) customary restrictions and conditions contained in any agreement relating to the sale of any property permitted under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pending the consummation of such sale, or (b) requires the grant of any security for any obligation if such property is given as security for the Obligations.</w:t>
      </w:r>
    </w:p>
    <w:p>
      <w:pPr>
        <w:spacing w:after="0" w:line="217" w:lineRule="exact"/>
        <w:rPr>
          <w:sz w:val="20"/>
          <w:szCs w:val="20"/>
          <w:color w:val="auto"/>
        </w:rPr>
      </w:pPr>
    </w:p>
    <w:p>
      <w:pPr>
        <w:ind w:left="1300"/>
        <w:spacing w:after="0"/>
        <w:tabs>
          <w:tab w:leader="none" w:pos="1980" w:val="left"/>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Use of Proceeds.8.10</w:t>
      </w:r>
      <w:r>
        <w:rPr>
          <w:sz w:val="20"/>
          <w:szCs w:val="20"/>
          <w:color w:val="auto"/>
        </w:rPr>
        <w:tab/>
      </w:r>
      <w:r>
        <w:rPr>
          <w:rFonts w:ascii="Times New Roman" w:cs="Times New Roman" w:eastAsia="Times New Roman" w:hAnsi="Times New Roman"/>
          <w:sz w:val="17"/>
          <w:szCs w:val="17"/>
          <w:u w:val="single" w:color="auto"/>
          <w:color w:val="auto"/>
        </w:rPr>
        <w:t>Use of Proceeds..</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6" w:lineRule="exact"/>
        <w:rPr>
          <w:sz w:val="20"/>
          <w:szCs w:val="20"/>
          <w:color w:val="auto"/>
        </w:rPr>
      </w:pPr>
    </w:p>
    <w:p>
      <w:pPr>
        <w:ind w:left="1300"/>
        <w:spacing w:after="0"/>
        <w:tabs>
          <w:tab w:leader="none" w:pos="1980" w:val="left"/>
          <w:tab w:leader="none" w:pos="3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Financial Covenants.8.11</w:t>
        <w:tab/>
        <w:t>Financial Covenants..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Permit the Consolidated Leverage Ratio as of the end of any fiscal quarter of Holdings to be greater than (i) for any fiscal quarter ending during the period from the Closing Date to and including March 31, 2017, 4.00 to 1.0, (ii) for any fiscal quarter ending during the period from June 30, 2017 through and including March 31, 2018, 3.75 to 1.0, (iii) for any fiscal quarter ending during the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from June 30, 2018 through and including March 31, 2019, 3.50 to 1.0 and (iv) for any fiscal quarter ending thereafter, 3.25 to 1.0;</w:t>
      </w:r>
    </w:p>
    <w:p>
      <w:pPr>
        <w:spacing w:after="0" w:line="2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Consolidated Leverage Ratio levels set forth above may, at the election of the Borrower and upon written notice to the Administrative Agent prior to the consummation of a Qualified Permitted Acquisition, be increased by 0.25:1.00 (a “quarter-turn”) in connection with one or more Permitted Acquisitions made within a six-month period, with aggregate cash and non-cash consideration (including assumed Indebtedness, the good faith estimate by the Borrower of the maximum amount of any deferred purchase price obligations (including the Borrower’s good faith estimate of any anticipated Earn-Out Obligations) and Equity Interests) paid in connection therewith in excess of $10,000,000 (each such Permitted Acquisition or series of Permitted Acquisitions, collectively, a “</w:t>
      </w:r>
      <w:r>
        <w:rPr>
          <w:rFonts w:ascii="Times New Roman" w:cs="Times New Roman" w:eastAsia="Times New Roman" w:hAnsi="Times New Roman"/>
          <w:sz w:val="18"/>
          <w:szCs w:val="18"/>
          <w:u w:val="single" w:color="auto"/>
          <w:color w:val="auto"/>
        </w:rPr>
        <w:t>Qualified Permitted Acquisition</w:t>
      </w:r>
      <w:r>
        <w:rPr>
          <w:rFonts w:ascii="Times New Roman" w:cs="Times New Roman" w:eastAsia="Times New Roman" w:hAnsi="Times New Roman"/>
          <w:sz w:val="18"/>
          <w:szCs w:val="18"/>
          <w:color w:val="auto"/>
        </w:rPr>
        <w:t xml:space="preserve">”), with a 0.25:1.0 step-down (returning the required Consolidated Leverage Ratio to the then otherwise required ratio) for the first period of four fiscal quarters ending after the date that is six months after such Permitted Acquisition(s);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in any event, the maximum Consolidated Leverage Ratio for any period of four fiscal quarters shall not be increased to be greater than 0.25:1.00 (a “quarter-turn”) more than the otherwise required Consolidated Leverage Ratio as provided above, (y) the Consolidated Leverage Ratio levels shall not be increased pursuant to the foregoing proviso on more than two occasions in the period from the Closing Date through the Revolving Loan Maturity Date and (z) following any increase in the Consolidated Leverage Ratio level pursuant to the foregoing proviso, no subsequent increase in the Consolidated Leverage Ratio level pursuant to the foregoing proviso may be made until after the required Consolidated Leverage Ratio has been at the applicable level set forth above (without giving effect to any increase pursuant to the foregoing proviso) for at least one full fiscal quarter.</w:t>
      </w:r>
    </w:p>
    <w:p>
      <w:pPr>
        <w:spacing w:after="0" w:line="220" w:lineRule="exact"/>
        <w:rPr>
          <w:rFonts w:ascii="Times New Roman" w:cs="Times New Roman" w:eastAsia="Times New Roman" w:hAnsi="Times New Roman"/>
          <w:sz w:val="18"/>
          <w:szCs w:val="18"/>
          <w:color w:val="auto"/>
        </w:rPr>
      </w:pPr>
    </w:p>
    <w:p>
      <w:pPr>
        <w:ind w:left="660" w:firstLine="645"/>
        <w:spacing w:after="0" w:line="297" w:lineRule="auto"/>
        <w:tabs>
          <w:tab w:leader="none" w:pos="21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Permit the Consolidated Fixed Charge Coverage Ratio as of the end of any fiscal quarter of the Borrower to be less than 1.25 to 1.0.</w:t>
      </w:r>
    </w:p>
    <w:p>
      <w:pPr>
        <w:spacing w:after="0" w:line="1" w:lineRule="exact"/>
        <w:rPr>
          <w:sz w:val="20"/>
          <w:szCs w:val="20"/>
          <w:color w:val="auto"/>
        </w:rPr>
      </w:pPr>
    </w:p>
    <w:p>
      <w:pPr>
        <w:ind w:left="660"/>
        <w:spacing w:after="0"/>
        <w:tabs>
          <w:tab w:leader="none" w:pos="1320" w:val="left"/>
          <w:tab w:leader="none" w:pos="7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Prepayment of Other Indebtedness, Amendment of Subordinated Indebtedness, Etc.8.12</w:t>
        <w:tab/>
        <w:t>Prepayment of Other Indebtedness, Etc..</w:t>
      </w:r>
    </w:p>
    <w:p>
      <w:pPr>
        <w:spacing w:after="0" w:line="27" w:lineRule="exact"/>
        <w:rPr>
          <w:sz w:val="20"/>
          <w:szCs w:val="20"/>
          <w:color w:val="auto"/>
        </w:rPr>
      </w:pPr>
    </w:p>
    <w:p>
      <w:pPr>
        <w:jc w:val="both"/>
        <w:ind w:firstLine="656"/>
        <w:spacing w:after="0" w:line="263" w:lineRule="auto"/>
        <w:tabs>
          <w:tab w:leader="none" w:pos="10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Indebtedness of any Loan Party or</w:t>
      </w:r>
    </w:p>
    <w:p>
      <w:pPr>
        <w:sectPr>
          <w:pgSz w:w="11900" w:h="16838" w:orient="portrait"/>
          <w:cols w:equalWidth="0" w:num="1">
            <w:col w:w="11420"/>
          </w:cols>
          <w:pgMar w:left="240" w:top="580"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any Subsidiary (other than Indebtedness arising under the Loan Documents), except as a result of the refinancing of such Indebtedness with Indebtedness that</w:t>
      </w:r>
    </w:p>
    <w:p>
      <w:pPr>
        <w:spacing w:after="0" w:line="27" w:lineRule="exact"/>
        <w:rPr>
          <w:sz w:val="20"/>
          <w:szCs w:val="20"/>
          <w:color w:val="auto"/>
        </w:rPr>
      </w:pPr>
    </w:p>
    <w:p>
      <w:pPr>
        <w:jc w:val="both"/>
        <w:ind w:firstLine="8"/>
        <w:spacing w:after="0" w:line="252" w:lineRule="auto"/>
        <w:tabs>
          <w:tab w:leader="none" w:pos="25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market terms and conditions, (b) has an average life to maturity that is greater than or equal to that of the Indebtedness being extended, renewed or refinanced, (c) does not include an obligor that was not an obligor with respect to the Indebtedness being extended, renewed or refinanced, (d) remains subordinated, if the Indebtedness being refinanced or extended was subordinated to the prior payment of the Obligations, (e) does not exceed, in principal amount, the Indebtedness being renewed, extended or refinanced (plus reasonable fees and expenses incurred in connection therewith) and (f) is not incurred, created or assumed when any Default or Event of Default has occurred and is then existing (or would result therefrom). Notwithstanding anything to the contrary in the foregoing or in any Loan Document, the Loan Parties and their Subsidiaries shall be permitted to prepay Earn Out Obligations at any time, so long as (x) no Default or Event of Default then exists or would arise therefrom and (y) the Loan Parties or their Subsidiaries derive a material benefit from such prepayment.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Subordinated Indebtedness if such amendment or modification would add or change any terms in a manner adverse to the Borrower or any Subsidiary (including any amendment or modification that would shorten the final maturity or average life to maturity or require any payment to be made sooner than originally scheduled or increase the interest rate applicable thereto).</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or interest on any Subordinated Indebtedness in violation of the subordination provisions of such Subordinated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34" w:lineRule="exact"/>
        <w:rPr>
          <w:sz w:val="20"/>
          <w:szCs w:val="20"/>
          <w:color w:val="auto"/>
        </w:rPr>
      </w:pPr>
    </w:p>
    <w:p>
      <w:pPr>
        <w:ind w:left="660" w:right="20" w:firstLine="648"/>
        <w:spacing w:after="0" w:line="297"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Organization Documents; Fiscal Year; Legal Name, State of Formation and Form of Entity.8.13 Organization Documents;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Year; Legal Name, State of Formation and Form of Entity..</w:t>
      </w:r>
    </w:p>
    <w:p>
      <w:pPr>
        <w:spacing w:after="0" w:line="1" w:lineRule="exact"/>
        <w:rPr>
          <w:sz w:val="20"/>
          <w:szCs w:val="20"/>
          <w:color w:val="auto"/>
        </w:rPr>
      </w:pPr>
    </w:p>
    <w:p>
      <w:pPr>
        <w:ind w:left="2160" w:hanging="855"/>
        <w:spacing w:after="0"/>
        <w:tabs>
          <w:tab w:leader="none" w:pos="2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its Organization Documents in a manner adverse to the Lenders.</w:t>
      </w:r>
    </w:p>
    <w:p>
      <w:pPr>
        <w:spacing w:after="0" w:line="49"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state of formation or form of organization, unless notice of such change has been (or upon delivery of the next Compliance Certificate, will be) included in the Compliance Certificate for the fiscal quarter or fiscal year of the Borrower, as applicable, in which such change occurs.</w:t>
      </w:r>
    </w:p>
    <w:p>
      <w:pPr>
        <w:spacing w:after="0" w:line="1" w:lineRule="exact"/>
        <w:rPr>
          <w:sz w:val="20"/>
          <w:szCs w:val="20"/>
          <w:color w:val="auto"/>
        </w:rPr>
      </w:pPr>
    </w:p>
    <w:p>
      <w:pPr>
        <w:ind w:left="660"/>
        <w:spacing w:after="0"/>
        <w:tabs>
          <w:tab w:leader="none" w:pos="1320" w:val="left"/>
          <w:tab w:leader="none" w:pos="3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 of Subsidiaries.8.14</w:t>
      </w:r>
      <w:r>
        <w:rPr>
          <w:sz w:val="20"/>
          <w:szCs w:val="20"/>
          <w:color w:val="auto"/>
        </w:rPr>
        <w:tab/>
      </w:r>
      <w:r>
        <w:rPr>
          <w:rFonts w:ascii="Times New Roman" w:cs="Times New Roman" w:eastAsia="Times New Roman" w:hAnsi="Times New Roman"/>
          <w:sz w:val="17"/>
          <w:szCs w:val="17"/>
          <w:u w:val="single" w:color="auto"/>
          <w:color w:val="auto"/>
        </w:rPr>
        <w:t>Ownership of Subsidiaries..</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 other provisions of this Agreement to the contrary, (a) permit any Person (other than any Loan Party or any Wholly Owned Subsidiary of the Borrower) to own any Equity Interests of any Subsidiary of any Loan Party, except to qualify directors where required by applicable law or to satisfy other requirements of applicable law with respect to the ownership of Equity Interests of Foreign Subsidiaries, (b) permit any Loan Party or any Subsidiary of any Loan Party to issue or have outstanding any shares of preferred Equity Interests or (c) create, incur, assume or suffer to exist any Lien on any Equity Interests of any Subsidiary of any Loan Party, except for Permitted Liens.</w:t>
      </w:r>
    </w:p>
    <w:p>
      <w:pPr>
        <w:spacing w:after="0" w:line="210" w:lineRule="exact"/>
        <w:rPr>
          <w:sz w:val="20"/>
          <w:szCs w:val="20"/>
          <w:color w:val="auto"/>
        </w:rPr>
      </w:pPr>
    </w:p>
    <w:p>
      <w:pPr>
        <w:ind w:left="1300"/>
        <w:spacing w:after="0"/>
        <w:tabs>
          <w:tab w:leader="none" w:pos="1980" w:val="left"/>
          <w:tab w:leader="none" w:pos="3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Sale Leasebacks.8.15</w:t>
        <w:tab/>
        <w:t>Sale Leasebacks..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Enter into any Sale and Leaseback Transaction.</w:t>
      </w:r>
    </w:p>
    <w:p>
      <w:pPr>
        <w:spacing w:after="0" w:line="247" w:lineRule="exact"/>
        <w:rPr>
          <w:sz w:val="20"/>
          <w:szCs w:val="20"/>
          <w:color w:val="auto"/>
        </w:rPr>
      </w:pPr>
    </w:p>
    <w:p>
      <w:pPr>
        <w:ind w:left="2000" w:hanging="695"/>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Sanctions.8.16  Sanctions..</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Directly or indirectly, use the proceeds of any Credit Extension, or lend, contribute or otherwise make available such proceeds to any Subsidiary, joint venture partner or other individual or entity, to fund any activities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underwriter, advisor, investor or otherwise) of Sanctions.</w:t>
      </w:r>
    </w:p>
    <w:p>
      <w:pPr>
        <w:spacing w:after="0" w:line="209" w:lineRule="exact"/>
        <w:rPr>
          <w:sz w:val="20"/>
          <w:szCs w:val="20"/>
          <w:color w:val="auto"/>
        </w:rPr>
      </w:pPr>
    </w:p>
    <w:p>
      <w:pPr>
        <w:ind w:left="1300"/>
        <w:spacing w:after="0"/>
        <w:tabs>
          <w:tab w:leader="none" w:pos="1980" w:val="left"/>
          <w:tab w:leader="none" w:pos="4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.8.17</w:t>
      </w:r>
      <w:r>
        <w:rPr>
          <w:sz w:val="20"/>
          <w:szCs w:val="20"/>
          <w:color w:val="auto"/>
        </w:rPr>
        <w:tab/>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Directly or indirectly use the proceeds of any Credit Extension for any purpose which would breach the United States Foreign Corrupt Practices Act of 1977, the UK Bribery Act 2010 and other similar anti-corruption or bribery legislation promulgated by other authorities having jurisdiction over the Loan Parties and their respective Subsidiaries.</w:t>
      </w:r>
    </w:p>
    <w:p>
      <w:pPr>
        <w:spacing w:after="0" w:line="206" w:lineRule="exact"/>
        <w:rPr>
          <w:sz w:val="20"/>
          <w:szCs w:val="20"/>
          <w:color w:val="auto"/>
        </w:rPr>
      </w:pPr>
    </w:p>
    <w:p>
      <w:pPr>
        <w:ind w:left="1300"/>
        <w:spacing w:after="0"/>
        <w:tabs>
          <w:tab w:leader="none" w:pos="1980" w:val="left"/>
          <w:tab w:leader="none" w:pos="4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Activities of Holdings</w:t>
      </w:r>
      <w:r>
        <w:rPr>
          <w:rFonts w:ascii="Times New Roman" w:cs="Times New Roman" w:eastAsia="Times New Roman" w:hAnsi="Times New Roman"/>
          <w:sz w:val="18"/>
          <w:szCs w:val="18"/>
          <w:color w:val="auto"/>
        </w:rPr>
        <w:t>.8.18</w:t>
      </w:r>
      <w:r>
        <w:rPr>
          <w:sz w:val="20"/>
          <w:szCs w:val="20"/>
          <w:color w:val="auto"/>
        </w:rPr>
        <w:tab/>
      </w:r>
      <w:r>
        <w:rPr>
          <w:rFonts w:ascii="Times New Roman" w:cs="Times New Roman" w:eastAsia="Times New Roman" w:hAnsi="Times New Roman"/>
          <w:sz w:val="17"/>
          <w:szCs w:val="17"/>
          <w:u w:val="single" w:color="auto"/>
          <w:color w:val="auto"/>
        </w:rPr>
        <w:t>Activities of Holdings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Permit Holdings to (a) amend its bylaws or (b) incur any Indebtedness, grant any Liens upon any of its properties or assets or engage in any operations, business or activity other than (i) owning the Equity Interests of the Borrower, (ii) fulfilling its obligations under the Loan Documents and (iii) any activities incidental to the foregoing.</w:t>
      </w:r>
    </w:p>
    <w:p>
      <w:pPr>
        <w:spacing w:after="0" w:line="206" w:lineRule="exact"/>
        <w:rPr>
          <w:sz w:val="20"/>
          <w:szCs w:val="20"/>
          <w:color w:val="auto"/>
        </w:rPr>
      </w:pPr>
    </w:p>
    <w:p>
      <w:pPr>
        <w:ind w:left="1300"/>
        <w:spacing w:after="0"/>
        <w:tabs>
          <w:tab w:leader="none" w:pos="1980" w:val="left"/>
          <w:tab w:leader="none" w:pos="4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Provision of Insurance</w:t>
      </w:r>
      <w:r>
        <w:rPr>
          <w:rFonts w:ascii="Times New Roman" w:cs="Times New Roman" w:eastAsia="Times New Roman" w:hAnsi="Times New Roman"/>
          <w:sz w:val="18"/>
          <w:szCs w:val="18"/>
          <w:color w:val="auto"/>
        </w:rPr>
        <w:t>.8.19</w:t>
      </w:r>
      <w:r>
        <w:rPr>
          <w:sz w:val="20"/>
          <w:szCs w:val="20"/>
          <w:color w:val="auto"/>
        </w:rPr>
        <w:tab/>
      </w:r>
      <w:r>
        <w:rPr>
          <w:rFonts w:ascii="Times New Roman" w:cs="Times New Roman" w:eastAsia="Times New Roman" w:hAnsi="Times New Roman"/>
          <w:sz w:val="18"/>
          <w:szCs w:val="18"/>
          <w:u w:val="single" w:color="auto"/>
          <w:color w:val="auto"/>
        </w:rPr>
        <w:t>Provision of Insurance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 any Loan Party or any of its Subsidiaries to engage in the provision of insurance or reinsurance (as opposed to the brokerage of insurance).</w:t>
      </w:r>
    </w:p>
    <w:p>
      <w:pPr>
        <w:sectPr>
          <w:pgSz w:w="11900" w:h="16838" w:orient="portrait"/>
          <w:cols w:equalWidth="0" w:num="1">
            <w:col w:w="11420"/>
          </w:cols>
          <w:pgMar w:left="240" w:top="580" w:right="239" w:bottom="1440" w:gutter="0" w:footer="0" w:header="0"/>
        </w:sectPr>
      </w:pPr>
    </w:p>
    <w:bookmarkStart w:id="110" w:name="page111"/>
    <w:bookmarkEnd w:id="110"/>
    <w:p>
      <w:pPr>
        <w:ind w:left="1300"/>
        <w:spacing w:after="0"/>
        <w:tabs>
          <w:tab w:leader="none" w:pos="1980" w:val="left"/>
          <w:tab w:leader="none" w:pos="5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Payments Under Profit Interest Plan</w:t>
      </w:r>
      <w:r>
        <w:rPr>
          <w:rFonts w:ascii="Times New Roman" w:cs="Times New Roman" w:eastAsia="Times New Roman" w:hAnsi="Times New Roman"/>
          <w:sz w:val="18"/>
          <w:szCs w:val="18"/>
          <w:color w:val="auto"/>
        </w:rPr>
        <w:t>.8.20</w:t>
      </w:r>
      <w:r>
        <w:rPr>
          <w:sz w:val="20"/>
          <w:szCs w:val="20"/>
          <w:color w:val="auto"/>
        </w:rPr>
        <w:tab/>
      </w:r>
      <w:r>
        <w:rPr>
          <w:rFonts w:ascii="Times New Roman" w:cs="Times New Roman" w:eastAsia="Times New Roman" w:hAnsi="Times New Roman"/>
          <w:sz w:val="17"/>
          <w:szCs w:val="17"/>
          <w:u w:val="single" w:color="auto"/>
          <w:color w:val="auto"/>
        </w:rPr>
        <w:t>Payments Under Profit Interest Plan</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Make any payment under the Profits Interest Plan, unless (a) no Default or Event of Default then exists or would arise from such payment, (b) after giving effect to such payment on a Pro Forma Basis, (A) the Consolidated Leverage Ratio would not be in excess of 3.50 to 1.0 and (B) the Loan Parties would be in compliance with the financial covenant set forth in </w:t>
      </w:r>
      <w:r>
        <w:rPr>
          <w:rFonts w:ascii="Times New Roman" w:cs="Times New Roman" w:eastAsia="Times New Roman" w:hAnsi="Times New Roman"/>
          <w:sz w:val="18"/>
          <w:szCs w:val="18"/>
          <w:u w:val="single" w:color="auto"/>
          <w:color w:val="auto"/>
        </w:rPr>
        <w:t>Section 8.11(b)</w:t>
      </w:r>
      <w:r>
        <w:rPr>
          <w:rFonts w:ascii="Times New Roman" w:cs="Times New Roman" w:eastAsia="Times New Roman" w:hAnsi="Times New Roman"/>
          <w:sz w:val="18"/>
          <w:szCs w:val="18"/>
          <w:color w:val="auto"/>
        </w:rPr>
        <w:t xml:space="preserve">, in each case as of the most recent fiscal quarter end for which the Borrower was required to deliver financial statements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(c) immediately after giving effect to such payment, there shall be at least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$5,000,000 of Liquidity.</w:t>
            </w:r>
          </w:p>
        </w:tc>
        <w:tc>
          <w:tcPr>
            <w:tcW w:w="3200" w:type="dxa"/>
            <w:vAlign w:val="bottom"/>
          </w:tcPr>
          <w:p>
            <w:pPr>
              <w:spacing w:after="0"/>
              <w:rPr>
                <w:sz w:val="20"/>
                <w:szCs w:val="20"/>
                <w:color w:val="auto"/>
              </w:rPr>
            </w:pPr>
          </w:p>
        </w:tc>
      </w:tr>
      <w:tr>
        <w:trPr>
          <w:trHeight w:val="630"/>
        </w:trPr>
        <w:tc>
          <w:tcPr>
            <w:tcW w:w="57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ARTICLE XXV</w:t>
            </w:r>
          </w:p>
        </w:tc>
        <w:tc>
          <w:tcPr>
            <w:tcW w:w="3200" w:type="dxa"/>
            <w:vAlign w:val="bottom"/>
          </w:tcPr>
          <w:p>
            <w:pPr>
              <w:spacing w:after="0"/>
              <w:rPr>
                <w:sz w:val="24"/>
                <w:szCs w:val="24"/>
                <w:color w:val="auto"/>
              </w:rPr>
            </w:pPr>
          </w:p>
        </w:tc>
      </w:tr>
      <w:tr>
        <w:trPr>
          <w:trHeight w:val="243"/>
        </w:trPr>
        <w:tc>
          <w:tcPr>
            <w:tcW w:w="1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ARTICLE XXVI</w:t>
            </w:r>
          </w:p>
        </w:tc>
        <w:tc>
          <w:tcPr>
            <w:tcW w:w="3200" w:type="dxa"/>
            <w:vAlign w:val="bottom"/>
          </w:tcPr>
          <w:p>
            <w:pPr>
              <w:spacing w:after="0"/>
              <w:rPr>
                <w:sz w:val="21"/>
                <w:szCs w:val="21"/>
                <w:color w:val="auto"/>
              </w:rPr>
            </w:pPr>
          </w:p>
        </w:tc>
      </w:tr>
      <w:tr>
        <w:trPr>
          <w:trHeight w:val="257"/>
        </w:trPr>
        <w:tc>
          <w:tcPr>
            <w:tcW w:w="1340" w:type="dxa"/>
            <w:vAlign w:val="bottom"/>
          </w:tcPr>
          <w:p>
            <w:pPr>
              <w:spacing w:after="0"/>
              <w:rPr>
                <w:sz w:val="22"/>
                <w:szCs w:val="22"/>
                <w:color w:val="auto"/>
              </w:rPr>
            </w:pPr>
          </w:p>
        </w:tc>
        <w:tc>
          <w:tcPr>
            <w:tcW w:w="438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ARTICLE XXVII</w:t>
            </w: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EVENTS OF DEFAULT AND REMEDIES</w:t>
            </w:r>
          </w:p>
        </w:tc>
      </w:tr>
      <w:tr>
        <w:trPr>
          <w:trHeight w:val="216"/>
        </w:trPr>
        <w:tc>
          <w:tcPr>
            <w:tcW w:w="1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Events of Default.9.01  Events of Default..</w:t>
            </w:r>
          </w:p>
        </w:tc>
        <w:tc>
          <w:tcPr>
            <w:tcW w:w="320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57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Any of the following shall constitute an Event of Default:</w:t>
            </w:r>
          </w:p>
        </w:tc>
        <w:tc>
          <w:tcPr>
            <w:tcW w:w="3200" w:type="dxa"/>
            <w:vAlign w:val="bottom"/>
          </w:tcPr>
          <w:p>
            <w:pPr>
              <w:spacing w:after="0"/>
              <w:rPr>
                <w:sz w:val="21"/>
                <w:szCs w:val="21"/>
                <w:color w:val="auto"/>
              </w:rPr>
            </w:pPr>
          </w:p>
        </w:tc>
      </w:tr>
    </w:tbl>
    <w:p>
      <w:pPr>
        <w:spacing w:after="0" w:line="225" w:lineRule="exact"/>
        <w:rPr>
          <w:sz w:val="20"/>
          <w:szCs w:val="20"/>
          <w:color w:val="auto"/>
        </w:rPr>
      </w:pPr>
    </w:p>
    <w:p>
      <w:pPr>
        <w:jc w:val="both"/>
        <w:ind w:left="660" w:firstLine="645"/>
        <w:spacing w:after="0" w:line="297" w:lineRule="auto"/>
        <w:tabs>
          <w:tab w:leader="none" w:pos="215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other Loan Party fails to pay (i) when and as required to be paid herein,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Loan Party fails to perform or observe any term, covenant or agreement contained in any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(provided that the delivery of a notice of Default or Event of Default at any time will cure an Event of Default under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arising solely from the failure of the Borrower to timely deliver such notice of Default or Event of Default), </w:t>
      </w:r>
      <w:r>
        <w:rPr>
          <w:rFonts w:ascii="Times New Roman" w:cs="Times New Roman" w:eastAsia="Times New Roman" w:hAnsi="Times New Roman"/>
          <w:sz w:val="18"/>
          <w:szCs w:val="18"/>
          <w:u w:val="single" w:color="auto"/>
          <w:color w:val="auto"/>
        </w:rPr>
        <w:t>7.05(a)</w:t>
      </w:r>
      <w:r>
        <w:rPr>
          <w:rFonts w:ascii="Times New Roman" w:cs="Times New Roman" w:eastAsia="Times New Roman" w:hAnsi="Times New Roman"/>
          <w:sz w:val="18"/>
          <w:szCs w:val="18"/>
          <w:color w:val="auto"/>
        </w:rPr>
        <w:t xml:space="preserve"> (with respect to Loan Parties only),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or</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w:t>
      </w:r>
    </w:p>
    <w:p>
      <w:pPr>
        <w:spacing w:after="0" w:line="4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thirty days following the earlier of</w:t>
      </w:r>
    </w:p>
    <w:p>
      <w:pPr>
        <w:spacing w:after="0" w:line="49" w:lineRule="exact"/>
        <w:rPr>
          <w:rFonts w:ascii="Times New Roman" w:cs="Times New Roman" w:eastAsia="Times New Roman" w:hAnsi="Times New Roman"/>
          <w:sz w:val="18"/>
          <w:szCs w:val="18"/>
          <w:u w:val="single" w:color="auto"/>
          <w:color w:val="auto"/>
        </w:rPr>
      </w:pPr>
    </w:p>
    <w:p>
      <w:pPr>
        <w:ind w:left="660" w:right="20" w:hanging="4"/>
        <w:spacing w:after="0" w:line="297" w:lineRule="auto"/>
        <w:tabs>
          <w:tab w:leader="none" w:pos="93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Responsible Officer of the Borrower obtaining knowledge thereof and (y) receipt by such Loan Party of a written notice thereof from the Administrative Agent or any Lender; or</w:t>
      </w:r>
    </w:p>
    <w:p>
      <w:pPr>
        <w:jc w:val="both"/>
        <w:ind w:left="660" w:firstLine="645"/>
        <w:spacing w:after="0" w:line="297" w:lineRule="auto"/>
        <w:tabs>
          <w:tab w:leader="none" w:pos="216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(and in all respects if any such representation or warranty is already qualified by materiality or reference to Material Adverse Effect) when made or deemed made; or</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amounts and including amounts owing to all creditors under any combined or syndicated credit arrangement) of more than the Threshold Amount (the “</w:t>
      </w:r>
      <w:r>
        <w:rPr>
          <w:rFonts w:ascii="Times New Roman" w:cs="Times New Roman" w:eastAsia="Times New Roman" w:hAnsi="Times New Roman"/>
          <w:sz w:val="18"/>
          <w:szCs w:val="18"/>
          <w:u w:val="single" w:color="auto"/>
          <w:color w:val="auto"/>
        </w:rPr>
        <w:t>Threshold Indebtedness/Guarantee</w:t>
      </w:r>
      <w:r>
        <w:rPr>
          <w:rFonts w:ascii="Times New Roman" w:cs="Times New Roman" w:eastAsia="Times New Roman" w:hAnsi="Times New Roman"/>
          <w:sz w:val="18"/>
          <w:szCs w:val="18"/>
          <w:color w:val="auto"/>
        </w:rPr>
        <w:t>”), or (B) fails to observe or perform any other agreement or condition relating to any such Threshold Indebtedness/Guarantee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7" w:lineRule="exact"/>
        <w:rPr>
          <w:rFonts w:ascii="Times New Roman" w:cs="Times New Roman" w:eastAsia="Times New Roman" w:hAnsi="Times New Roman"/>
          <w:sz w:val="18"/>
          <w:szCs w:val="18"/>
          <w:color w:val="auto"/>
        </w:rPr>
      </w:pPr>
    </w:p>
    <w:p>
      <w:pPr>
        <w:jc w:val="both"/>
        <w:ind w:left="660" w:firstLine="645"/>
        <w:spacing w:after="0" w:line="305" w:lineRule="auto"/>
        <w:tabs>
          <w:tab w:leader="none" w:pos="213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of its Subsidiaries institutes or consents to the institution of any proceeding under any Debtor Relief Law, or makes a general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w:t>
      </w:r>
    </w:p>
    <w:p>
      <w:pPr>
        <w:sectPr>
          <w:pgSz w:w="11900" w:h="16838" w:orient="portrait"/>
          <w:cols w:equalWidth="0" w:num="1">
            <w:col w:w="11420"/>
          </w:cols>
          <w:pgMar w:left="240" w:top="607" w:right="239" w:bottom="1440" w:gutter="0" w:footer="0" w:header="0"/>
        </w:sectPr>
      </w:pPr>
    </w:p>
    <w:bookmarkStart w:id="111" w:name="page112"/>
    <w:bookmarkEnd w:id="111"/>
    <w:p>
      <w:pPr>
        <w:ind w:left="660" w:right="20"/>
        <w:spacing w:after="0" w:line="297" w:lineRule="auto"/>
        <w:rPr>
          <w:sz w:val="20"/>
          <w:szCs w:val="20"/>
          <w:color w:val="auto"/>
        </w:rPr>
      </w:pPr>
      <w:r>
        <w:rPr>
          <w:rFonts w:ascii="Times New Roman" w:cs="Times New Roman" w:eastAsia="Times New Roman" w:hAnsi="Times New Roman"/>
          <w:sz w:val="18"/>
          <w:szCs w:val="18"/>
          <w:color w:val="auto"/>
        </w:rPr>
        <w:t>Person or to all or any material part of its property is instituted without the consent of such Person and continues undismissed or unstayed for sixty calendar days, or an order for relief is entered in any such proceeding; or</w:t>
      </w:r>
    </w:p>
    <w:p>
      <w:pPr>
        <w:spacing w:after="0" w:line="1" w:lineRule="exact"/>
        <w:rPr>
          <w:sz w:val="20"/>
          <w:szCs w:val="20"/>
          <w:color w:val="auto"/>
        </w:rPr>
      </w:pPr>
    </w:p>
    <w:p>
      <w:pPr>
        <w:jc w:val="both"/>
        <w:ind w:left="660" w:firstLine="645"/>
        <w:spacing w:after="0" w:line="297" w:lineRule="auto"/>
        <w:tabs>
          <w:tab w:leader="none" w:pos="21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Any Loan Party or any of its Subsidiaries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any Subsidiary (i) a final judgment or order for the payment of money in an amount exceeding the Threshold Amount (to the extent not covered by independent third-party insurance as to which the insurer does not dispute coverage) and such judgment or order is not paid, discharged, bonded or stayed within thirty (30) days after any Responsible Officer has knowledge thereof, or (ii) any non-monetary final judgment that results in, or could reasonably be expected to result in, a Material Adverse Effect and such judgment is not discharged or stayed within thirty (30) days after any Responsible Officer has knowledge thereof; or</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4" w:lineRule="auto"/>
        <w:tabs>
          <w:tab w:leader="none" w:pos="21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Action</w:t>
      </w:r>
      <w:r>
        <w:rPr>
          <w:rFonts w:ascii="Times New Roman" w:cs="Times New Roman" w:eastAsia="Times New Roman" w:hAnsi="Times New Roman"/>
          <w:sz w:val="18"/>
          <w:szCs w:val="18"/>
          <w:color w:val="auto"/>
        </w:rPr>
        <w:t>. (i) any Insurance License of the Borrower or any of its Material Insurance Brokerage Subsidiaries (A) shall be revoked by the Applicable Insurance Regulatory Authority, (B) shall be suspended by the Applicable Insurance Regulatory Authority for a period in excess of thirty days or (C) shall not be reissued or renewed by the Applicable Insurance Regulatory Authority upon the expiration thereof following application for such reissuance or renewal of such Person, or (ii) any Applicable Insurance Regulatory Authority shall issue any order of conservation or seizure, however denominated, relating to the Borrower or any Material Insurance Brokerage Subsidiary or shall take any other action to exercise control (A) over the Borrower or any Material Insurance Brokerage Subsidiary or (B) over any assets of the Borrower or any Material Insurance Brokerage Subsidiary; which, in the case of each of clauses (a) and (b) above, would reasonably be expected to have a Material Adverse Effect.</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63" w:lineRule="auto"/>
        <w:tabs>
          <w:tab w:leader="none" w:pos="181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Subordination Provisions</w:t>
      </w:r>
      <w:r>
        <w:rPr>
          <w:rFonts w:ascii="Times New Roman" w:cs="Times New Roman" w:eastAsia="Times New Roman" w:hAnsi="Times New Roman"/>
          <w:sz w:val="18"/>
          <w:szCs w:val="18"/>
          <w:color w:val="auto"/>
        </w:rPr>
        <w:t>. The subordination provisions of the documents evidencing or governing any Subordinated Indebtedness shall, in whole or in part, terminate, cease to be effective or cease to be legally valid, binding and enforceable against any holder of the applicable Subordinated Indebtedness.</w:t>
      </w:r>
    </w:p>
    <w:p>
      <w:pPr>
        <w:spacing w:after="0" w:line="206" w:lineRule="exact"/>
        <w:rPr>
          <w:sz w:val="20"/>
          <w:szCs w:val="20"/>
          <w:color w:val="auto"/>
        </w:rPr>
      </w:pPr>
    </w:p>
    <w:p>
      <w:pPr>
        <w:ind w:left="1300"/>
        <w:spacing w:after="0"/>
        <w:tabs>
          <w:tab w:leader="none" w:pos="1980" w:val="left"/>
          <w:tab w:leader="none" w:pos="4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Remedies Upon Event of Default.9.02</w:t>
      </w:r>
      <w:r>
        <w:rPr>
          <w:sz w:val="20"/>
          <w:szCs w:val="20"/>
          <w:color w:val="auto"/>
        </w:rPr>
        <w:tab/>
      </w:r>
      <w:r>
        <w:rPr>
          <w:rFonts w:ascii="Times New Roman" w:cs="Times New Roman" w:eastAsia="Times New Roman" w:hAnsi="Times New Roman"/>
          <w:sz w:val="17"/>
          <w:szCs w:val="17"/>
          <w:u w:val="single" w:color="auto"/>
          <w:color w:val="auto"/>
        </w:rPr>
        <w:t>Remedies Upon Event of Default..</w:t>
      </w:r>
    </w:p>
    <w:p>
      <w:pPr>
        <w:spacing w:after="0" w:line="2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shall, at the request of, or may, with the consent of, the Required Lenders, take any or all of the following actions:</w:t>
      </w:r>
    </w:p>
    <w:p>
      <w:pPr>
        <w:spacing w:after="0" w:line="194" w:lineRule="exact"/>
        <w:rPr>
          <w:sz w:val="20"/>
          <w:szCs w:val="20"/>
          <w:color w:val="auto"/>
        </w:rPr>
      </w:pPr>
    </w:p>
    <w:p>
      <w:pPr>
        <w:ind w:left="660" w:firstLine="645"/>
        <w:spacing w:after="0" w:line="297" w:lineRule="auto"/>
        <w:tabs>
          <w:tab w:leader="none" w:pos="21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jc w:val="both"/>
        <w:ind w:left="660" w:firstLine="645"/>
        <w:spacing w:after="0" w:line="297" w:lineRule="auto"/>
        <w:tabs>
          <w:tab w:leader="none" w:pos="216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the L/C Obligations (in an amount equal to the Minimum Collateral Amount with</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thereto); and</w:t>
      </w:r>
    </w:p>
    <w:p>
      <w:pPr>
        <w:spacing w:after="0" w:line="49" w:lineRule="exact"/>
        <w:rPr>
          <w:rFonts w:ascii="Times New Roman" w:cs="Times New Roman" w:eastAsia="Times New Roman" w:hAnsi="Times New Roman"/>
          <w:sz w:val="18"/>
          <w:szCs w:val="18"/>
          <w:color w:val="auto"/>
        </w:rPr>
      </w:pPr>
    </w:p>
    <w:p>
      <w:pPr>
        <w:ind w:firstLine="1305"/>
        <w:spacing w:after="0" w:line="260" w:lineRule="auto"/>
        <w:tabs>
          <w:tab w:leader="none" w:pos="21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on behalf of itself and the Lenders all rights and remedies available to it and the Lenders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ectPr>
          <w:pgSz w:w="11900" w:h="16838" w:orient="portrait"/>
          <w:cols w:equalWidth="0" w:num="1">
            <w:col w:w="11420"/>
          </w:cols>
          <w:pgMar w:left="240" w:top="607" w:right="239" w:bottom="1440" w:gutter="0" w:footer="0" w:header="0"/>
        </w:sectPr>
      </w:pPr>
    </w:p>
    <w:bookmarkStart w:id="112" w:name="page113"/>
    <w:bookmarkEnd w:id="112"/>
    <w:p>
      <w:pPr>
        <w:ind w:left="1300"/>
        <w:spacing w:after="0"/>
        <w:tabs>
          <w:tab w:leader="none" w:pos="1980" w:val="left"/>
          <w:tab w:leader="none" w:pos="4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Application of Funds.9.03</w:t>
      </w:r>
      <w:r>
        <w:rPr>
          <w:sz w:val="20"/>
          <w:szCs w:val="20"/>
          <w:color w:val="auto"/>
        </w:rPr>
        <w:tab/>
      </w:r>
      <w:r>
        <w:rPr>
          <w:rFonts w:ascii="Times New Roman" w:cs="Times New Roman" w:eastAsia="Times New Roman" w:hAnsi="Times New Roman"/>
          <w:sz w:val="17"/>
          <w:szCs w:val="17"/>
          <w:u w:val="single" w:color="auto"/>
          <w:color w:val="auto"/>
        </w:rPr>
        <w:t>Application of Funds..</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After the exercise of remedies provided for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any amounts received on account of the Obligations shall be applied by the Administrative Agent in the following order:</w:t>
      </w:r>
    </w:p>
    <w:p>
      <w:pPr>
        <w:spacing w:after="0" w:line="17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the reasonable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 (including the reasonable fees, charges and disbursements of counsel to the respective Lenders and the L/C Issuer)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Secured Swap Agreement, ratably among the Lenders, the Swap Banks and the L/C Issuer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held by them;</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(a) payment of that portion of the Obligations constituting accrued and unpaid principal of the Loans and L/C Borrowings, (b) payment of breakage, termination or other payments, and any interest accrued thereon, due under any Secured Swap Agreement, (c) payments of amounts due under any Secured Treasury Management Agreement and (d) Cash Collateralize that portion of L/C Obligations comprised of the aggregate undrawn amount of Letters of Credit, ratably among the Lenders, Swap Banks, Treasury Management Banks and the L/C Issuer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 and</w:t>
      </w:r>
    </w:p>
    <w:p>
      <w:pPr>
        <w:spacing w:after="0" w:line="18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paid in full (other than contingent indemnification obligations for which no claim has been made), to the Borrower or as otherwise required by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amounts used to Cash Collateralize the aggregate undrawn amount of Letters of Credit pursuant to clause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have either been fully drawn or expired, such remaining amount shall be applied to the other Obligations, if any, in the order set forth above.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Treasury Management Agreements and Secured Swap Agreements shall be excluded from the application described above if the Administrative Agent has not received a Secured Party Designation Notice, together with such supporting documentation as the Administrative Agent may request, from the applicable Treasury Management Bank or Swap Bank, as the case may be. Each Treasury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XXVIII</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3"/>
        </w:trPr>
        <w:tc>
          <w:tcPr>
            <w:tcW w:w="1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ARTICLE XXIX</w:t>
            </w: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57"/>
        </w:trPr>
        <w:tc>
          <w:tcPr>
            <w:tcW w:w="1000" w:type="dxa"/>
            <w:vAlign w:val="bottom"/>
          </w:tcPr>
          <w:p>
            <w:pPr>
              <w:spacing w:after="0"/>
              <w:rPr>
                <w:sz w:val="22"/>
                <w:szCs w:val="22"/>
                <w:color w:val="auto"/>
              </w:rPr>
            </w:pPr>
          </w:p>
        </w:tc>
        <w:tc>
          <w:tcPr>
            <w:tcW w:w="44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ARTICLE XXX</w:t>
            </w: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ADMINISTRATIVE AGENT</w:t>
            </w:r>
          </w:p>
        </w:tc>
      </w:tr>
      <w:tr>
        <w:trPr>
          <w:trHeight w:val="216"/>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Appointment and Authority.10.01  Appointment and Authority..</w:t>
            </w:r>
          </w:p>
        </w:tc>
      </w:tr>
      <w:tr>
        <w:trPr>
          <w:trHeight w:val="20"/>
        </w:trPr>
        <w:tc>
          <w:tcPr>
            <w:tcW w:w="10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660" w:firstLine="645"/>
        <w:spacing w:after="0" w:line="305" w:lineRule="auto"/>
        <w:tabs>
          <w:tab w:leader="none" w:pos="21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the Lenders and the L/C Issuer, and neither the Borrower nor any other Loan</w:t>
      </w:r>
    </w:p>
    <w:p>
      <w:pPr>
        <w:sectPr>
          <w:pgSz w:w="11900" w:h="16838" w:orient="portrait"/>
          <w:cols w:equalWidth="0" w:num="1">
            <w:col w:w="11420"/>
          </w:cols>
          <w:pgMar w:left="240" w:top="607" w:right="239" w:bottom="1440" w:gutter="0" w:footer="0" w:header="0"/>
        </w:sectPr>
      </w:pPr>
    </w:p>
    <w:bookmarkStart w:id="113" w:name="page114"/>
    <w:bookmarkEnd w:id="113"/>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 w:lineRule="exact"/>
        <w:rPr>
          <w:sz w:val="20"/>
          <w:szCs w:val="20"/>
          <w:color w:val="auto"/>
        </w:rPr>
      </w:pPr>
    </w:p>
    <w:p>
      <w:pPr>
        <w:jc w:val="both"/>
        <w:ind w:left="660" w:firstLine="645"/>
        <w:spacing w:after="0" w:line="297" w:lineRule="auto"/>
        <w:tabs>
          <w:tab w:leader="none" w:pos="216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also act as the “collateral agent” under the Loan Documents, and each of the Lenders (in its capacities as a Lender, Swing Line Lender (if applicable), potential Swap Banks and potential Treasury Management Banks)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4" w:lineRule="exact"/>
        <w:rPr>
          <w:sz w:val="20"/>
          <w:szCs w:val="20"/>
          <w:color w:val="auto"/>
        </w:rPr>
      </w:pPr>
    </w:p>
    <w:p>
      <w:pPr>
        <w:ind w:left="660"/>
        <w:spacing w:after="0"/>
        <w:tabs>
          <w:tab w:leader="none" w:pos="1320" w:val="left"/>
          <w:tab w:leader="none" w:pos="3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Rights as a Lender.10.02</w:t>
      </w:r>
      <w:r>
        <w:rPr>
          <w:sz w:val="20"/>
          <w:szCs w:val="20"/>
          <w:color w:val="auto"/>
        </w:rPr>
        <w:tab/>
      </w:r>
      <w:r>
        <w:rPr>
          <w:rFonts w:ascii="Times New Roman" w:cs="Times New Roman" w:eastAsia="Times New Roman" w:hAnsi="Times New Roman"/>
          <w:sz w:val="17"/>
          <w:szCs w:val="17"/>
          <w:u w:val="single" w:color="auto"/>
          <w:color w:val="auto"/>
        </w:rPr>
        <w:t>Rights as a Lender..</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215" w:lineRule="exact"/>
        <w:rPr>
          <w:sz w:val="20"/>
          <w:szCs w:val="20"/>
          <w:color w:val="auto"/>
        </w:rPr>
      </w:pPr>
    </w:p>
    <w:p>
      <w:pPr>
        <w:ind w:left="1300"/>
        <w:spacing w:after="0"/>
        <w:tabs>
          <w:tab w:leader="none" w:pos="1980" w:val="left"/>
          <w:tab w:leader="none" w:pos="4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Exculpatory Provisions.10.03</w:t>
      </w:r>
      <w:r>
        <w:rPr>
          <w:sz w:val="20"/>
          <w:szCs w:val="20"/>
          <w:color w:val="auto"/>
        </w:rPr>
        <w:tab/>
      </w:r>
      <w:r>
        <w:rPr>
          <w:rFonts w:ascii="Times New Roman" w:cs="Times New Roman" w:eastAsia="Times New Roman" w:hAnsi="Times New Roman"/>
          <w:sz w:val="17"/>
          <w:szCs w:val="17"/>
          <w:u w:val="single" w:color="auto"/>
          <w:color w:val="auto"/>
        </w:rPr>
        <w:t>Exculpatory Provisions..</w:t>
      </w:r>
    </w:p>
    <w:p>
      <w:pPr>
        <w:spacing w:after="0" w:line="2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94" w:lineRule="exact"/>
        <w:rPr>
          <w:sz w:val="20"/>
          <w:szCs w:val="20"/>
          <w:color w:val="auto"/>
        </w:rPr>
      </w:pPr>
    </w:p>
    <w:p>
      <w:pPr>
        <w:ind w:left="2160" w:hanging="855"/>
        <w:spacing w:after="0"/>
        <w:tabs>
          <w:tab w:leader="none" w:pos="21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3"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the Administrative Agent or any of its Affiliates in any capacity.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Required Lenders (or</w:t>
      </w:r>
    </w:p>
    <w:p>
      <w:pPr>
        <w:spacing w:after="0" w:line="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ectPr>
          <w:pgSz w:w="11900" w:h="16838" w:orient="portrait"/>
          <w:cols w:equalWidth="0" w:num="1">
            <w:col w:w="11420"/>
          </w:cols>
          <w:pgMar w:left="240" w:top="607" w:right="239" w:bottom="1440" w:gutter="0" w:footer="0" w:header="0"/>
        </w:sectPr>
      </w:pPr>
    </w:p>
    <w:bookmarkStart w:id="114" w:name="page115"/>
    <w:bookmarkEnd w:id="114"/>
    <w:p>
      <w:pPr>
        <w:ind w:left="1300"/>
        <w:spacing w:after="0"/>
        <w:tabs>
          <w:tab w:leader="none" w:pos="1980" w:val="left"/>
          <w:tab w:leader="none" w:pos="5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Reliance by Administrative Agent.10.04</w:t>
      </w:r>
      <w:r>
        <w:rPr>
          <w:sz w:val="20"/>
          <w:szCs w:val="20"/>
          <w:color w:val="auto"/>
        </w:rPr>
        <w:tab/>
      </w:r>
      <w:r>
        <w:rPr>
          <w:rFonts w:ascii="Times New Roman" w:cs="Times New Roman" w:eastAsia="Times New Roman" w:hAnsi="Times New Roman"/>
          <w:sz w:val="17"/>
          <w:szCs w:val="17"/>
          <w:u w:val="single" w:color="auto"/>
          <w:color w:val="auto"/>
        </w:rPr>
        <w:t>Reliance by Administrative Agent..</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217" w:lineRule="exact"/>
        <w:rPr>
          <w:sz w:val="20"/>
          <w:szCs w:val="20"/>
          <w:color w:val="auto"/>
        </w:rPr>
      </w:pPr>
    </w:p>
    <w:p>
      <w:pPr>
        <w:ind w:left="1300"/>
        <w:spacing w:after="0"/>
        <w:tabs>
          <w:tab w:leader="none" w:pos="1980" w:val="left"/>
          <w:tab w:leader="none" w:pos="4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Delegation of Duties.10.05</w:t>
        <w:tab/>
        <w:t>Delegation of Duties..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17" w:lineRule="exact"/>
        <w:rPr>
          <w:sz w:val="20"/>
          <w:szCs w:val="20"/>
          <w:color w:val="auto"/>
        </w:rPr>
      </w:pPr>
    </w:p>
    <w:p>
      <w:pPr>
        <w:ind w:left="1300"/>
        <w:spacing w:after="0"/>
        <w:tabs>
          <w:tab w:leader="none" w:pos="1980" w:val="left"/>
          <w:tab w:leader="none" w:pos="5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Resignation of Administrative Agent.10.06</w:t>
      </w:r>
      <w:r>
        <w:rPr>
          <w:sz w:val="20"/>
          <w:szCs w:val="20"/>
          <w:color w:val="auto"/>
        </w:rPr>
        <w:tab/>
      </w:r>
      <w:r>
        <w:rPr>
          <w:rFonts w:ascii="Times New Roman" w:cs="Times New Roman" w:eastAsia="Times New Roman" w:hAnsi="Times New Roman"/>
          <w:sz w:val="17"/>
          <w:szCs w:val="17"/>
          <w:u w:val="single" w:color="auto"/>
          <w:color w:val="auto"/>
        </w:rPr>
        <w:t>Resignation of Administrative Agent..</w:t>
      </w:r>
    </w:p>
    <w:p>
      <w:pPr>
        <w:spacing w:after="0" w:line="50" w:lineRule="exact"/>
        <w:rPr>
          <w:sz w:val="20"/>
          <w:szCs w:val="20"/>
          <w:color w:val="auto"/>
        </w:rPr>
      </w:pPr>
    </w:p>
    <w:p>
      <w:pPr>
        <w:jc w:val="both"/>
        <w:ind w:left="660" w:firstLine="645"/>
        <w:spacing w:after="0" w:line="297" w:lineRule="auto"/>
        <w:tabs>
          <w:tab w:leader="none" w:pos="215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 and the Borrower. Upon receipt of any such notice of resignation, the Required Lenders shall have the right (with the consent of the Borrower (not to be unreasonably withheld or delayed), so long as no Event of Default is then continuing), to appoint a successor, which shall be a bank with an office in the United States, or an Affiliate of any such bank with an office in the United States. If no such successor shall have been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L/C Issuer,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301" w:lineRule="auto"/>
        <w:tabs>
          <w:tab w:leader="none" w:pos="92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w:t>
      </w:r>
    </w:p>
    <w:p>
      <w:pPr>
        <w:sectPr>
          <w:pgSz w:w="11900" w:h="16838" w:orient="portrait"/>
          <w:cols w:equalWidth="0" w:num="1">
            <w:col w:w="11420"/>
          </w:cols>
          <w:pgMar w:left="240" w:top="607" w:right="239" w:bottom="1440" w:gutter="0" w:footer="0" w:header="0"/>
        </w:sectPr>
      </w:pPr>
    </w:p>
    <w:bookmarkStart w:id="115" w:name="page116"/>
    <w:bookmarkEnd w:id="115"/>
    <w:p>
      <w:pPr>
        <w:jc w:val="both"/>
        <w:ind w:left="660"/>
        <w:spacing w:after="0" w:line="291" w:lineRule="auto"/>
        <w:rPr>
          <w:sz w:val="20"/>
          <w:szCs w:val="20"/>
          <w:color w:val="auto"/>
        </w:rPr>
      </w:pPr>
      <w:r>
        <w:rPr>
          <w:rFonts w:ascii="Times New Roman" w:cs="Times New Roman" w:eastAsia="Times New Roman" w:hAnsi="Times New Roman"/>
          <w:sz w:val="18"/>
          <w:szCs w:val="18"/>
          <w:color w:val="auto"/>
        </w:rPr>
        <w:t xml:space="preserve">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resignation by or removal of Bank of America as Administrative Agent pursuant to this Section shall also constitute its resignation or removal as L/C Issuer and Swing Line Lender.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23" w:lineRule="exact"/>
        <w:rPr>
          <w:sz w:val="20"/>
          <w:szCs w:val="20"/>
          <w:color w:val="auto"/>
        </w:rPr>
      </w:pPr>
    </w:p>
    <w:p>
      <w:pPr>
        <w:ind w:left="1300"/>
        <w:spacing w:after="0"/>
        <w:tabs>
          <w:tab w:leader="none" w:pos="1980" w:val="left"/>
          <w:tab w:leader="none" w:pos="6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Non-Reliance on Administrative Agent and Other Lenders.10.07</w:t>
        <w:tab/>
        <w:t>Non-Reliance on Administrative Agent and Other Lenders..</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5" w:lineRule="exact"/>
        <w:rPr>
          <w:sz w:val="20"/>
          <w:szCs w:val="20"/>
          <w:color w:val="auto"/>
        </w:rPr>
      </w:pPr>
    </w:p>
    <w:p>
      <w:pPr>
        <w:ind w:left="1300"/>
        <w:spacing w:after="0"/>
        <w:tabs>
          <w:tab w:leader="none" w:pos="1980" w:val="left"/>
          <w:tab w:leader="none" w:pos="4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 Other Duties; Etc.10.08</w:t>
      </w:r>
      <w:r>
        <w:rPr>
          <w:sz w:val="20"/>
          <w:szCs w:val="20"/>
          <w:color w:val="auto"/>
        </w:rPr>
        <w:tab/>
      </w:r>
      <w:r>
        <w:rPr>
          <w:rFonts w:ascii="Times New Roman" w:cs="Times New Roman" w:eastAsia="Times New Roman" w:hAnsi="Times New Roman"/>
          <w:sz w:val="17"/>
          <w:szCs w:val="17"/>
          <w:u w:val="single" w:color="auto"/>
          <w:color w:val="auto"/>
        </w:rPr>
        <w:t>No Other Duties; Etc..</w:t>
      </w:r>
    </w:p>
    <w:p>
      <w:pPr>
        <w:spacing w:after="0" w:line="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Anything herein to the contrary notwithstanding, none of the joint bookrunners, joint lead arrangers, syndication agents, co-documentation agents or co-agents shall have any powers, duties or responsibilities under this Agreement or any of the other Loan Documents, except in its capacity, as applicable, as the Administrative Agent, a Lender or the L/C Issuer hereunder.</w:t>
      </w:r>
    </w:p>
    <w:p>
      <w:pPr>
        <w:spacing w:after="0" w:line="206" w:lineRule="exact"/>
        <w:rPr>
          <w:sz w:val="20"/>
          <w:szCs w:val="20"/>
          <w:color w:val="auto"/>
        </w:rPr>
      </w:pPr>
    </w:p>
    <w:p>
      <w:pPr>
        <w:ind w:left="1300"/>
        <w:spacing w:after="0"/>
        <w:tabs>
          <w:tab w:leader="none" w:pos="1980" w:val="left"/>
          <w:tab w:leader="none" w:pos="6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Administrative Agent May File Proofs of Claim.10.09</w:t>
        <w:tab/>
        <w:t>Administrative Agent May File Proofs of Claim..</w:t>
      </w:r>
    </w:p>
    <w:p>
      <w:pPr>
        <w:spacing w:after="0" w:line="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9" w:lineRule="exact"/>
        <w:rPr>
          <w:sz w:val="20"/>
          <w:szCs w:val="20"/>
          <w:color w:val="auto"/>
        </w:rPr>
      </w:pPr>
    </w:p>
    <w:p>
      <w:pPr>
        <w:jc w:val="both"/>
        <w:ind w:left="660" w:firstLine="645"/>
        <w:spacing w:after="0" w:line="297" w:lineRule="auto"/>
        <w:tabs>
          <w:tab w:leader="none" w:pos="215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Obligations (other than obligations under Swap Contracts or Treasury Management Agreements to which the Administrative Agent is not a party)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w:t>
      </w:r>
    </w:p>
    <w:p>
      <w:pPr>
        <w:sectPr>
          <w:pgSz w:w="11900" w:h="16838" w:orient="portrait"/>
          <w:cols w:equalWidth="0" w:num="1">
            <w:col w:w="11420"/>
          </w:cols>
          <w:pgMar w:left="240" w:top="607"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 xml:space="preserve">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(a)(i) through (iv)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holder of the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holder of the Obligations or any acquisition vehicle to take any further action.</w:t>
      </w:r>
    </w:p>
    <w:p>
      <w:pPr>
        <w:spacing w:after="0" w:line="234" w:lineRule="exact"/>
        <w:rPr>
          <w:sz w:val="20"/>
          <w:szCs w:val="20"/>
          <w:color w:val="auto"/>
        </w:rPr>
      </w:pPr>
    </w:p>
    <w:p>
      <w:pPr>
        <w:ind w:left="1300"/>
        <w:spacing w:after="0"/>
        <w:tabs>
          <w:tab w:leader="none" w:pos="1980" w:val="left"/>
          <w:tab w:leader="none" w:pos="4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Collateral and Guaranty Matters.10.10</w:t>
      </w:r>
      <w:r>
        <w:rPr>
          <w:sz w:val="20"/>
          <w:szCs w:val="20"/>
          <w:color w:val="auto"/>
        </w:rPr>
        <w:tab/>
      </w:r>
      <w:r>
        <w:rPr>
          <w:rFonts w:ascii="Times New Roman" w:cs="Times New Roman" w:eastAsia="Times New Roman" w:hAnsi="Times New Roman"/>
          <w:sz w:val="17"/>
          <w:szCs w:val="17"/>
          <w:u w:val="single" w:color="auto"/>
          <w:color w:val="auto"/>
        </w:rPr>
        <w:t>Collateral and Guaranty Matters..</w:t>
      </w:r>
    </w:p>
    <w:p>
      <w:pPr>
        <w:spacing w:after="0" w:line="2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Each Lender (including in its capacities as a potential Treasury Management Bank and a potential Swap Bank) and the L/C Issuer irrevocably authorize the Administrative Agent, at its option and in its discretion:</w:t>
      </w:r>
    </w:p>
    <w:p>
      <w:pPr>
        <w:spacing w:after="0" w:line="194" w:lineRule="exact"/>
        <w:rPr>
          <w:sz w:val="20"/>
          <w:szCs w:val="20"/>
          <w:color w:val="auto"/>
        </w:rPr>
      </w:pPr>
    </w:p>
    <w:p>
      <w:pPr>
        <w:jc w:val="both"/>
        <w:ind w:left="660" w:firstLine="645"/>
        <w:spacing w:after="0" w:line="297" w:lineRule="auto"/>
        <w:tabs>
          <w:tab w:leader="none" w:pos="215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Collateral granted to or held by the Administrative Agent under any Loan Document (i) upon termination of the Aggregate Revolving Commitments and payment in full of all Obligations (other than contingent indemnification obligations) and the expiration or termination of all Letters of Credit, (ii) that is sold or otherwise disposed of or to be sold or otherwise disposed of as part of or in connection with any sale or other Disposition permitted hereunder or under any other Loan Document or any Involuntary Disposition, or (iii) as approved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660" w:right="20" w:firstLine="645"/>
        <w:spacing w:after="0" w:line="297" w:lineRule="auto"/>
        <w:tabs>
          <w:tab w:leader="none" w:pos="216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and</w:t>
      </w:r>
    </w:p>
    <w:p>
      <w:pPr>
        <w:ind w:left="2160" w:hanging="855"/>
        <w:spacing w:after="0"/>
        <w:tabs>
          <w:tab w:leader="none" w:pos="21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from its obligations under the Guaranty if such Person ceases to be a Subsidiary as a result of a</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permitted under the Loan Documents.</w:t>
      </w:r>
    </w:p>
    <w:p>
      <w:pPr>
        <w:spacing w:after="0" w:line="27" w:lineRule="exact"/>
        <w:rPr>
          <w:rFonts w:ascii="Times New Roman" w:cs="Times New Roman" w:eastAsia="Times New Roman" w:hAnsi="Times New Roman"/>
          <w:sz w:val="18"/>
          <w:szCs w:val="18"/>
          <w:color w:val="auto"/>
        </w:rPr>
      </w:pPr>
    </w:p>
    <w:p>
      <w:pPr>
        <w:jc w:val="both"/>
        <w:ind w:left="660" w:firstLine="648"/>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w:t>
      </w:r>
    </w:p>
    <w:p>
      <w:pPr>
        <w:sectPr>
          <w:pgSz w:w="11900" w:h="16838" w:orient="portrait"/>
          <w:cols w:equalWidth="0" w:num="1">
            <w:col w:w="11420"/>
          </w:cols>
          <w:pgMar w:left="240" w:top="580" w:right="2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the Administrative Agent be responsible or liable to the Lenders for any failure to monitor or maintain any portion of the Collateral.</w:t>
      </w:r>
    </w:p>
    <w:p>
      <w:pPr>
        <w:spacing w:after="0" w:line="252" w:lineRule="exact"/>
        <w:rPr>
          <w:sz w:val="20"/>
          <w:szCs w:val="20"/>
          <w:color w:val="auto"/>
        </w:rPr>
      </w:pPr>
    </w:p>
    <w:p>
      <w:pPr>
        <w:ind w:left="1300"/>
        <w:spacing w:after="0"/>
        <w:tabs>
          <w:tab w:leader="none" w:pos="1980" w:val="left"/>
          <w:tab w:leader="none" w:pos="5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Treasury Management Banks and Swap Banks.10.11</w:t>
      </w:r>
      <w:r>
        <w:rPr>
          <w:sz w:val="20"/>
          <w:szCs w:val="20"/>
          <w:color w:val="auto"/>
        </w:rPr>
        <w:tab/>
      </w:r>
      <w:r>
        <w:rPr>
          <w:rFonts w:ascii="Times New Roman" w:cs="Times New Roman" w:eastAsia="Times New Roman" w:hAnsi="Times New Roman"/>
          <w:sz w:val="17"/>
          <w:szCs w:val="17"/>
          <w:u w:val="single" w:color="auto"/>
          <w:color w:val="auto"/>
        </w:rPr>
        <w:t>Treasury Management Banks and Swap Banks..</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 Treasury Management Bank or Swap Bank that obtains the benefit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Treasury Management Agreements and Secured Swap Agreements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as the case may be. The Administrative Agent shall not be required to verify the payment of, or that other satisfactory arrangements have been made with respect to, Obligations arising under Secured Treasury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Management Agreements and Secured Swap Agreements.</w:t>
            </w:r>
          </w:p>
        </w:tc>
        <w:tc>
          <w:tcPr>
            <w:tcW w:w="2120" w:type="dxa"/>
            <w:vAlign w:val="bottom"/>
          </w:tcPr>
          <w:p>
            <w:pPr>
              <w:spacing w:after="0"/>
              <w:rPr>
                <w:sz w:val="20"/>
                <w:szCs w:val="20"/>
                <w:color w:val="auto"/>
              </w:rPr>
            </w:pPr>
          </w:p>
        </w:tc>
      </w:tr>
      <w:tr>
        <w:trPr>
          <w:trHeight w:val="414"/>
        </w:trPr>
        <w:tc>
          <w:tcPr>
            <w:tcW w:w="6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ARTICLE XXXI</w:t>
            </w:r>
          </w:p>
        </w:tc>
        <w:tc>
          <w:tcPr>
            <w:tcW w:w="2120" w:type="dxa"/>
            <w:vAlign w:val="bottom"/>
          </w:tcPr>
          <w:p>
            <w:pPr>
              <w:spacing w:after="0"/>
              <w:rPr>
                <w:sz w:val="24"/>
                <w:szCs w:val="24"/>
                <w:color w:val="auto"/>
              </w:rPr>
            </w:pPr>
          </w:p>
        </w:tc>
      </w:tr>
      <w:tr>
        <w:trPr>
          <w:trHeight w:val="243"/>
        </w:trPr>
        <w:tc>
          <w:tcPr>
            <w:tcW w:w="1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ARTICLE XXXII</w:t>
            </w:r>
          </w:p>
        </w:tc>
        <w:tc>
          <w:tcPr>
            <w:tcW w:w="2120" w:type="dxa"/>
            <w:vAlign w:val="bottom"/>
          </w:tcPr>
          <w:p>
            <w:pPr>
              <w:spacing w:after="0"/>
              <w:rPr>
                <w:sz w:val="21"/>
                <w:szCs w:val="21"/>
                <w:color w:val="auto"/>
              </w:rPr>
            </w:pPr>
          </w:p>
        </w:tc>
      </w:tr>
      <w:tr>
        <w:trPr>
          <w:trHeight w:val="257"/>
        </w:trPr>
        <w:tc>
          <w:tcPr>
            <w:tcW w:w="1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ARTICLE XXXIII</w:t>
            </w:r>
          </w:p>
        </w:tc>
        <w:tc>
          <w:tcPr>
            <w:tcW w:w="2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MISCELLANEOUS</w:t>
            </w:r>
          </w:p>
        </w:tc>
      </w:tr>
      <w:tr>
        <w:trPr>
          <w:trHeight w:val="216"/>
        </w:trPr>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Amendments, Etc.11.01  Amendments, Etc..</w:t>
            </w:r>
          </w:p>
        </w:tc>
        <w:tc>
          <w:tcPr>
            <w:tcW w:w="212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firstLine="656"/>
        <w:spacing w:after="0" w:line="256" w:lineRule="auto"/>
        <w:tabs>
          <w:tab w:leader="none" w:pos="103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(which acknowledgment shall not be unreasonably withheld or delayed, and, for purposes of clarity, such acknowledgment being required only with respect to the form of amendment or other documentation but not the substance of the amendment or other documentation),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187"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consent shall:</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401"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 Lender (or reinstate any Commitment terminated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of any Default or a mandatory reduction in Commitments is not considered an extension or increase in Commitments of any Lender);</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385"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of principal (excluding mandatory prepayments),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382"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clause (i) of the final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receive such payment of principal, interest, fees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or Letter of Credit Fees at the Default Rate;</w:t>
      </w:r>
    </w:p>
    <w:p>
      <w:pPr>
        <w:spacing w:after="0" w:line="183" w:lineRule="exact"/>
        <w:rPr>
          <w:rFonts w:ascii="Times New Roman" w:cs="Times New Roman" w:eastAsia="Times New Roman" w:hAnsi="Times New Roman"/>
          <w:sz w:val="18"/>
          <w:szCs w:val="18"/>
          <w:color w:val="auto"/>
        </w:rPr>
      </w:pPr>
    </w:p>
    <w:p>
      <w:pPr>
        <w:ind w:left="1300" w:firstLine="653"/>
        <w:spacing w:after="0" w:line="282" w:lineRule="auto"/>
        <w:tabs>
          <w:tab w:leader="none" w:pos="24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w:t>
      </w:r>
    </w:p>
    <w:p>
      <w:pPr>
        <w:spacing w:after="0" w:line="161"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the definition of “Required Lenders” without the written consent of each</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6"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362"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a Disposition permitted under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release all or substantially all of the Collateral without the written consent of each Lender; or</w:t>
      </w:r>
    </w:p>
    <w:p>
      <w:pPr>
        <w:sectPr>
          <w:pgSz w:w="11900" w:h="16838" w:orient="portrait"/>
          <w:cols w:equalWidth="0" w:num="1">
            <w:col w:w="11420"/>
          </w:cols>
          <w:pgMar w:left="240" w:top="580" w:right="239" w:bottom="1440" w:gutter="0" w:footer="0" w:header="0"/>
        </w:sectPr>
      </w:pPr>
    </w:p>
    <w:bookmarkStart w:id="118" w:name="page119"/>
    <w:bookmarkEnd w:id="118"/>
    <w:p>
      <w:pPr>
        <w:jc w:val="both"/>
        <w:ind w:left="1300" w:firstLine="653"/>
        <w:spacing w:after="0" w:line="261" w:lineRule="auto"/>
        <w:tabs>
          <w:tab w:leader="none" w:pos="241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the Borrower or, except in connection with a merger or consolidation permitted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a Disposition permitted under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all or substantially all of the Guarantors without the written consent of each Lender, except to the extent the release of any Guarantor is permitted pursuant to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81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Swing Line Lender, no amendment, waiver or consent shall affect the rights or duties of the Swing Line Lender under this Agreement;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93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also signed by the Administrative Agent, no amendment, waiver or consent shall affect the rights or duties of the Administrative Agent under this Agreement or any other Loan Document;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herein, (i) the Fee Letter and any Auto Borrow Agreement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w:t>
      </w:r>
    </w:p>
    <w:p>
      <w:pPr>
        <w:spacing w:after="0" w:line="186" w:lineRule="exact"/>
        <w:rPr>
          <w:sz w:val="20"/>
          <w:szCs w:val="20"/>
          <w:color w:val="auto"/>
        </w:rPr>
      </w:pPr>
    </w:p>
    <w:p>
      <w:pPr>
        <w:jc w:val="both"/>
        <w:ind w:firstLine="562"/>
        <w:spacing w:after="0" w:line="252" w:lineRule="auto"/>
        <w:tabs>
          <w:tab w:leader="none" w:pos="9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(x) this Agreement may be amended (or amended and restated) with the written consent of the Required Lenders, the Administrative Agent, the Borrower, the other Loan Parties and the relevant Lenders providing such additional credit facilities (i) to add one or more additional credit facilities to this Agreement, to permit the extensions of credit from time to time outstanding hereunder and the accrued interest and fees in respect thereof to share ratably in the benefits of this Agreement and the other Loan Documents with the Revolving Loans and the accrued interest and fees in respect thereof and to include appropriately the Lenders holding such credit facilities in any determination of the Required Lenders and (ii) to change, modify or alter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or any other provision hereof relating to the pro rata sharing of payments among the Lenders to the extent necessary to effectuate any of the amendments (or amendments and restatements) enumerated in this clause (x), (y) in order to implement any additional Commitments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this Agreement may be amended for such purpose (but solely to the extent necessary to implement such additional Commitments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by the Borrower, the other Loan Parties, the Administrative Agent and the relevant Lenders providing such additional Commitments and (z) if following the Closing Date, the Administrative Agent and the Borrower shall have jointly identified an inconsistency, obvious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98" w:lineRule="exact"/>
        <w:rPr>
          <w:rFonts w:ascii="Times New Roman" w:cs="Times New Roman" w:eastAsia="Times New Roman" w:hAnsi="Times New Roman"/>
          <w:sz w:val="18"/>
          <w:szCs w:val="18"/>
          <w:color w:val="auto"/>
        </w:rPr>
      </w:pPr>
    </w:p>
    <w:p>
      <w:pPr>
        <w:jc w:val="both"/>
        <w:ind w:right="20" w:firstLine="562"/>
        <w:spacing w:after="0" w:line="258" w:lineRule="auto"/>
        <w:tabs>
          <w:tab w:leader="none" w:pos="93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as to any amendment, amendment and restatement or other modifications otherwise approved in accordance with this Section,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211" w:lineRule="exact"/>
        <w:rPr>
          <w:sz w:val="20"/>
          <w:szCs w:val="20"/>
          <w:color w:val="auto"/>
        </w:rPr>
      </w:pPr>
    </w:p>
    <w:p>
      <w:pPr>
        <w:ind w:left="1300"/>
        <w:spacing w:after="0"/>
        <w:tabs>
          <w:tab w:leader="none" w:pos="1980" w:val="left"/>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Notices and Other Communications; Facsimile Copies.11.02</w:t>
        <w:tab/>
        <w:t>Notices and Other Communications; Facsimile Copies..</w:t>
      </w:r>
    </w:p>
    <w:p>
      <w:pPr>
        <w:spacing w:after="0" w:line="50" w:lineRule="exact"/>
        <w:rPr>
          <w:sz w:val="20"/>
          <w:szCs w:val="20"/>
          <w:color w:val="auto"/>
        </w:rPr>
      </w:pPr>
    </w:p>
    <w:p>
      <w:pPr>
        <w:jc w:val="both"/>
        <w:ind w:left="660" w:firstLine="645"/>
        <w:spacing w:after="0" w:line="308" w:lineRule="auto"/>
        <w:tabs>
          <w:tab w:leader="none" w:pos="21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ectPr>
          <w:pgSz w:w="11900" w:h="16838" w:orient="portrait"/>
          <w:cols w:equalWidth="0" w:num="1">
            <w:col w:w="11420"/>
          </w:cols>
          <w:pgMar w:left="240" w:top="580" w:right="239" w:bottom="1440" w:gutter="0" w:footer="0" w:header="0"/>
        </w:sectPr>
      </w:pPr>
    </w:p>
    <w:bookmarkStart w:id="119" w:name="page120"/>
    <w:bookmarkEnd w:id="119"/>
    <w:p>
      <w:pPr>
        <w:ind w:left="640" w:right="20" w:firstLine="653"/>
        <w:spacing w:after="0" w:line="297" w:lineRule="auto"/>
        <w:tabs>
          <w:tab w:leader="none" w:pos="21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any other Loan Party, the Administrative Agent, the L/C Issuer or the Swing Line Lender, to the address, facsimile number, e-mail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jc w:val="both"/>
        <w:ind w:left="640" w:firstLine="653"/>
        <w:spacing w:after="0" w:line="288" w:lineRule="auto"/>
        <w:tabs>
          <w:tab w:leader="none" w:pos="21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facsimile or e-mail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210" w:lineRule="exact"/>
        <w:rPr>
          <w:sz w:val="20"/>
          <w:szCs w:val="20"/>
          <w:color w:val="auto"/>
        </w:rPr>
      </w:pPr>
    </w:p>
    <w:p>
      <w:pPr>
        <w:jc w:val="both"/>
        <w:ind w:firstLine="645"/>
        <w:spacing w:after="0" w:line="297" w:lineRule="auto"/>
        <w:tabs>
          <w:tab w:leader="none" w:pos="150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 hereunder may be delivered or furnished by electronic communication (including e-mail address and Internet or intranet websites) pursuant to procedures approved by the Administrative Agent.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procedures may be limited to particular notices or communications.</w:t>
      </w:r>
    </w:p>
    <w:p>
      <w:pPr>
        <w:spacing w:after="0" w:line="27" w:lineRule="exact"/>
        <w:rPr>
          <w:rFonts w:ascii="Times New Roman" w:cs="Times New Roman" w:eastAsia="Times New Roman" w:hAnsi="Times New Roman"/>
          <w:sz w:val="18"/>
          <w:szCs w:val="18"/>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17" w:lineRule="exact"/>
        <w:rPr>
          <w:rFonts w:ascii="Times New Roman" w:cs="Times New Roman" w:eastAsia="Times New Roman" w:hAnsi="Times New Roman"/>
          <w:sz w:val="18"/>
          <w:szCs w:val="18"/>
          <w:color w:val="auto"/>
        </w:rPr>
      </w:pPr>
    </w:p>
    <w:p>
      <w:pPr>
        <w:jc w:val="both"/>
        <w:ind w:firstLine="645"/>
        <w:spacing w:after="0" w:line="297" w:lineRule="auto"/>
        <w:tabs>
          <w:tab w:leader="none" w:pos="14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any other Information through the Internet or any telecommunications, electronic or other information transmission systems.</w:t>
      </w:r>
    </w:p>
    <w:p>
      <w:pPr>
        <w:spacing w:after="0" w:line="4"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or e-mail address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5" w:lineRule="exact"/>
        <w:rPr>
          <w:rFonts w:ascii="Times New Roman" w:cs="Times New Roman" w:eastAsia="Times New Roman" w:hAnsi="Times New Roman"/>
          <w:sz w:val="18"/>
          <w:szCs w:val="18"/>
          <w:color w:val="auto"/>
        </w:rPr>
      </w:pPr>
    </w:p>
    <w:p>
      <w:pPr>
        <w:jc w:val="both"/>
        <w:ind w:firstLine="645"/>
        <w:spacing w:after="0" w:line="313" w:lineRule="auto"/>
        <w:tabs>
          <w:tab w:leader="none" w:pos="149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w:t>
      </w:r>
    </w:p>
    <w:p>
      <w:pPr>
        <w:sectPr>
          <w:pgSz w:w="11900" w:h="16838" w:orient="portrait"/>
          <w:cols w:equalWidth="0" w:num="1">
            <w:col w:w="10760"/>
          </w:cols>
          <w:pgMar w:left="900" w:top="607" w:right="239" w:bottom="1440" w:gutter="0" w:footer="0" w:header="0"/>
        </w:sectPr>
      </w:pPr>
    </w:p>
    <w:bookmarkStart w:id="120" w:name="page121"/>
    <w:bookmarkEnd w:id="120"/>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3" w:lineRule="exact"/>
        <w:rPr>
          <w:sz w:val="20"/>
          <w:szCs w:val="20"/>
          <w:color w:val="auto"/>
        </w:rPr>
      </w:pPr>
    </w:p>
    <w:p>
      <w:pPr>
        <w:ind w:left="660"/>
        <w:spacing w:after="0"/>
        <w:tabs>
          <w:tab w:leader="none" w:pos="1320" w:val="left"/>
          <w:tab w:leader="none" w:pos="5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 Waiver; Cumulative Remedies; Enforcement.11.03</w:t>
        <w:tab/>
        <w:t>No Waiver; Cumulative Remedies; Enforcement..</w:t>
      </w:r>
    </w:p>
    <w:p>
      <w:pPr>
        <w:spacing w:after="0" w:line="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for the benefit of all the Lenders and the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in addition to the matters set forth in clauses (b), (c) and (d)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18" w:lineRule="exact"/>
        <w:rPr>
          <w:sz w:val="20"/>
          <w:szCs w:val="20"/>
          <w:color w:val="auto"/>
        </w:rPr>
      </w:pPr>
    </w:p>
    <w:p>
      <w:pPr>
        <w:ind w:left="1300"/>
        <w:spacing w:after="0"/>
        <w:tabs>
          <w:tab w:leader="none" w:pos="1980" w:val="left"/>
          <w:tab w:leader="none" w:pos="5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Expenses; Indemnity; and Damage Waiver.11.04</w:t>
      </w:r>
      <w:r>
        <w:rPr>
          <w:sz w:val="20"/>
          <w:szCs w:val="20"/>
          <w:color w:val="auto"/>
        </w:rPr>
        <w:tab/>
      </w:r>
      <w:r>
        <w:rPr>
          <w:rFonts w:ascii="Times New Roman" w:cs="Times New Roman" w:eastAsia="Times New Roman" w:hAnsi="Times New Roman"/>
          <w:sz w:val="17"/>
          <w:szCs w:val="17"/>
          <w:u w:val="single" w:color="auto"/>
          <w:color w:val="auto"/>
        </w:rPr>
        <w:t>Expenses; Indemnity; and Damage Waiver..</w:t>
      </w:r>
    </w:p>
    <w:p>
      <w:pPr>
        <w:spacing w:after="0" w:line="27" w:lineRule="exact"/>
        <w:rPr>
          <w:sz w:val="20"/>
          <w:szCs w:val="20"/>
          <w:color w:val="auto"/>
        </w:rPr>
      </w:pPr>
    </w:p>
    <w:p>
      <w:pPr>
        <w:jc w:val="both"/>
        <w:ind w:left="660" w:firstLine="645"/>
        <w:spacing w:after="0" w:line="257" w:lineRule="exact"/>
        <w:tabs>
          <w:tab w:leader="none" w:pos="21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Loan Parties shall pay (i) all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the Arrangers and their Affiliates (including the reasonable fees, charges and disbursements of one primary counsel for the Administrative Agent and the Arrangers and of one special and local counsel to the Administrative Agent, the Arrangers and the Lenders in each applicable jurisdiction retained by the Administrative Agent and, in the event of any actual or potential conflict of interest, one additional counsel for each party subject to a conflict) in connection with the syndication of the credit facilities provided for herein, the preparation, negotiation, execution, delivery and</w:t>
      </w:r>
    </w:p>
    <w:p>
      <w:pPr>
        <w:spacing w:after="0" w:line="24" w:lineRule="exact"/>
        <w:rPr>
          <w:rFonts w:ascii="Times New Roman" w:cs="Times New Roman" w:eastAsia="Times New Roman" w:hAnsi="Times New Roman"/>
          <w:sz w:val="18"/>
          <w:szCs w:val="18"/>
          <w:color w:val="auto"/>
        </w:rPr>
      </w:pPr>
    </w:p>
    <w:p>
      <w:pPr>
        <w:jc w:val="both"/>
        <w:ind w:left="660"/>
        <w:spacing w:after="0" w:line="25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this Agreement and the other Loan Documents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L/C Issuer in connection with the issuance, amendment, renewal or extension of any Letter of Credit or any demand for payment thereunder, (iii)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(including the reasonable fees, charges and disbursements of any counsel for the Administrative Agent) in connection with the enforcement or protection of its rights prior to a Default or an Event of Default (A) in connection with</w:t>
      </w:r>
    </w:p>
    <w:p>
      <w:pPr>
        <w:spacing w:after="0" w:line="23" w:lineRule="exact"/>
        <w:rPr>
          <w:rFonts w:ascii="Times New Roman" w:cs="Times New Roman" w:eastAsia="Times New Roman" w:hAnsi="Times New Roman"/>
          <w:sz w:val="18"/>
          <w:szCs w:val="18"/>
          <w:color w:val="auto"/>
        </w:rPr>
      </w:pPr>
    </w:p>
    <w:p>
      <w:pPr>
        <w:jc w:val="both"/>
        <w:ind w:left="660"/>
        <w:spacing w:after="0" w:line="25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and (iv) all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any Lender or the L/C Issuer (including the reasonable fees, charges and disbursements of any counsel for the Administrative Agent, any Lender or the L/C Issuer) in connection with the enforcement or protection of its rights incurred while a Default or an Event of Default is continuing (A) in connection with this Agreement and the other Loan</w:t>
      </w:r>
    </w:p>
    <w:p>
      <w:pPr>
        <w:spacing w:after="0" w:line="23" w:lineRule="exact"/>
        <w:rPr>
          <w:rFonts w:ascii="Times New Roman" w:cs="Times New Roman" w:eastAsia="Times New Roman" w:hAnsi="Times New Roman"/>
          <w:sz w:val="18"/>
          <w:szCs w:val="18"/>
          <w:color w:val="auto"/>
        </w:rPr>
      </w:pPr>
    </w:p>
    <w:p>
      <w:pPr>
        <w:ind w:left="660" w:right="20"/>
        <w:spacing w:after="0" w:line="25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including its rights under this Section, or (B) in connection with the Loans made or Letters of Credit issued hereunder, including all such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305" w:lineRule="auto"/>
        <w:tabs>
          <w:tab w:leader="none" w:pos="216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out-of-pocket expenses (including the reasonable fees, charges and disbursements of one primary outside counsel and one special and local counsel in each applicable jurisdiction for all Indemnitees taken as a</w:t>
      </w:r>
    </w:p>
    <w:p>
      <w:pPr>
        <w:sectPr>
          <w:pgSz w:w="11900" w:h="16838" w:orient="portrait"/>
          <w:cols w:equalWidth="0" w:num="1">
            <w:col w:w="11420"/>
          </w:cols>
          <w:pgMar w:left="240" w:top="607" w:right="239" w:bottom="1440" w:gutter="0" w:footer="0" w:header="0"/>
        </w:sectPr>
      </w:pPr>
    </w:p>
    <w:bookmarkStart w:id="121" w:name="page122"/>
    <w:bookmarkEnd w:id="121"/>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whole and, in the case of an actual or potential conflict of interest, one additional counsel for each Indemnitee (or Indemnitees similarly situated taken as a whole) subject to such conflict)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any of the following (in which case the applicable Indemnitee shall return promptly indemnification payments made to it hereunder to the extent that such payments were made with respect to losses, claims, damages, liabilities or related expenses determined by a court of competent jurisdiction by final and nonappealable judgment to have resulted from any of the following): (A) the gross negligence, willful misconduct or bad faith of such Indemnitee, (B) such Indemnitee’s material breach of its obligations under this Agreement or the other Loan Documents or (C) disputes solely among Indemnitees other than any claims against an Indemnitee in its capacity or in fulfilling its role as the Administrative Agent and other than any claims arising out of any act or omission on the part of the Borrower or any of its Affiliates, if the Borrower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0" w:lineRule="exact"/>
        <w:rPr>
          <w:sz w:val="20"/>
          <w:szCs w:val="20"/>
          <w:color w:val="auto"/>
        </w:rPr>
      </w:pPr>
    </w:p>
    <w:p>
      <w:pPr>
        <w:jc w:val="both"/>
        <w:ind w:firstLine="645"/>
        <w:spacing w:after="0" w:line="297" w:lineRule="auto"/>
        <w:tabs>
          <w:tab w:leader="none" w:pos="149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Loan Parties for any reason fail to indefeasibly pay any amount required under subsection (a) 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jc w:val="both"/>
        <w:ind w:firstLine="645"/>
        <w:spacing w:after="0" w:line="297" w:lineRule="auto"/>
        <w:tabs>
          <w:tab w:leader="none" w:pos="150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party to any Loan Document shall assert, and each party to any Loan Document hereby waives, and acknowledges that no other party to any Loan Document shall have, any claim against any party to any Loan Document,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3"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49" w:lineRule="exact"/>
        <w:rPr>
          <w:rFonts w:ascii="Times New Roman" w:cs="Times New Roman" w:eastAsia="Times New Roman" w:hAnsi="Times New Roman"/>
          <w:sz w:val="18"/>
          <w:szCs w:val="18"/>
          <w:color w:val="auto"/>
        </w:rPr>
      </w:pPr>
    </w:p>
    <w:p>
      <w:pPr>
        <w:jc w:val="both"/>
        <w:ind w:firstLine="645"/>
        <w:spacing w:after="0" w:line="313" w:lineRule="auto"/>
        <w:tabs>
          <w:tab w:leader="none" w:pos="14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provisions of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ectPr>
          <w:pgSz w:w="11900" w:h="16838" w:orient="portrait"/>
          <w:cols w:equalWidth="0" w:num="1">
            <w:col w:w="10760"/>
          </w:cols>
          <w:pgMar w:left="900" w:top="607" w:right="239" w:bottom="1440" w:gutter="0" w:footer="0" w:header="0"/>
        </w:sectPr>
      </w:pPr>
    </w:p>
    <w:bookmarkStart w:id="122" w:name="page123"/>
    <w:bookmarkEnd w:id="122"/>
    <w:p>
      <w:pPr>
        <w:ind w:left="660"/>
        <w:spacing w:after="0"/>
        <w:tabs>
          <w:tab w:leader="none" w:pos="1320" w:val="left"/>
          <w:tab w:leader="none" w:pos="3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Payments Set Aside.11.05</w:t>
      </w:r>
      <w:r>
        <w:rPr>
          <w:sz w:val="20"/>
          <w:szCs w:val="20"/>
          <w:color w:val="auto"/>
        </w:rPr>
        <w:tab/>
      </w:r>
      <w:r>
        <w:rPr>
          <w:rFonts w:ascii="Times New Roman" w:cs="Times New Roman" w:eastAsia="Times New Roman" w:hAnsi="Times New Roman"/>
          <w:sz w:val="17"/>
          <w:szCs w:val="17"/>
          <w:u w:val="single" w:color="auto"/>
          <w:color w:val="auto"/>
        </w:rPr>
        <w:t>Payments Set Aside..</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217" w:lineRule="exact"/>
        <w:rPr>
          <w:sz w:val="20"/>
          <w:szCs w:val="20"/>
          <w:color w:val="auto"/>
        </w:rPr>
      </w:pPr>
    </w:p>
    <w:p>
      <w:pPr>
        <w:ind w:left="1300"/>
        <w:spacing w:after="0"/>
        <w:tabs>
          <w:tab w:leader="none" w:pos="1980" w:val="left"/>
          <w:tab w:leader="none" w:pos="4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Successors and Assigns.11.06</w:t>
      </w:r>
      <w:r>
        <w:rPr>
          <w:sz w:val="20"/>
          <w:szCs w:val="20"/>
          <w:color w:val="auto"/>
        </w:rPr>
        <w:tab/>
      </w:r>
      <w:r>
        <w:rPr>
          <w:rFonts w:ascii="Times New Roman" w:cs="Times New Roman" w:eastAsia="Times New Roman" w:hAnsi="Times New Roman"/>
          <w:sz w:val="17"/>
          <w:szCs w:val="17"/>
          <w:u w:val="single" w:color="auto"/>
          <w:color w:val="auto"/>
        </w:rPr>
        <w:t>Successors and Assigns..</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4"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1960" w:firstLine="641"/>
        <w:spacing w:after="0" w:line="297" w:lineRule="auto"/>
        <w:tabs>
          <w:tab w:leader="none" w:pos="350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 w:lineRule="exact"/>
        <w:rPr>
          <w:rFonts w:ascii="Times New Roman" w:cs="Times New Roman" w:eastAsia="Times New Roman" w:hAnsi="Times New Roman"/>
          <w:sz w:val="18"/>
          <w:szCs w:val="18"/>
          <w:color w:val="auto"/>
        </w:rPr>
      </w:pPr>
    </w:p>
    <w:p>
      <w:pPr>
        <w:jc w:val="both"/>
        <w:ind w:left="1960" w:firstLine="641"/>
        <w:spacing w:after="0" w:line="297" w:lineRule="auto"/>
        <w:tabs>
          <w:tab w:leader="none" w:pos="349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3"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81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 w:lineRule="exact"/>
        <w:rPr>
          <w:rFonts w:ascii="Times New Roman" w:cs="Times New Roman" w:eastAsia="Times New Roman" w:hAnsi="Times New Roman"/>
          <w:sz w:val="18"/>
          <w:szCs w:val="18"/>
          <w:color w:val="auto"/>
        </w:rPr>
      </w:pPr>
    </w:p>
    <w:p>
      <w:pPr>
        <w:ind w:left="2880" w:hanging="927"/>
        <w:spacing w:after="0"/>
        <w:tabs>
          <w:tab w:leader="none" w:pos="28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w:t>
      </w:r>
    </w:p>
    <w:p>
      <w:pPr>
        <w:spacing w:after="0" w:line="4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this Section and, in addition:</w:t>
      </w:r>
    </w:p>
    <w:p>
      <w:pPr>
        <w:spacing w:after="0" w:line="49" w:lineRule="exact"/>
        <w:rPr>
          <w:rFonts w:ascii="Times New Roman" w:cs="Times New Roman" w:eastAsia="Times New Roman" w:hAnsi="Times New Roman"/>
          <w:sz w:val="18"/>
          <w:szCs w:val="18"/>
          <w:color w:val="auto"/>
        </w:rPr>
      </w:pPr>
    </w:p>
    <w:p>
      <w:pPr>
        <w:jc w:val="both"/>
        <w:ind w:left="1960" w:firstLine="641"/>
        <w:spacing w:after="0" w:line="305" w:lineRule="auto"/>
        <w:tabs>
          <w:tab w:leader="none" w:pos="350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Borrower shall be deemed to have consented to any such assignment unless it shall object thereto by written notice to the Administrative Agent within five (5) Business Days after having received notice thereof;</w:t>
      </w:r>
    </w:p>
    <w:p>
      <w:pPr>
        <w:sectPr>
          <w:pgSz w:w="11900" w:h="16838" w:orient="portrait"/>
          <w:cols w:equalWidth="0" w:num="1">
            <w:col w:w="11420"/>
          </w:cols>
          <w:pgMar w:left="240" w:top="607" w:right="239" w:bottom="1440" w:gutter="0" w:footer="0" w:header="0"/>
        </w:sectPr>
      </w:pPr>
    </w:p>
    <w:bookmarkStart w:id="123" w:name="page124"/>
    <w:bookmarkEnd w:id="123"/>
    <w:p>
      <w:pPr>
        <w:ind w:left="1300" w:firstLine="641"/>
        <w:spacing w:after="0" w:line="297" w:lineRule="auto"/>
        <w:tabs>
          <w:tab w:leader="none" w:pos="283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to a Person that is not a Lender, an Affiliate of a Lender or an Approved Fund;</w:t>
      </w:r>
    </w:p>
    <w:p>
      <w:pPr>
        <w:ind w:left="2820" w:hanging="879"/>
        <w:spacing w:after="0"/>
        <w:tabs>
          <w:tab w:leader="none" w:pos="28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Swing Line Lender shall be required for any assignment.</w:t>
      </w:r>
    </w:p>
    <w:p>
      <w:pPr>
        <w:spacing w:after="0" w:line="49"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 w:lineRule="exact"/>
        <w:rPr>
          <w:rFonts w:ascii="Times New Roman" w:cs="Times New Roman" w:eastAsia="Times New Roman" w:hAnsi="Times New Roman"/>
          <w:sz w:val="18"/>
          <w:szCs w:val="18"/>
          <w:color w:val="auto"/>
        </w:rPr>
      </w:pPr>
    </w:p>
    <w:p>
      <w:pPr>
        <w:jc w:val="both"/>
        <w:ind w:left="640" w:firstLine="653"/>
        <w:spacing w:after="0" w:line="297" w:lineRule="auto"/>
        <w:tabs>
          <w:tab w:leader="none" w:pos="21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(C) to a natural Person (or a holding company, investment vehicle or trust for, or owned and operated for the primary benefit of a natural Person) or (D) any holder of the Subordinated Indebtedness.</w:t>
      </w:r>
    </w:p>
    <w:p>
      <w:pPr>
        <w:spacing w:after="0" w:line="1" w:lineRule="exact"/>
        <w:rPr>
          <w:rFonts w:ascii="Times New Roman" w:cs="Times New Roman" w:eastAsia="Times New Roman" w:hAnsi="Times New Roman"/>
          <w:sz w:val="18"/>
          <w:szCs w:val="18"/>
          <w:color w:val="auto"/>
        </w:rPr>
      </w:pPr>
    </w:p>
    <w:p>
      <w:pPr>
        <w:jc w:val="both"/>
        <w:ind w:left="640" w:firstLine="653"/>
        <w:spacing w:after="0" w:line="295" w:lineRule="auto"/>
        <w:tabs>
          <w:tab w:leader="none" w:pos="21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215" w:lineRule="exact"/>
        <w:rPr>
          <w:sz w:val="20"/>
          <w:szCs w:val="20"/>
          <w:color w:val="auto"/>
        </w:rPr>
      </w:pPr>
    </w:p>
    <w:p>
      <w:pPr>
        <w:jc w:val="both"/>
        <w:ind w:firstLine="645"/>
        <w:spacing w:after="0" w:line="297" w:lineRule="auto"/>
        <w:tabs>
          <w:tab w:leader="none" w:pos="14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3" w:lineRule="exact"/>
        <w:rPr>
          <w:rFonts w:ascii="Times New Roman" w:cs="Times New Roman" w:eastAsia="Times New Roman" w:hAnsi="Times New Roman"/>
          <w:sz w:val="18"/>
          <w:szCs w:val="18"/>
          <w:color w:val="auto"/>
        </w:rPr>
      </w:pPr>
    </w:p>
    <w:p>
      <w:pPr>
        <w:jc w:val="both"/>
        <w:ind w:firstLine="645"/>
        <w:spacing w:after="0" w:line="305" w:lineRule="auto"/>
        <w:tabs>
          <w:tab w:leader="none" w:pos="15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all or a portion of such Lender’s rights and/or obligations under this Agreement (including all or a portion of its Commitment and/or the Loans (including</w:t>
      </w:r>
    </w:p>
    <w:p>
      <w:pPr>
        <w:sectPr>
          <w:pgSz w:w="11900" w:h="16838" w:orient="portrait"/>
          <w:cols w:equalWidth="0" w:num="1">
            <w:col w:w="10760"/>
          </w:cols>
          <w:pgMar w:left="900" w:top="607" w:right="239" w:bottom="1440" w:gutter="0" w:footer="0" w:header="0"/>
        </w:sectPr>
      </w:pPr>
    </w:p>
    <w:bookmarkStart w:id="124" w:name="page125"/>
    <w:bookmarkEnd w:id="124"/>
    <w:p>
      <w:pPr>
        <w:jc w:val="both"/>
        <w:spacing w:after="0" w:line="292" w:lineRule="auto"/>
        <w:rPr>
          <w:sz w:val="20"/>
          <w:szCs w:val="20"/>
          <w:color w:val="auto"/>
        </w:rPr>
      </w:pPr>
      <w:r>
        <w:rPr>
          <w:rFonts w:ascii="Times New Roman" w:cs="Times New Roman" w:eastAsia="Times New Roman" w:hAnsi="Times New Roman"/>
          <w:sz w:val="18"/>
          <w:szCs w:val="18"/>
          <w:color w:val="auto"/>
        </w:rPr>
        <w:t xml:space="preserve">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other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without regard to the existence of any participation.</w:t>
      </w:r>
    </w:p>
    <w:p>
      <w:pPr>
        <w:spacing w:after="0" w:line="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clauses (i) through (iv)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subsection (b)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provided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29" w:lineRule="exact"/>
        <w:rPr>
          <w:sz w:val="20"/>
          <w:szCs w:val="20"/>
          <w:color w:val="auto"/>
        </w:rPr>
      </w:pPr>
    </w:p>
    <w:p>
      <w:pPr>
        <w:jc w:val="both"/>
        <w:ind w:firstLine="645"/>
        <w:spacing w:after="0" w:line="297" w:lineRule="auto"/>
        <w:tabs>
          <w:tab w:leader="none" w:pos="14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 w:lineRule="exact"/>
        <w:rPr>
          <w:rFonts w:ascii="Times New Roman" w:cs="Times New Roman" w:eastAsia="Times New Roman" w:hAnsi="Times New Roman"/>
          <w:sz w:val="18"/>
          <w:szCs w:val="18"/>
          <w:color w:val="auto"/>
        </w:rPr>
      </w:pPr>
    </w:p>
    <w:p>
      <w:pPr>
        <w:jc w:val="both"/>
        <w:ind w:firstLine="645"/>
        <w:spacing w:after="0" w:line="299" w:lineRule="auto"/>
        <w:tabs>
          <w:tab w:leader="none" w:pos="147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Commitment and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(subject to such Lender’s acceptance of such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w:t>
      </w:r>
    </w:p>
    <w:p>
      <w:pPr>
        <w:sectPr>
          <w:pgSz w:w="11900" w:h="16838" w:orient="portrait"/>
          <w:cols w:equalWidth="0" w:num="1">
            <w:col w:w="10760"/>
          </w:cols>
          <w:pgMar w:left="900" w:top="607" w:right="239" w:bottom="1440" w:gutter="0" w:footer="0" w:header="0"/>
        </w:sectPr>
      </w:pPr>
    </w:p>
    <w:bookmarkStart w:id="125" w:name="page126"/>
    <w:bookmarkEnd w:id="125"/>
    <w:p>
      <w:pPr>
        <w:ind w:left="660" w:right="20"/>
        <w:spacing w:after="0" w:line="297" w:lineRule="auto"/>
        <w:rPr>
          <w:sz w:val="20"/>
          <w:szCs w:val="20"/>
          <w:color w:val="auto"/>
        </w:rPr>
      </w:pPr>
      <w:r>
        <w:rPr>
          <w:rFonts w:ascii="Times New Roman" w:cs="Times New Roman" w:eastAsia="Times New Roman" w:hAnsi="Times New Roman"/>
          <w:sz w:val="18"/>
          <w:szCs w:val="18"/>
          <w:color w:val="auto"/>
        </w:rPr>
        <w:t>of Credit, if any, outstanding at the time of such succession or make other arrangements satisfactory to Bank of America to effectively assume the obligations of Bank of America with respect to such Letters of Credit.</w:t>
      </w:r>
    </w:p>
    <w:p>
      <w:pPr>
        <w:spacing w:after="0" w:line="1" w:lineRule="exact"/>
        <w:rPr>
          <w:sz w:val="20"/>
          <w:szCs w:val="20"/>
          <w:color w:val="auto"/>
        </w:rPr>
      </w:pPr>
    </w:p>
    <w:p>
      <w:pPr>
        <w:ind w:left="660"/>
        <w:spacing w:after="0"/>
        <w:tabs>
          <w:tab w:leader="none" w:pos="1320" w:val="left"/>
          <w:tab w:leader="none" w:pos="5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Treatment of Certain Information; Confidentiality.11.07</w:t>
      </w:r>
      <w:r>
        <w:rPr>
          <w:sz w:val="20"/>
          <w:szCs w:val="20"/>
          <w:color w:val="auto"/>
        </w:rPr>
        <w:tab/>
      </w:r>
      <w:r>
        <w:rPr>
          <w:rFonts w:ascii="Times New Roman" w:cs="Times New Roman" w:eastAsia="Times New Roman" w:hAnsi="Times New Roman"/>
          <w:sz w:val="17"/>
          <w:szCs w:val="17"/>
          <w:u w:val="single" w:color="auto"/>
          <w:color w:val="auto"/>
        </w:rPr>
        <w:t>Treatment of Certain Information; Confidentiality..</w:t>
      </w:r>
    </w:p>
    <w:p>
      <w:pPr>
        <w:spacing w:after="0" w:line="27" w:lineRule="exact"/>
        <w:rPr>
          <w:sz w:val="20"/>
          <w:szCs w:val="20"/>
          <w:color w:val="auto"/>
        </w:rPr>
      </w:pPr>
    </w:p>
    <w:p>
      <w:pPr>
        <w:jc w:val="both"/>
        <w:ind w:firstLine="656"/>
        <w:spacing w:after="0" w:line="251" w:lineRule="auto"/>
        <w:tabs>
          <w:tab w:leader="none" w:pos="10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Confidential Information</w:t>
      </w:r>
      <w:r>
        <w:rPr>
          <w:rFonts w:ascii="Times New Roman" w:cs="Times New Roman" w:eastAsia="Times New Roman" w:hAnsi="Times New Roman"/>
          <w:sz w:val="18"/>
          <w:szCs w:val="18"/>
          <w:color w:val="auto"/>
        </w:rPr>
        <w:t xml:space="preserve">. Each of the Administrative Agent, the Lenders and the L/C Issuer agrees to maintain the confidentiality of the Information (as defined below), except that Information may be disclosed (i) to its Affiliates and to its Related Parties who need to know such Information in connection with the transactions contemplated by the Loan Documents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(in which case, with respect to disclosures made in connection with any subpoena or similar legal process, the disclosing party shall notify the Borrower of such required disclosure prior to the making of such disclosure to the extent that such prior notice is not prohibited by applicable Laws),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a Loan Party and its obligations, this Agreement or payments hereunder, (vii) on a confidential basis to (A) any rating agency in connection with rating the Borrower or its Subsidiaries or the credit facilities provided hereunder, (B) the provider of any Platform or other electronic delivery service used by the Administrative Agent, the L/C Issuer and/or the Swing Line Lender to deliver Borrower Materials or notices to the Lenders or (C) the CUSIP Service Bureau or any similar agency in connection with the issuance and monitoring of CUSIP numbers or other market identifiers with respect to the credit facilities provided hereunder, (viii) with the consent of the Borrower or (ix)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Loan Party. In addition, the Administrative Agent and the Lenders may disclose the existence of this Agreement and information about this Agreement to market data collectors, similar service providers to the lender industry and service providers to the Administrative Agent, the Arrangers and the Lenders in connection with the administration of this Agreement, the other Loan Documents and the Commitments. The obligations of the Administrative Agent, the Lenders (including the Swing Line Lender) and the L/C Issuer under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shall terminate on the second anniversary of the date on which the Obligations (other than contingent obligations for which no claim has been made) have been paid in full and the Commitments have expired or terminated.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jc w:val="both"/>
        <w:ind w:firstLine="656"/>
        <w:spacing w:after="0" w:line="261" w:lineRule="auto"/>
        <w:tabs>
          <w:tab w:leader="none" w:pos="105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Each of the Administrative Agent, the Lenders and the L/C Issuer acknowledges that (i) the Information may include material non-public information concerning the Borrower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207" w:lineRule="exact"/>
        <w:rPr>
          <w:sz w:val="20"/>
          <w:szCs w:val="20"/>
          <w:color w:val="auto"/>
        </w:rPr>
      </w:pPr>
    </w:p>
    <w:p>
      <w:pPr>
        <w:ind w:left="2000" w:hanging="695"/>
        <w:spacing w:after="0"/>
        <w:tabs>
          <w:tab w:leader="none" w:pos="20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Set-off.11.08  Set-off..</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each Lender, the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w:t>
      </w:r>
    </w:p>
    <w:p>
      <w:pPr>
        <w:sectPr>
          <w:pgSz w:w="11900" w:h="16838" w:orient="portrait"/>
          <w:cols w:equalWidth="0" w:num="1">
            <w:col w:w="11420"/>
          </w:cols>
          <w:pgMar w:left="240" w:top="607" w:right="239" w:bottom="1440" w:gutter="0" w:footer="0" w:header="0"/>
        </w:sectPr>
      </w:pPr>
    </w:p>
    <w:bookmarkStart w:id="126" w:name="page127"/>
    <w:bookmarkEnd w:id="12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215" w:lineRule="exact"/>
        <w:rPr>
          <w:sz w:val="20"/>
          <w:szCs w:val="20"/>
          <w:color w:val="auto"/>
        </w:rPr>
      </w:pPr>
    </w:p>
    <w:p>
      <w:pPr>
        <w:ind w:left="1300"/>
        <w:spacing w:after="0"/>
        <w:tabs>
          <w:tab w:leader="none" w:pos="1980" w:val="left"/>
          <w:tab w:leader="none" w:pos="4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Interest Rate Limitation.11.09</w:t>
        <w:tab/>
        <w:t>Interest Rate Limitation..</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17" w:lineRule="exact"/>
        <w:rPr>
          <w:sz w:val="20"/>
          <w:szCs w:val="20"/>
          <w:color w:val="auto"/>
        </w:rPr>
      </w:pPr>
    </w:p>
    <w:p>
      <w:pPr>
        <w:ind w:left="1300"/>
        <w:spacing w:after="0"/>
        <w:tabs>
          <w:tab w:leader="none" w:pos="1980" w:val="left"/>
          <w:tab w:leader="none" w:pos="5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Counterparts; Integration; Effectiveness.11.10</w:t>
      </w:r>
      <w:r>
        <w:rPr>
          <w:sz w:val="20"/>
          <w:szCs w:val="20"/>
          <w:color w:val="auto"/>
        </w:rPr>
        <w:tab/>
      </w:r>
      <w:r>
        <w:rPr>
          <w:rFonts w:ascii="Times New Roman" w:cs="Times New Roman" w:eastAsia="Times New Roman" w:hAnsi="Times New Roman"/>
          <w:sz w:val="17"/>
          <w:szCs w:val="17"/>
          <w:u w:val="single" w:color="auto"/>
          <w:color w:val="auto"/>
        </w:rPr>
        <w:t>Counterparts; Integration; Effectiveness..</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14" w:lineRule="exact"/>
        <w:rPr>
          <w:sz w:val="20"/>
          <w:szCs w:val="20"/>
          <w:color w:val="auto"/>
        </w:rPr>
      </w:pPr>
    </w:p>
    <w:p>
      <w:pPr>
        <w:ind w:left="1300"/>
        <w:spacing w:after="0"/>
        <w:tabs>
          <w:tab w:leader="none" w:pos="1980" w:val="left"/>
          <w:tab w:leader="none" w:pos="5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Survival of Representations and Warranties.11.11</w:t>
      </w:r>
      <w:r>
        <w:rPr>
          <w:sz w:val="20"/>
          <w:szCs w:val="20"/>
          <w:color w:val="auto"/>
        </w:rPr>
        <w:tab/>
      </w:r>
      <w:r>
        <w:rPr>
          <w:rFonts w:ascii="Times New Roman" w:cs="Times New Roman" w:eastAsia="Times New Roman" w:hAnsi="Times New Roman"/>
          <w:sz w:val="17"/>
          <w:szCs w:val="17"/>
          <w:u w:val="single" w:color="auto"/>
          <w:color w:val="auto"/>
        </w:rPr>
        <w:t>Survival of Representations and Warranties..</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15" w:lineRule="exact"/>
        <w:rPr>
          <w:sz w:val="20"/>
          <w:szCs w:val="20"/>
          <w:color w:val="auto"/>
        </w:rPr>
      </w:pPr>
    </w:p>
    <w:p>
      <w:pPr>
        <w:ind w:left="2000" w:hanging="695"/>
        <w:spacing w:after="0"/>
        <w:tabs>
          <w:tab w:leader="none" w:pos="2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Severability.11.12  Severability..</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14" w:lineRule="exact"/>
        <w:rPr>
          <w:sz w:val="20"/>
          <w:szCs w:val="20"/>
          <w:color w:val="auto"/>
        </w:rPr>
      </w:pPr>
    </w:p>
    <w:p>
      <w:pPr>
        <w:ind w:left="1300"/>
        <w:spacing w:after="0"/>
        <w:tabs>
          <w:tab w:leader="none" w:pos="1980" w:val="left"/>
          <w:tab w:leader="none" w:pos="4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Replacement of Lenders.11.13</w:t>
      </w:r>
      <w:r>
        <w:rPr>
          <w:sz w:val="20"/>
          <w:szCs w:val="20"/>
          <w:color w:val="auto"/>
        </w:rPr>
        <w:tab/>
      </w:r>
      <w:r>
        <w:rPr>
          <w:rFonts w:ascii="Times New Roman" w:cs="Times New Roman" w:eastAsia="Times New Roman" w:hAnsi="Times New Roman"/>
          <w:sz w:val="17"/>
          <w:szCs w:val="17"/>
          <w:u w:val="single" w:color="auto"/>
          <w:color w:val="auto"/>
        </w:rPr>
        <w:t>Replacement of Lenders..</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Borrower is entitled to replace a Lender pursuant to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ectPr>
          <w:pgSz w:w="11900" w:h="16838" w:orient="portrait"/>
          <w:cols w:equalWidth="0" w:num="1">
            <w:col w:w="11420"/>
          </w:cols>
          <w:pgMar w:left="240" w:top="580" w:right="239" w:bottom="1440" w:gutter="0" w:footer="0" w:header="0"/>
        </w:sectPr>
      </w:pPr>
    </w:p>
    <w:bookmarkStart w:id="127" w:name="page128"/>
    <w:bookmarkEnd w:id="127"/>
    <w:p>
      <w:pPr>
        <w:ind w:left="2160" w:hanging="855"/>
        <w:spacing w:after="0"/>
        <w:tabs>
          <w:tab w:leader="none" w:pos="2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one hundred percent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 w:lineRule="exact"/>
        <w:rPr>
          <w:rFonts w:ascii="Times New Roman" w:cs="Times New Roman" w:eastAsia="Times New Roman" w:hAnsi="Times New Roman"/>
          <w:sz w:val="18"/>
          <w:szCs w:val="18"/>
          <w:color w:val="auto"/>
        </w:rPr>
      </w:pPr>
    </w:p>
    <w:p>
      <w:pPr>
        <w:ind w:left="660" w:firstLine="645"/>
        <w:spacing w:after="0" w:line="295" w:lineRule="auto"/>
        <w:tabs>
          <w:tab w:leader="none" w:pos="21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ind w:left="2160" w:hanging="855"/>
        <w:spacing w:after="0"/>
        <w:tabs>
          <w:tab w:leader="none" w:pos="2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53"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5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nevertheless be effective without the execution by such Non-Consenting Lender of an Assignment and Assumption.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entitling the Borrower to require such assignment and delegation cease to apply.</w:t>
      </w:r>
    </w:p>
    <w:p>
      <w:pPr>
        <w:spacing w:after="0" w:line="234" w:lineRule="exact"/>
        <w:rPr>
          <w:sz w:val="20"/>
          <w:szCs w:val="20"/>
          <w:color w:val="auto"/>
        </w:rPr>
      </w:pPr>
    </w:p>
    <w:p>
      <w:pPr>
        <w:ind w:left="1300"/>
        <w:spacing w:after="0"/>
        <w:tabs>
          <w:tab w:leader="none" w:pos="1980" w:val="left"/>
          <w:tab w:leader="none" w:pos="5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Governing Law; Jurisdiction; Etc.11.14</w:t>
        <w:tab/>
        <w:t>Governing Law; Jurisdiction; Etc..</w:t>
      </w:r>
    </w:p>
    <w:p>
      <w:pPr>
        <w:spacing w:after="0" w:line="50" w:lineRule="exact"/>
        <w:rPr>
          <w:sz w:val="20"/>
          <w:szCs w:val="20"/>
          <w:color w:val="auto"/>
        </w:rPr>
      </w:pPr>
    </w:p>
    <w:p>
      <w:pPr>
        <w:jc w:val="both"/>
        <w:ind w:left="660" w:firstLine="645"/>
        <w:spacing w:after="0" w:line="297" w:lineRule="auto"/>
        <w:tabs>
          <w:tab w:leader="none" w:pos="21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318" w:lineRule="auto"/>
        <w:tabs>
          <w:tab w:leader="none" w:pos="216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220" w:lineRule="exact"/>
        <w:rPr>
          <w:rFonts w:ascii="Times New Roman" w:cs="Times New Roman" w:eastAsia="Times New Roman" w:hAnsi="Times New Roman"/>
          <w:sz w:val="17"/>
          <w:szCs w:val="17"/>
          <w:color w:val="auto"/>
        </w:rPr>
      </w:pPr>
    </w:p>
    <w:p>
      <w:pPr>
        <w:jc w:val="both"/>
        <w:ind w:left="660" w:firstLine="645"/>
        <w:spacing w:after="0" w:line="297" w:lineRule="auto"/>
        <w:tabs>
          <w:tab w:leader="none" w:pos="21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ectPr>
          <w:pgSz w:w="11900" w:h="16838" w:orient="portrait"/>
          <w:cols w:equalWidth="0" w:num="1">
            <w:col w:w="11420"/>
          </w:cols>
          <w:pgMar w:left="240" w:top="607" w:right="239" w:bottom="1440" w:gutter="0" w:footer="0" w:header="0"/>
        </w:sectPr>
      </w:pPr>
    </w:p>
    <w:bookmarkStart w:id="128" w:name="page129"/>
    <w:bookmarkEnd w:id="128"/>
    <w:p>
      <w:pPr>
        <w:ind w:left="660"/>
        <w:spacing w:after="0"/>
        <w:tabs>
          <w:tab w:leader="none" w:pos="1320" w:val="left"/>
          <w:tab w:leader="none" w:pos="4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Waiver of Right to Trial by Jury.11.15</w:t>
      </w:r>
      <w:r>
        <w:rPr>
          <w:sz w:val="20"/>
          <w:szCs w:val="20"/>
          <w:color w:val="auto"/>
        </w:rPr>
        <w:tab/>
      </w:r>
      <w:r>
        <w:rPr>
          <w:rFonts w:ascii="Times New Roman" w:cs="Times New Roman" w:eastAsia="Times New Roman" w:hAnsi="Times New Roman"/>
          <w:sz w:val="17"/>
          <w:szCs w:val="17"/>
          <w:u w:val="single" w:color="auto"/>
          <w:color w:val="auto"/>
        </w:rPr>
        <w:t>Waiver of Right to Trial by Jury..</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14"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Electronic Execution of Assignments and Certain Other Documents.11.16 Electronic Execution of Assignments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Documents..</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notwithstanding anything contained herein to the contrary, neither the Administrative Agent, the L/C Issuer nor any Lender is under any obligation to agree to accept electronic signatures in any form or in any format unless expressly agreed to by the Administrative Agent, the L/C Issuer or such Lender pursuant to procedures approved by it</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without limiting the foregoing, upon the request of any party, any electronic signature shall be promptly followed by such manually executed counterpart.</w:t>
      </w:r>
    </w:p>
    <w:p>
      <w:pPr>
        <w:spacing w:after="0" w:line="217" w:lineRule="exact"/>
        <w:rPr>
          <w:sz w:val="20"/>
          <w:szCs w:val="20"/>
          <w:color w:val="auto"/>
        </w:rPr>
      </w:pPr>
    </w:p>
    <w:p>
      <w:pPr>
        <w:ind w:left="1300"/>
        <w:spacing w:after="0"/>
        <w:tabs>
          <w:tab w:leader="none" w:pos="1980" w:val="left"/>
          <w:tab w:leader="none" w:pos="4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USA PATRIOT Act.11.17</w:t>
      </w:r>
      <w:r>
        <w:rPr>
          <w:sz w:val="20"/>
          <w:szCs w:val="20"/>
          <w:color w:val="auto"/>
        </w:rPr>
        <w:tab/>
      </w:r>
      <w:r>
        <w:rPr>
          <w:rFonts w:ascii="Times New Roman" w:cs="Times New Roman" w:eastAsia="Times New Roman" w:hAnsi="Times New Roman"/>
          <w:sz w:val="17"/>
          <w:szCs w:val="17"/>
          <w:u w:val="single" w:color="auto"/>
          <w:color w:val="auto"/>
        </w:rPr>
        <w:t>USA PATRIOT Act..</w:t>
      </w: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17" w:lineRule="exact"/>
        <w:rPr>
          <w:sz w:val="20"/>
          <w:szCs w:val="20"/>
          <w:color w:val="auto"/>
        </w:rPr>
      </w:pPr>
    </w:p>
    <w:p>
      <w:pPr>
        <w:ind w:left="1300"/>
        <w:spacing w:after="0"/>
        <w:tabs>
          <w:tab w:leader="none" w:pos="1980" w:val="left"/>
          <w:tab w:leader="none" w:pos="5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 Advisory or Fiduciary Relationship.11.18</w:t>
        <w:tab/>
        <w:t>No Advisory or Fiduciary Relationship..</w:t>
      </w:r>
    </w:p>
    <w:p>
      <w:pPr>
        <w:spacing w:after="0" w:line="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the Arrangers and each Lender is and has been acting solely as a principal and, except as expressly agreed in writing by the relevant parties, has not been, is not and will not be acting as an advisor, agent or fiduciary, for the Borrower or any of Affiliates or any other Person and (ii) neither the Administrative Agent, the Arrangers nor any Lender has any obligation to the Borrower or any of its Affiliates with respect to the transactions contemplated hereby except those obligations expressly set forth herein and in the other Loan Documents; and (c) the Administrative Agent, the Arrangers and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220" w:lineRule="exact"/>
        <w:rPr>
          <w:sz w:val="20"/>
          <w:szCs w:val="20"/>
          <w:color w:val="auto"/>
        </w:rPr>
      </w:pPr>
    </w:p>
    <w:p>
      <w:pPr>
        <w:ind w:left="1300"/>
        <w:spacing w:after="0"/>
        <w:tabs>
          <w:tab w:leader="none" w:pos="1980" w:val="left"/>
          <w:tab w:leader="none" w:pos="4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Appointment of Borrower</w:t>
      </w: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u w:val="single" w:color="auto"/>
          <w:color w:val="auto"/>
        </w:rPr>
        <w:t>Appointment of Borrower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Each of the Guarantors hereby appoints the Borrower to act as its agent for all purposes of this Agreement, the other Loan Documents and all other documents and electronic platforms entered into in connection herewith and agrees that (a) the Borrower</w:t>
      </w:r>
    </w:p>
    <w:p>
      <w:pPr>
        <w:sectPr>
          <w:pgSz w:w="11900" w:h="16838" w:orient="portrait"/>
          <w:cols w:equalWidth="0" w:num="1">
            <w:col w:w="11420"/>
          </w:cols>
          <w:pgMar w:left="240" w:top="607" w:right="2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18"/>
          <w:szCs w:val="18"/>
          <w:color w:val="auto"/>
        </w:rPr>
        <w:t>may execute such documents and provide such authorizations on behalf of such Guarantors as the Borrower deems appropriate in its sole discretion and each Guarantor shall be obligated by all of the terms of any such document and/or authorization executed on its behalf, (b) any notice or communication delivered by the Administrative Agent, the L/C Issuer or a Lender to the Borrower shall be deemed delivered to each Loan Party and (c) the Administrative Agent, the L/C Issuer, the Swing Line Lender or the Lenders may accept, and be permitted to rely on, any document, authorization, instrument or agreement executed by the Borrower on behalf of each of the Guarantors.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DIGITAL INSURANCE,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have caused this Agreement to be duly executed as of the date first above written.</w:t>
      </w:r>
    </w:p>
    <w:p>
      <w:pPr>
        <w:sectPr>
          <w:pgSz w:w="11900" w:h="16838" w:orient="portrait"/>
          <w:cols w:equalWidth="0" w:num="1">
            <w:col w:w="11420"/>
          </w:cols>
          <w:pgMar w:left="240" w:top="580"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INSURANCE,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ectPr>
          <w:pgSz w:w="11900" w:h="16838" w:orient="portrait"/>
          <w:cols w:equalWidth="0" w:num="2">
            <w:col w:w="2520" w:space="720"/>
            <w:col w:w="8180"/>
          </w:cols>
          <w:pgMar w:left="240" w:top="580" w:right="239" w:bottom="1440" w:gutter="0" w:footer="0" w:header="0"/>
          <w:type w:val="continuous"/>
        </w:sectPr>
      </w:pPr>
    </w:p>
    <w:p>
      <w:pPr>
        <w:spacing w:after="0" w:line="223" w:lineRule="exact"/>
        <w:rPr>
          <w:sz w:val="20"/>
          <w:szCs w:val="20"/>
          <w:color w:val="auto"/>
        </w:rPr>
      </w:pPr>
    </w:p>
    <w:p>
      <w:pPr>
        <w:ind w:left="3240"/>
        <w:spacing w:after="0"/>
        <w:tabs>
          <w:tab w:leader="none" w:pos="3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M. Ristau</w:t>
      </w:r>
    </w:p>
    <w:p>
      <w:pPr>
        <w:spacing w:after="0" w:line="27"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18"/>
          <w:szCs w:val="18"/>
          <w:color w:val="auto"/>
        </w:rPr>
        <w:t>Name:</w:t>
        <w:tab/>
        <w:t>Charles M. Ristau</w:t>
      </w:r>
    </w:p>
    <w:p>
      <w:pPr>
        <w:spacing w:after="0" w:line="9"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 - Digital Insurance</w:t>
      </w:r>
    </w:p>
    <w:p>
      <w:pPr>
        <w:sectPr>
          <w:pgSz w:w="11900" w:h="16838" w:orient="portrait"/>
          <w:cols w:equalWidth="0" w:num="1">
            <w:col w:w="11420"/>
          </w:cols>
          <w:pgMar w:left="240" w:top="580" w:right="2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DIGITAL INSURANCE HOLDINGS, INC.,</w:t>
            </w:r>
          </w:p>
        </w:tc>
      </w:tr>
      <w:tr>
        <w:trPr>
          <w:trHeight w:val="234"/>
        </w:trPr>
        <w:tc>
          <w:tcPr>
            <w:tcW w:w="2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630"/>
        </w:trPr>
        <w:tc>
          <w:tcPr>
            <w:tcW w:w="23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Charles Ristau</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Title:  CFO - Digital Insurance</w:t>
            </w:r>
          </w:p>
        </w:tc>
      </w:tr>
      <w:tr>
        <w:trPr>
          <w:trHeight w:val="6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4"/>
        </w:trPr>
        <w:tc>
          <w:tcPr>
            <w:tcW w:w="2380" w:type="dxa"/>
            <w:vAlign w:val="bottom"/>
          </w:tcPr>
          <w:p>
            <w:pPr>
              <w:spacing w:after="0"/>
              <w:rPr>
                <w:sz w:val="20"/>
                <w:szCs w:val="20"/>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846"/>
        </w:trPr>
        <w:tc>
          <w:tcPr>
            <w:tcW w:w="23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Ryan Maples</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34"/>
        </w:trPr>
        <w:tc>
          <w:tcPr>
            <w:tcW w:w="2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as a Lender, Swing Line Lender and L/C Issuer</w:t>
            </w:r>
          </w:p>
        </w:tc>
      </w:tr>
      <w:tr>
        <w:trPr>
          <w:trHeight w:val="630"/>
        </w:trPr>
        <w:tc>
          <w:tcPr>
            <w:tcW w:w="23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Ryan Maples</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48"/>
        </w:trPr>
        <w:tc>
          <w:tcPr>
            <w:tcW w:w="2380" w:type="dxa"/>
            <w:vAlign w:val="bottom"/>
          </w:tcPr>
          <w:p>
            <w:pPr>
              <w:spacing w:after="0"/>
              <w:rPr>
                <w:sz w:val="24"/>
                <w:szCs w:val="24"/>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JPMORGAN CHASE BANK, N.A.,</w:t>
            </w:r>
          </w:p>
        </w:tc>
      </w:tr>
      <w:tr>
        <w:trPr>
          <w:trHeight w:val="630"/>
        </w:trPr>
        <w:tc>
          <w:tcPr>
            <w:tcW w:w="23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Smith</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648"/>
        </w:trPr>
        <w:tc>
          <w:tcPr>
            <w:tcW w:w="2380" w:type="dxa"/>
            <w:vAlign w:val="bottom"/>
          </w:tcPr>
          <w:p>
            <w:pPr>
              <w:spacing w:after="0"/>
              <w:rPr>
                <w:sz w:val="24"/>
                <w:szCs w:val="24"/>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PNC BANK, NATIONAL ASSOCIATION,</w:t>
            </w:r>
          </w:p>
        </w:tc>
      </w:tr>
      <w:tr>
        <w:trPr>
          <w:trHeight w:val="630"/>
        </w:trPr>
        <w:tc>
          <w:tcPr>
            <w:tcW w:w="2380" w:type="dxa"/>
            <w:vAlign w:val="bottom"/>
          </w:tcPr>
          <w:p>
            <w:pPr>
              <w:spacing w:after="0"/>
              <w:rPr>
                <w:sz w:val="24"/>
                <w:szCs w:val="24"/>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By:  /s/ Brendan T McGuire</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SVP, Corporate &amp; Instiutional Banking</w:t>
            </w:r>
          </w:p>
        </w:tc>
      </w:tr>
      <w:tr>
        <w:trPr>
          <w:trHeight w:val="648"/>
        </w:trPr>
        <w:tc>
          <w:tcPr>
            <w:tcW w:w="2380" w:type="dxa"/>
            <w:vAlign w:val="bottom"/>
          </w:tcPr>
          <w:p>
            <w:pPr>
              <w:spacing w:after="0"/>
              <w:rPr>
                <w:sz w:val="24"/>
                <w:szCs w:val="24"/>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REGIONS BANK</w:t>
            </w:r>
          </w:p>
        </w:tc>
      </w:tr>
      <w:tr>
        <w:trPr>
          <w:trHeight w:val="630"/>
        </w:trPr>
        <w:tc>
          <w:tcPr>
            <w:tcW w:w="238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Wesemeier</w:t>
            </w:r>
          </w:p>
        </w:tc>
      </w:tr>
      <w:tr>
        <w:trPr>
          <w:trHeight w:val="216"/>
        </w:trPr>
        <w:tc>
          <w:tcPr>
            <w:tcW w:w="2380" w:type="dxa"/>
            <w:vAlign w:val="bottom"/>
          </w:tcPr>
          <w:p>
            <w:pPr>
              <w:spacing w:after="0"/>
              <w:rPr>
                <w:sz w:val="18"/>
                <w:szCs w:val="18"/>
                <w:color w:val="auto"/>
              </w:rPr>
            </w:pPr>
          </w:p>
        </w:tc>
        <w:tc>
          <w:tcPr>
            <w:tcW w:w="49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380" w:type="dxa"/>
            <w:vAlign w:val="bottom"/>
          </w:tcPr>
          <w:p>
            <w:pPr>
              <w:spacing w:after="0"/>
              <w:rPr>
                <w:sz w:val="20"/>
                <w:szCs w:val="20"/>
                <w:color w:val="auto"/>
              </w:rPr>
            </w:pPr>
          </w:p>
        </w:tc>
        <w:tc>
          <w:tcPr>
            <w:tcW w:w="1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NEWBRIDGE BANK</w:t>
      </w:r>
    </w:p>
    <w:p>
      <w:pPr>
        <w:spacing w:after="0" w:line="200" w:lineRule="exact"/>
        <w:rPr>
          <w:sz w:val="20"/>
          <w:szCs w:val="20"/>
          <w:color w:val="auto"/>
        </w:rPr>
      </w:pPr>
    </w:p>
    <w:p>
      <w:pPr>
        <w:spacing w:after="0" w:line="241" w:lineRule="exact"/>
        <w:rPr>
          <w:sz w:val="20"/>
          <w:szCs w:val="20"/>
          <w:color w:val="auto"/>
        </w:rPr>
      </w:pPr>
    </w:p>
    <w:p>
      <w:pPr>
        <w:ind w:left="3240"/>
        <w:spacing w:after="0"/>
        <w:tabs>
          <w:tab w:leader="none" w:pos="3660" w:val="left"/>
        </w:tabs>
        <w:rPr>
          <w:sz w:val="20"/>
          <w:szCs w:val="20"/>
          <w:color w:val="auto"/>
        </w:rPr>
      </w:pPr>
      <w:r>
        <w:rPr>
          <w:rFonts w:ascii="Times New Roman" w:cs="Times New Roman" w:eastAsia="Times New Roman" w:hAnsi="Times New Roman"/>
          <w:sz w:val="18"/>
          <w:szCs w:val="18"/>
          <w:color w:val="auto"/>
        </w:rPr>
        <w:t>By:</w:t>
        <w:tab/>
        <w:t>/s/ James A Boccoudo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10219"/>
          </w:cols>
          <w:pgMar w:left="240" w:top="796" w:right="1440" w:bottom="1440" w:gutter="0" w:footer="0" w:header="0"/>
        </w:sectPr>
      </w:pPr>
    </w:p>
    <w:bookmarkStart w:id="131" w:name="page132"/>
    <w:bookmarkEnd w:id="131"/>
    <w:p>
      <w:pPr>
        <w:ind w:left="2040"/>
        <w:spacing w:after="0"/>
        <w:rPr>
          <w:sz w:val="20"/>
          <w:szCs w:val="20"/>
          <w:color w:val="auto"/>
        </w:rPr>
      </w:pPr>
      <w:r>
        <w:rPr>
          <w:rFonts w:ascii="Times New Roman" w:cs="Times New Roman" w:eastAsia="Times New Roman" w:hAnsi="Times New Roman"/>
          <w:sz w:val="17"/>
          <w:szCs w:val="17"/>
          <w:color w:val="auto"/>
        </w:rPr>
        <w:t>Title: Senior Vice President</w:t>
      </w:r>
    </w:p>
    <w:p>
      <w:pPr>
        <w:sectPr>
          <w:pgSz w:w="11900" w:h="16838" w:orient="portrait"/>
          <w:cols w:equalWidth="0" w:num="1">
            <w:col w:w="9019"/>
          </w:cols>
          <w:pgMar w:left="1440" w:top="580" w:right="1440" w:bottom="1440" w:gutter="0" w:footer="0" w:header="0"/>
        </w:sectPr>
      </w:pPr>
    </w:p>
    <w:bookmarkStart w:id="132" w:name="page133"/>
    <w:bookmarkEnd w:id="132"/>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AMENDMENT NO. 1 TO AMENDED AND RESTATED EMPLOYMENT AGREEMENT (the "Amendment") is effective as of March 1, 2015 (the "Effective Date"), by and between </w:t>
      </w:r>
      <w:r>
        <w:rPr>
          <w:rFonts w:ascii="Times New Roman" w:cs="Times New Roman" w:eastAsia="Times New Roman" w:hAnsi="Times New Roman"/>
          <w:sz w:val="18"/>
          <w:szCs w:val="18"/>
          <w:b w:val="1"/>
          <w:bCs w:val="1"/>
          <w:color w:val="auto"/>
        </w:rPr>
        <w:t>FIDELITY NATIONAL FINANCIAL, INC.</w:t>
      </w:r>
      <w:r>
        <w:rPr>
          <w:rFonts w:ascii="Times New Roman" w:cs="Times New Roman" w:eastAsia="Times New Roman" w:hAnsi="Times New Roman"/>
          <w:sz w:val="18"/>
          <w:szCs w:val="18"/>
          <w:color w:val="auto"/>
        </w:rPr>
        <w:t xml:space="preserve">, a Delaware corporation (the "Company"), and </w:t>
      </w:r>
      <w:r>
        <w:rPr>
          <w:rFonts w:ascii="Times New Roman" w:cs="Times New Roman" w:eastAsia="Times New Roman" w:hAnsi="Times New Roman"/>
          <w:sz w:val="18"/>
          <w:szCs w:val="18"/>
          <w:b w:val="1"/>
          <w:bCs w:val="1"/>
          <w:color w:val="auto"/>
        </w:rPr>
        <w:t>MICHAEL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GRAVELLE </w:t>
      </w:r>
      <w:r>
        <w:rPr>
          <w:rFonts w:ascii="Times New Roman" w:cs="Times New Roman" w:eastAsia="Times New Roman" w:hAnsi="Times New Roman"/>
          <w:sz w:val="18"/>
          <w:szCs w:val="18"/>
          <w:color w:val="auto"/>
        </w:rPr>
        <w:t>(the "Employee") and amends that certain Amended and Restated Employment Agreement dated as of January 1, 2010 (the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Amendment No. 1 to Amended and Restated Employment Agreement dated as of January 30, 3013. In consideration of the mutual covenants and agreements set forth herein, the parties agree as follows:</w:t>
      </w:r>
    </w:p>
    <w:p>
      <w:pPr>
        <w:spacing w:after="0" w:line="211" w:lineRule="exact"/>
        <w:rPr>
          <w:sz w:val="20"/>
          <w:szCs w:val="20"/>
          <w:color w:val="auto"/>
        </w:rPr>
      </w:pPr>
    </w:p>
    <w:p>
      <w:pPr>
        <w:jc w:val="both"/>
        <w:ind w:firstLine="656"/>
        <w:spacing w:after="0" w:line="302" w:lineRule="auto"/>
        <w:tabs>
          <w:tab w:leader="none" w:pos="143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Agreement is deleted and the following shall be inserted in lieu thereof: “Employment and Duties. Subject to the terms and conditions of this Agreement, the Company agrees to continue to employ the Employee to serve in an executive capacity as Executive Vice President, General Counsel and Corporate Secretary. The Employee accepts such continued employment and agrees to undertake and discharge the duties, functions and responsibilities commensurate with the aforesaid position and such other duties, functions and responsibilities as may be prescribed from time to time by the Chief Executive Officer (the "CEO") or the Chairman of the Board of Directors of the Company. The Company acknowledges and agrees that Employee may serve as a non-executive employee of Fidelity National Information Services, Inc., Executive Vice President, General Counsel and Corporate Secretary of Black Knight Financial Services, Inc. (“Black Knight”), a majority owned subsidiary of the Company and receive an annual salary of $148,000 and a bonus opportunity at target under Black Knight’s annual incentive plan of 100% ($148,000), and in other unpaid non-competitor companies.”</w:t>
      </w:r>
    </w:p>
    <w:p>
      <w:pPr>
        <w:spacing w:after="0" w:line="15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 of the Agreement is deleted and the following shall be inserted in lieu thereof: “Salary. During the period from the Effective Date through the end of the Employment Term, the Company shall pay the Employee a base salary at an annual rate, before deducting all applicable withholdings, of no less than $337,000 per year, payable at the time and in the manner dictated by the Company's standard payroll policies.”</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99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5(d) is deleted and the following shall be inserted in lieu thereof: “an annual incentive bonus opportunity under the Company's annual incentive plan ("Annual Bonus Plan") for each calendar year included in the Employment Term, with such opportunity to be earned based upon attainment of performance objectives established by the Committee ("Annual Bonus"). For 2015 and continuing for the remainder of the Employment Term, the Employee's target Annual Bonus under the Annual Bonus Plan shall be no less than 100% of the Employee’s paid salary with the Company, with a maximum of up to 200% of the Employee's paid salary with the Company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15th first following the calendar year to which the Annual Bonus relates. Unless provided otherwise herein or the Committee determines otherwise, no Annual Bonus shall be paid to the Employee unless the Employee is employed by the Company, or an affiliate thereof, on the last day of the Annual Bonus measurement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to be effective as of the date first set forth above.</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William P. Foley, 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Chairman</w:t>
      </w:r>
    </w:p>
    <w:p>
      <w:pPr>
        <w:spacing w:after="0" w:line="2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L. GRAVELLE</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Michael Gravelle</w:t>
      </w:r>
    </w:p>
    <w:p>
      <w:pPr>
        <w:sectPr>
          <w:pgSz w:w="11900" w:h="16838" w:orient="portrait"/>
          <w:cols w:equalWidth="0" w:num="1">
            <w:col w:w="11420"/>
          </w:cols>
          <w:pgMar w:left="240" w:top="1440"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EMPLOYMENT AGREEMENT (the "Agreement") is effective as of March 1, 2015 (the "Effective Date"), by and between </w:t>
      </w:r>
      <w:r>
        <w:rPr>
          <w:rFonts w:ascii="Times New Roman" w:cs="Times New Roman" w:eastAsia="Times New Roman" w:hAnsi="Times New Roman"/>
          <w:sz w:val="18"/>
          <w:szCs w:val="18"/>
          <w:b w:val="1"/>
          <w:bCs w:val="1"/>
          <w:color w:val="auto"/>
        </w:rPr>
        <w:t>BKFS I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a Delaware corporation (the “Company”) and</w:t>
      </w:r>
      <w:r>
        <w:rPr>
          <w:rFonts w:ascii="Times New Roman" w:cs="Times New Roman" w:eastAsia="Times New Roman" w:hAnsi="Times New Roman"/>
          <w:sz w:val="18"/>
          <w:szCs w:val="18"/>
          <w:b w:val="1"/>
          <w:bCs w:val="1"/>
          <w:color w:val="auto"/>
        </w:rPr>
        <w:t xml:space="preserve"> Michael L. Gravelle </w:t>
      </w:r>
      <w:r>
        <w:rPr>
          <w:rFonts w:ascii="Times New Roman" w:cs="Times New Roman" w:eastAsia="Times New Roman" w:hAnsi="Times New Roman"/>
          <w:sz w:val="18"/>
          <w:szCs w:val="18"/>
          <w:color w:val="auto"/>
        </w:rPr>
        <w:t>(the "Employee"). In consideration of the mutual covenants and agreements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the parties agree as follows:</w:t>
      </w:r>
    </w:p>
    <w:p>
      <w:pPr>
        <w:spacing w:after="0" w:line="202" w:lineRule="exact"/>
        <w:rPr>
          <w:sz w:val="20"/>
          <w:szCs w:val="20"/>
          <w:color w:val="auto"/>
        </w:rPr>
      </w:pPr>
    </w:p>
    <w:p>
      <w:pPr>
        <w:jc w:val="both"/>
        <w:ind w:firstLine="494"/>
        <w:spacing w:after="0" w:line="297" w:lineRule="auto"/>
        <w:tabs>
          <w:tab w:leader="none" w:pos="78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Agreement is to recognize Employee's significant contributions to the overall financial performance and success of the Company to protect the Company's business interests through the addition of restrictive covenants, and to provide a single, integrated document which shall provide the basis for Employee's continued employment by the Company.</w:t>
      </w:r>
    </w:p>
    <w:p>
      <w:pPr>
        <w:spacing w:after="0" w:line="1" w:lineRule="exact"/>
        <w:rPr>
          <w:rFonts w:ascii="Times New Roman" w:cs="Times New Roman" w:eastAsia="Times New Roman" w:hAnsi="Times New Roman"/>
          <w:sz w:val="18"/>
          <w:szCs w:val="18"/>
          <w:color w:val="auto"/>
        </w:rPr>
      </w:pPr>
    </w:p>
    <w:p>
      <w:pPr>
        <w:jc w:val="both"/>
        <w:ind w:firstLine="494"/>
        <w:spacing w:after="0" w:line="297" w:lineRule="auto"/>
        <w:tabs>
          <w:tab w:leader="none" w:pos="78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 Subject to the terms and conditions of this Agreement, as of the Effective Date, the Company employs Employee as Executive Vice President, General Counsel and Corporate Secretary of Black Knight Financial Services, Inc. and Black Knight Financial Services, LLC, or in such other capacity as may be mutually agreed upon by the parties. Employee accepts such employment and appointments and agrees to undertake and discharge the duties, functions and responsibilities commensurate with the aforesaid positions and such other duties and responsibilities as may be prescribed from time to time by the Company consistent with the aforesaid positions. Employee shall be required to comply with the Company’s employee policies applicable to him and the Company employees generally as from time to time enacted. During the Employment Term, Employee shall devote substantially all business time, attention and effort to the performance of duties hereunder and shall not engage in any business, profession or occupation, for compensation or otherwise without the express written consent of the Company, other than personal, personal investment, charitable, or civic activities or other matters that do not conflict with Employee's duties. The Company acknowledges and agrees that Employee may serve as a non-executive employee of Fidelity National Information Services, Inc., Executive Vice President, General Counsel and Corporate Secretary of Fidelity National Financial, Inc. (“FNF”) and receive an annual salary of $352,000 and a bonus opportunity at target under FNF’s annual incentive plan of 100% of salary, and in other unpaid non-competitor companies</w:t>
      </w:r>
    </w:p>
    <w:p>
      <w:pPr>
        <w:spacing w:after="0" w:line="5" w:lineRule="exact"/>
        <w:rPr>
          <w:rFonts w:ascii="Times New Roman" w:cs="Times New Roman" w:eastAsia="Times New Roman" w:hAnsi="Times New Roman"/>
          <w:sz w:val="18"/>
          <w:szCs w:val="18"/>
          <w:color w:val="auto"/>
        </w:rPr>
      </w:pPr>
    </w:p>
    <w:p>
      <w:pPr>
        <w:ind w:firstLine="494"/>
        <w:spacing w:after="0" w:line="297" w:lineRule="auto"/>
        <w:tabs>
          <w:tab w:leader="none" w:pos="78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shall continue for a period of three (3) years ending on the third anniversary of the Effective Date, subject to prior termination as set forth in Section 8 (the "Employment Term").</w:t>
      </w:r>
    </w:p>
    <w:p>
      <w:pPr>
        <w:jc w:val="both"/>
        <w:ind w:firstLine="494"/>
        <w:spacing w:after="0" w:line="297" w:lineRule="auto"/>
        <w:tabs>
          <w:tab w:leader="none" w:pos="78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During the Employment Term, the Company shall pay Employee an annual base salary, before deducting all applicable withholdings, of $148,000 per year, payable at the time and in the manner dictated by the Company's standard payroll policies. Such minimum annual base salary may be periodically reviewed and increased (but not decreased without Employee's express written consent except in the case of a salary decrease for all executive officers of the Company) at the discretion of the Company (such annual base salary, including any increases, the "Annual Base Salary").</w:t>
      </w:r>
    </w:p>
    <w:p>
      <w:pPr>
        <w:spacing w:after="0" w:line="1"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and Benefits</w:t>
      </w:r>
      <w:r>
        <w:rPr>
          <w:rFonts w:ascii="Times New Roman" w:cs="Times New Roman" w:eastAsia="Times New Roman" w:hAnsi="Times New Roman"/>
          <w:sz w:val="18"/>
          <w:szCs w:val="18"/>
          <w:color w:val="auto"/>
        </w:rPr>
        <w:t>. During the Employment Term:</w:t>
      </w:r>
    </w:p>
    <w:p>
      <w:pPr>
        <w:spacing w:after="0" w:line="27"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Employee shall be eligible to receive standard medical and other insurance coverage (for Employee and any covered dependents) provided by the Company to employees generally; and</w:t>
      </w:r>
    </w:p>
    <w:p>
      <w:pPr>
        <w:jc w:val="both"/>
        <w:ind w:left="1300" w:hanging="644"/>
        <w:spacing w:after="0" w:line="251"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Employee shall be eligible to receive an annual incentive bonus opportunity under the Black Knight Financial Services I, LLC’s (“BKFS I”) annual incentive plan for each calendar year included in the Employment Term during which Employee is an employee of the Company, including a bonus for the full twelve month period for calendar year 2015 ("Annual Bonus"). Employee's target Annual Bonus shall be 100% of the Employee's then current Annual Base Salary and Employee’s maximum Annual Bonus shall be 200% of the Employee’s then current Annual Base Salary (the Annual Bonus is referred to as the "Annual Bonus Opportunity"). Employee's Annual Bonus Opportunity may be periodically reviewed and increased by the Company, but may not be decreased without Employee's express written consent. Employee’s Annual Bonus is subject to the Company’s and Fidelity National Financial, Inc.’s (“FNF”) clawback policy, pursuant to which the Company and FNF may recoup all or a portion of any bonus paid if, after payment, there is a finding of fraud, a restatement of financial results, or errors or omissions discovered that the Compensation Committee determines negatively affects the business results on which the bonus was based. If owed pursuant to the terms of the plan, the Annual Bonus shall be paid no later than the March 15th first following the calendar year to which the Annual Bonus relates. Except as otherwise provided otherwise herein or if the Board of Directors of the Company or the Compensation Committee of the Company’s Board of Directors determines otherwise, no Annual Bonus shall be paid to Employee unless Employee is employed by the Company or an affiliate thereof, on the last day of the measurement period; provided, however, that Employee shall remain eligible for a pro-rata Annual Bonus based on Employee’s period of employment with the Company during the final year of the Employment Term, if the Employment Term ends prior to the end of the calendar year by the Company’s decision not to renew the Agreement, or by not offering to renew the agreement on substantially similar terms and conditions.</w:t>
      </w:r>
    </w:p>
    <w:p>
      <w:pPr>
        <w:sectPr>
          <w:pgSz w:w="11900" w:h="16838" w:orient="portrait"/>
          <w:cols w:equalWidth="0" w:num="1">
            <w:col w:w="11420"/>
          </w:cols>
          <w:pgMar w:left="240" w:top="1224" w:right="239" w:bottom="1440" w:gutter="0" w:footer="0" w:header="0"/>
        </w:sectPr>
      </w:pPr>
    </w:p>
    <w:bookmarkStart w:id="134" w:name="page135"/>
    <w:bookmarkEnd w:id="134"/>
    <w:p>
      <w:pPr>
        <w:ind w:firstLine="494"/>
        <w:spacing w:after="0" w:line="297" w:lineRule="auto"/>
        <w:tabs>
          <w:tab w:leader="none" w:pos="78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For and during each calendar year within the Employment Term, Employee shall be entitled to paid vacation plus recognized Company holidays in accordance with the Company’s vacation policy.</w:t>
      </w:r>
    </w:p>
    <w:p>
      <w:pPr>
        <w:jc w:val="both"/>
        <w:ind w:firstLine="494"/>
        <w:spacing w:after="0" w:line="297" w:lineRule="auto"/>
        <w:tabs>
          <w:tab w:leader="none" w:pos="78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In addition to the compensation and benefits provided herein, the Company shall, upon receipt of appropriate documentation, reimburse Employee each month for reasonable travel, lodging, entertainment, promotion and other ordinary and necessary business expenses incurred during the Employment Term to the extent such reimbursement is permitted under the Company's expense reimbursement policy. The Company shall be entitled to deduct from Employee’s salary or other payments due to Employee, any money the Employee owes to the Company, including any expenses wrongfully reimbursed as business expenses in an amount equal to the total value of such expenses.</w:t>
      </w:r>
    </w:p>
    <w:p>
      <w:pPr>
        <w:spacing w:after="0" w:line="2" w:lineRule="exact"/>
        <w:rPr>
          <w:rFonts w:ascii="Times New Roman" w:cs="Times New Roman" w:eastAsia="Times New Roman" w:hAnsi="Times New Roman"/>
          <w:sz w:val="18"/>
          <w:szCs w:val="18"/>
          <w:color w:val="auto"/>
        </w:rPr>
      </w:pPr>
    </w:p>
    <w:p>
      <w:pPr>
        <w:jc w:val="both"/>
        <w:ind w:firstLine="494"/>
        <w:spacing w:after="0" w:line="288" w:lineRule="auto"/>
        <w:tabs>
          <w:tab w:leader="none" w:pos="78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During the period of Employee’s employment with the Company, the Company or Employee may terminate Employee's employment at any time and for any reason in accordance with Subsection (a) below. The Employment Term shall be deemed to have ended on the last day of Employee's employment. The Employment Term shall terminate automatically upon Employee's death.</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purported termination of Employee's employment (other than by reason of death) shall be communicated by written Notice of Termination (as defined herein) from one party to the other in accordance with the notice provisions contained in this Agreement. For purposes of this Agreement, a "Notice of Termination" shall mean a notice that indicates the "Date of Termination" and, with respect to a termination due to "Cause", "Disability" or "Good Reason", sets forth in reasonable detail the facts and circumstances that are alleged to provide a basis for such termination. A Notice of Termination from the Company shall specify whether the termination is with or without Cause or due to Employee's Disability. A Notice of Termination from Employee shall specify whether the termination is with or without Good Reason.</w:t>
      </w:r>
    </w:p>
    <w:p>
      <w:pPr>
        <w:spacing w:after="0" w:line="4" w:lineRule="exact"/>
        <w:rPr>
          <w:rFonts w:ascii="Times New Roman" w:cs="Times New Roman" w:eastAsia="Times New Roman" w:hAnsi="Times New Roman"/>
          <w:sz w:val="18"/>
          <w:szCs w:val="18"/>
          <w:color w:val="auto"/>
        </w:rPr>
      </w:pPr>
    </w:p>
    <w:p>
      <w:pPr>
        <w:jc w:val="both"/>
        <w:ind w:left="1300" w:hanging="644"/>
        <w:spacing w:after="0" w:line="232"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For purposes of this Agreement, "Date of Termination" shall mean the date specified in the Notice of Termination (but in no event shall such date be earlier than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following the date the Notice of Termination is given) or the date of Employee's death. If the Company disagrees with an Employee’s designated Date of Termination, the Company shall have the right to set an alternative earlier final Date of Termination, which, in and of itself, shall not change the characterization of the termination (e.g., from an Employee Termination Without Good Reason to a Company Termination Without Cause).</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purposes of this Agreement, a termination for "Cause" means a termination by the Company based upon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or moral turpitude; (iv) material breach of this Agreement; (v) material breach of the Company's business policies, accounting practices or standards of ethics; (vi) material breach of any applicable non-competition, non-solicitation, trade secrets, confidentiality or similar restrictive covenant, or (vii) failure to materially cooperate with or impeding an investigation authorized by the Board of Directors of the Company. Employee’s termination for Cause shall not be effective unless the Company has given Employee no less than thirty days’ notice of termination and the actions underlying its Cause determination, and Employee has failed to cure the condition or event constituting Cause to the Board’s reasonable satisfaction within thirty days following receipt of the Company’s Notice of Termination.</w:t>
      </w:r>
    </w:p>
    <w:p>
      <w:pPr>
        <w:spacing w:after="0" w:line="5"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purposes of this Agreement, a termination based upon "Disability" means a termination by the Company based upon Employee's entitlement to long-term disability benefits under the Company's long-term disability plan or policy, as the case may be, as in effect on the Date of Termination.</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purposes of this Agreement, a termination for "Good Reason" means a termination by Employee based upon the occurrence (without Employee's express written consent) of any of the following:</w:t>
      </w:r>
    </w:p>
    <w:p>
      <w:pPr>
        <w:ind w:left="1960" w:hanging="655"/>
        <w:spacing w:after="0" w:line="250" w:lineRule="auto"/>
        <w:tabs>
          <w:tab w:leader="none" w:pos="196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Employee's principal working location, which the Company has determined to be a relocation of more than thirty-five (35) miles;</w:t>
      </w:r>
    </w:p>
    <w:p>
      <w:pPr>
        <w:ind w:left="1960" w:hanging="655"/>
        <w:spacing w:after="0"/>
        <w:tabs>
          <w:tab w:leader="none" w:pos="196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Employee's title, Annual Base Salary or Annual Bonus Opportunity; or</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of any of its respective obligations under this Agreement.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Employee being placed on a paid leave for up to sixty (60) days pending a determination of whether there is a basis to terminate Employee for Cause shall not constitute Good Reason. Employee's continued employment shall not constitute consent to, or a waiver of rights with respect to, any act or failure to act constituting Good Reason hereunder; provided, however, that no such event described above shall constitute Good Reason unless: (1) Employee gives Notice of Termination to the Company specifying the condition or event relied upon for such termination within ninety (90) days of the initial existence of such event and (2) the Company fails to cure the condition or event constituting Good Reason within thirty (30) days following</w:t>
      </w:r>
    </w:p>
    <w:p>
      <w:pPr>
        <w:sectPr>
          <w:pgSz w:w="11900" w:h="16838" w:orient="portrait"/>
          <w:cols w:equalWidth="0" w:num="1">
            <w:col w:w="11420"/>
          </w:cols>
          <w:pgMar w:left="240" w:top="607" w:right="239" w:bottom="1440" w:gutter="0" w:footer="0" w:header="0"/>
        </w:sectPr>
      </w:pPr>
    </w:p>
    <w:bookmarkStart w:id="135" w:name="page136"/>
    <w:bookmarkEnd w:id="135"/>
    <w:p>
      <w:pPr>
        <w:jc w:val="both"/>
        <w:spacing w:after="0" w:line="266" w:lineRule="auto"/>
        <w:rPr>
          <w:sz w:val="20"/>
          <w:szCs w:val="20"/>
          <w:color w:val="auto"/>
        </w:rPr>
      </w:pPr>
      <w:r>
        <w:rPr>
          <w:rFonts w:ascii="Times New Roman" w:cs="Times New Roman" w:eastAsia="Times New Roman" w:hAnsi="Times New Roman"/>
          <w:sz w:val="18"/>
          <w:szCs w:val="18"/>
          <w:color w:val="auto"/>
        </w:rPr>
        <w:t>receipt of Employee's Notice of Termination. For terminations for Good Reason under Sections 8(f)(ii)-(iii) above, the parties agree that if FNF or Fidelity National Information Services, Inc. offers a reasonably comparable employment position to Employee containing at least the same aggregate financial compensation terms within the above 30 day cure period, the Company shall have cured the condition or event constituting Good Reason.</w:t>
      </w:r>
    </w:p>
    <w:p>
      <w:pPr>
        <w:spacing w:after="0" w:line="203" w:lineRule="exact"/>
        <w:rPr>
          <w:sz w:val="20"/>
          <w:szCs w:val="20"/>
          <w:color w:val="auto"/>
        </w:rPr>
      </w:pPr>
    </w:p>
    <w:p>
      <w:pPr>
        <w:ind w:left="800" w:hanging="306"/>
        <w:spacing w:after="0"/>
        <w:tabs>
          <w:tab w:leader="none" w:pos="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Company Upon Termination.</w:t>
      </w:r>
    </w:p>
    <w:p>
      <w:pPr>
        <w:spacing w:after="0" w:line="2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a Reason Other than Caus</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Death or Disability and Termination by Employee for Good Reason</w:t>
      </w:r>
      <w:r>
        <w:rPr>
          <w:rFonts w:ascii="Times New Roman" w:cs="Times New Roman" w:eastAsia="Times New Roman" w:hAnsi="Times New Roman"/>
          <w:sz w:val="18"/>
          <w:szCs w:val="18"/>
          <w:color w:val="auto"/>
        </w:rPr>
        <w:t>. If Employee's employment is terminated during the Employment Term by: (1) the Company for any reason other than Cause, Death or Disability; or (2) Employee for Good Reason:</w:t>
      </w:r>
    </w:p>
    <w:p>
      <w:pPr>
        <w:spacing w:after="0" w:line="1" w:lineRule="exact"/>
        <w:rPr>
          <w:rFonts w:ascii="Times New Roman" w:cs="Times New Roman" w:eastAsia="Times New Roman" w:hAnsi="Times New Roman"/>
          <w:sz w:val="18"/>
          <w:szCs w:val="18"/>
          <w:color w:val="auto"/>
        </w:rPr>
      </w:pPr>
    </w:p>
    <w:p>
      <w:pPr>
        <w:jc w:val="both"/>
        <w:ind w:left="1960" w:hanging="655"/>
        <w:spacing w:after="0" w:line="250" w:lineRule="auto"/>
        <w:tabs>
          <w:tab w:leader="none" w:pos="1960"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Employee for expenses incurred prior to the Date of Termination; and (C) no later than March 15th of the year in which the Date of Termination occurs, any earned but unpaid Annual Bonus payments relating to the prior calendar year;</w:t>
      </w:r>
    </w:p>
    <w:p>
      <w:pPr>
        <w:spacing w:after="0" w:line="2" w:lineRule="exact"/>
        <w:rPr>
          <w:rFonts w:ascii="Times New Roman" w:cs="Times New Roman" w:eastAsia="Times New Roman" w:hAnsi="Times New Roman"/>
          <w:sz w:val="18"/>
          <w:szCs w:val="18"/>
          <w:color w:val="auto"/>
        </w:rPr>
      </w:pPr>
    </w:p>
    <w:p>
      <w:pPr>
        <w:jc w:val="both"/>
        <w:ind w:left="1960" w:hanging="655"/>
        <w:spacing w:after="0" w:line="235" w:lineRule="auto"/>
        <w:tabs>
          <w:tab w:leader="none" w:pos="1960"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Employee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calendar year following the year in which the Date of Termination occurs, a prorated Annual Bonus based upon the actual Annual Bonus that would have been earned by Employee for the year in which the Date of Termination occurs, ignoring any requirement under the Annual Bonus Plan that Employee must be employed on the payment date (using Employee's Annual Bonus Opportunity for the prior year if no Annual Bonus Opportunity has been approved for the year in which the Date of Termination occurs), multiplied by the percentage of the calendar year completed before the Date of Termination;</w:t>
      </w:r>
    </w:p>
    <w:p>
      <w:pPr>
        <w:spacing w:after="0" w:line="1" w:lineRule="exact"/>
        <w:rPr>
          <w:rFonts w:ascii="Times New Roman" w:cs="Times New Roman" w:eastAsia="Times New Roman" w:hAnsi="Times New Roman"/>
          <w:sz w:val="18"/>
          <w:szCs w:val="18"/>
          <w:color w:val="auto"/>
        </w:rPr>
      </w:pPr>
    </w:p>
    <w:p>
      <w:pPr>
        <w:jc w:val="both"/>
        <w:ind w:left="1960" w:hanging="655"/>
        <w:spacing w:after="0" w:line="250" w:lineRule="auto"/>
        <w:tabs>
          <w:tab w:leader="none" w:pos="1960"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26(b) hereof, the Company shall pay Employee as soon as practicable, but not later than the sixty-fifth (65th) day after the Date of Termination, a lump-sum payment equal to 200% of the sum of: (A) Employee's Annual Base Salary in effect immediately prior to the Date of Termination); and (B) the target Annual Bonus in the year in which the Date of Termination occurs;</w:t>
      </w:r>
    </w:p>
    <w:p>
      <w:pPr>
        <w:spacing w:after="0" w:line="1" w:lineRule="exact"/>
        <w:rPr>
          <w:rFonts w:ascii="Times New Roman" w:cs="Times New Roman" w:eastAsia="Times New Roman" w:hAnsi="Times New Roman"/>
          <w:sz w:val="18"/>
          <w:szCs w:val="18"/>
          <w:color w:val="auto"/>
        </w:rPr>
      </w:pPr>
    </w:p>
    <w:p>
      <w:pPr>
        <w:jc w:val="both"/>
        <w:ind w:left="1960" w:hanging="655"/>
        <w:spacing w:after="0" w:line="250" w:lineRule="auto"/>
        <w:tabs>
          <w:tab w:leader="none" w:pos="1960"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26(b) hereof, any life insurance coverage provided by the Company shall terminate at the same time as life insurance coverage would normally terminate for any other employee that terminates employment with the Company. Employee shall have the right to convert that life insurance coverage to an individual policy under the regular rules of the Company’s group policy. As soon as practicable, but not later than the sixty-fifth (65th) day after the Date of Termination, the Company shall pay Employee a lump sum cash payment equal to thirty-six monthly life insurance premiums based on the monthly premiums that would be due assuming that Employee had converted to the Company’s life insurance coverage that was in effect on the Notice of Termination into an individual policy; and</w:t>
      </w:r>
    </w:p>
    <w:p>
      <w:pPr>
        <w:spacing w:after="0" w:line="3" w:lineRule="exact"/>
        <w:rPr>
          <w:rFonts w:ascii="Times New Roman" w:cs="Times New Roman" w:eastAsia="Times New Roman" w:hAnsi="Times New Roman"/>
          <w:sz w:val="18"/>
          <w:szCs w:val="18"/>
          <w:color w:val="auto"/>
        </w:rPr>
      </w:pPr>
    </w:p>
    <w:p>
      <w:pPr>
        <w:jc w:val="both"/>
        <w:ind w:left="1960" w:hanging="655"/>
        <w:spacing w:after="0" w:line="250" w:lineRule="auto"/>
        <w:tabs>
          <w:tab w:leader="none" w:pos="1960" w:val="left"/>
        </w:tabs>
        <w:numPr>
          <w:ilvl w:val="3"/>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Employee pays the full monthly premiums for COBRA coverage to the Company, the Company shall provide Employee and, as applicable, Employee's eligible dependents with continued medical and dental coverage, on the same basis as provided to the Company’s active executives and their dependents until the earlier of: (i) 36 months after the Date of Termination; or (ii) the date Employee is first eligible for medical and dental coverage (without pre-existing condition limitations) with a subsequent employer. In addition, as soon as practicable, but not later than the sixty-fifth (65th) day after the Date of Termination, the Company shall pay Employee a lump sum cash payment equal to thirty-six monthly medical and dental COBRA premiums based on the level of coverage in effect for the Employee (e.g., employee only or family coverage) on the Date of Termination.</w:t>
      </w:r>
    </w:p>
    <w:p>
      <w:pPr>
        <w:spacing w:after="0" w:line="3" w:lineRule="exact"/>
        <w:rPr>
          <w:rFonts w:ascii="Times New Roman" w:cs="Times New Roman" w:eastAsia="Times New Roman" w:hAnsi="Times New Roman"/>
          <w:sz w:val="18"/>
          <w:szCs w:val="18"/>
          <w:color w:val="auto"/>
        </w:rPr>
      </w:pPr>
    </w:p>
    <w:p>
      <w:pPr>
        <w:jc w:val="both"/>
        <w:ind w:left="1380" w:hanging="751"/>
        <w:spacing w:after="0" w:line="255" w:lineRule="auto"/>
        <w:tabs>
          <w:tab w:leader="none" w:pos="13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and by Employee without Good Reason</w:t>
      </w:r>
      <w:r>
        <w:rPr>
          <w:rFonts w:ascii="Times New Roman" w:cs="Times New Roman" w:eastAsia="Times New Roman" w:hAnsi="Times New Roman"/>
          <w:sz w:val="18"/>
          <w:szCs w:val="18"/>
          <w:color w:val="auto"/>
        </w:rPr>
        <w:t>. If Employee's employment is terminated during the Employment Term by the Company for Cause or by Employee without Good Reason, the Company's only obligation under this Agreement shall be payment of any Accrued Obligations.</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Employee's employment is terminated during the Employment Term due to death or Disability, the Company shall pay Employee (or to Employee's estate or personal representative in the case of death), as soon as practicable, but not later than the sixty-fifth (65th) day after the Date of Termination: (i) any Accrued Obligations; plus (ii) the amount of Employee’s accrued Annual Bonus as contained on the internal books of the Company for the month in which the Date of Termination occurs.</w:t>
      </w:r>
    </w:p>
    <w:p>
      <w:pPr>
        <w:spacing w:after="0" w:line="207"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Non-Delegation of Employee's Rights</w:t>
      </w:r>
      <w:r>
        <w:rPr>
          <w:rFonts w:ascii="Times New Roman" w:cs="Times New Roman" w:eastAsia="Times New Roman" w:hAnsi="Times New Roman"/>
          <w:sz w:val="18"/>
          <w:szCs w:val="18"/>
          <w:color w:val="auto"/>
        </w:rPr>
        <w:t>. The obligations, rights and benefits of Employee hereunder are personal and may not be delegated, assigned or transferred in any manner whatsoever, nor are such obligations, rights or benefits subject to involuntary alienation, assignment or transfer.</w:t>
      </w:r>
    </w:p>
    <w:p>
      <w:pPr>
        <w:spacing w:after="0" w:line="1" w:lineRule="exact"/>
        <w:rPr>
          <w:rFonts w:ascii="Times New Roman" w:cs="Times New Roman" w:eastAsia="Times New Roman" w:hAnsi="Times New Roman"/>
          <w:sz w:val="18"/>
          <w:szCs w:val="18"/>
          <w:color w:val="auto"/>
        </w:rPr>
      </w:pPr>
    </w:p>
    <w:p>
      <w:pPr>
        <w:ind w:firstLine="494"/>
        <w:spacing w:after="0" w:line="329" w:lineRule="auto"/>
        <w:tabs>
          <w:tab w:leader="none" w:pos="15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Employee will occupy a position of trust and confidence and will have access to and learn substantial information about the Company and its affiliates and their respective operations that is confidential or not generally</w:t>
      </w:r>
    </w:p>
    <w:p>
      <w:pPr>
        <w:sectPr>
          <w:pgSz w:w="11900" w:h="16838" w:orient="portrait"/>
          <w:cols w:equalWidth="0" w:num="1">
            <w:col w:w="11420"/>
          </w:cols>
          <w:pgMar w:left="240" w:top="580" w:right="239" w:bottom="1440" w:gutter="0" w:footer="0" w:header="0"/>
        </w:sectPr>
      </w:pPr>
    </w:p>
    <w:bookmarkStart w:id="136" w:name="page137"/>
    <w:bookmarkEnd w:id="136"/>
    <w:p>
      <w:pPr>
        <w:jc w:val="both"/>
        <w:spacing w:after="0" w:line="297" w:lineRule="auto"/>
        <w:rPr>
          <w:sz w:val="20"/>
          <w:szCs w:val="20"/>
          <w:color w:val="auto"/>
        </w:rPr>
      </w:pPr>
      <w:r>
        <w:rPr>
          <w:rFonts w:ascii="Times New Roman" w:cs="Times New Roman" w:eastAsia="Times New Roman" w:hAnsi="Times New Roman"/>
          <w:sz w:val="18"/>
          <w:szCs w:val="18"/>
          <w:color w:val="auto"/>
        </w:rPr>
        <w:t>known in the industry including, without limitation, information that relates to purchasing, sales, customers, marketing, and the financial positions and financing arrangements of the Company and its affiliates. Employee agrees that all such information is proprietary or confidential, or constitutes trade secrets and is the sole property of the Company and/or its affiliates, as the case may be. Employee will keep confidential and, outside the scope of Employee's duties and responsibilities with the Company and its affiliates,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Employee advise, discuss with or in any way assist any other person, firm or entity in obtaining or learning about any of the items described in this section. Accordingly, during the Employment Term and at all times thereafter Employee will not disclose, or permit or encourage anyone else to disclose, any such information, nor will Employee utilize any such information, either alone or with others, outside the scope of Employee's duties and responsibilities with the Company and its affiliates.</w:t>
      </w:r>
    </w:p>
    <w:p>
      <w:pPr>
        <w:spacing w:after="0" w:line="5" w:lineRule="exact"/>
        <w:rPr>
          <w:sz w:val="20"/>
          <w:szCs w:val="20"/>
          <w:color w:val="auto"/>
        </w:rPr>
      </w:pPr>
    </w:p>
    <w:p>
      <w:pPr>
        <w:ind w:left="1520" w:hanging="1026"/>
        <w:spacing w:after="0"/>
        <w:tabs>
          <w:tab w:leader="none" w:pos="15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During Employment Term</w:t>
      </w:r>
      <w:r>
        <w:rPr>
          <w:rFonts w:ascii="Times New Roman" w:cs="Times New Roman" w:eastAsia="Times New Roman" w:hAnsi="Times New Roman"/>
          <w:sz w:val="18"/>
          <w:szCs w:val="18"/>
          <w:color w:val="auto"/>
        </w:rPr>
        <w:t>. During the Employment Term Employee will devote such business time, attention and energies reasonably necessary to the diligent and faithful performance of the services to the Company and its affiliates, and will not engage in any way whatsoever, directly or indirectly, in any business that is a direct competitor with the Company's or its affiliates' principal business, nor solicit customers, suppliers or employees of the Company or its affiliates on behalf of, or in any other manner work for or assist any business which is a direct competitor with the Company's or its affiliates' principal business. In addition, during the Employment Term, Employee will not combine or conspire with any other employee of the Company or any other person for the purpose of organizing any competitive business activity.</w:t>
      </w:r>
    </w:p>
    <w:p>
      <w:pPr>
        <w:spacing w:after="0" w:line="4" w:lineRule="exact"/>
        <w:rPr>
          <w:rFonts w:ascii="Times New Roman" w:cs="Times New Roman" w:eastAsia="Times New Roman" w:hAnsi="Times New Roman"/>
          <w:sz w:val="18"/>
          <w:szCs w:val="18"/>
          <w:color w:val="auto"/>
        </w:rPr>
      </w:pPr>
    </w:p>
    <w:p>
      <w:pPr>
        <w:jc w:val="both"/>
        <w:ind w:left="1300" w:hanging="644"/>
        <w:spacing w:after="0" w:line="251" w:lineRule="auto"/>
        <w:tabs>
          <w:tab w:leader="none" w:pos="13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 Employment Term</w:t>
      </w:r>
      <w:r>
        <w:rPr>
          <w:rFonts w:ascii="Times New Roman" w:cs="Times New Roman" w:eastAsia="Times New Roman" w:hAnsi="Times New Roman"/>
          <w:sz w:val="18"/>
          <w:szCs w:val="18"/>
          <w:color w:val="auto"/>
        </w:rPr>
        <w:t>. The parties acknowledge that Employee will acquire substantial knowledge and information concerning the business of the Company and its affiliates as a result of employment. The parties further acknowledge that the scope of business in which the Company and its affiliates are engaged is national and very competitive and one in which few companies can successfully compete. Competition by Employee in that business after the Employment Term would severely injure the Company and its affiliates. Accordingly, for a period of one year after Employee's employment terminates for any reason whatsoever with the Company, Employee agrees: (1) not to become an employee, consultant, advisor, principal, partner or substantial shareholder of any firm or business that directly competes with the Company or its affiliates in their principal products and markets; and (2), on behalf of any such competitive firm or business, not to solicit any person or business that was at the time of such termination and remains a customer or prospective customer, a supplier or prospective supplier, or an employee of the Company or its affiliates. Working directly or indirectly for any of the following entities shall not be considered competitive to the Company or its affiliates for the purpose of this Section: (i) Fidelity National Information Services, Inc., its affiliates or their successors or (ii) Fidelity National Financial, Inc., its affiliates or their successors.</w:t>
      </w:r>
    </w:p>
    <w:p>
      <w:pPr>
        <w:spacing w:after="0" w:line="4"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the Company’s Documents</w:t>
      </w:r>
      <w:r>
        <w:rPr>
          <w:rFonts w:ascii="Times New Roman" w:cs="Times New Roman" w:eastAsia="Times New Roman" w:hAnsi="Times New Roman"/>
          <w:sz w:val="18"/>
          <w:szCs w:val="18"/>
          <w:color w:val="auto"/>
        </w:rPr>
        <w:t>. As soon as practicable following termination of the Employment Term, Employee shall immediately return to the Company, or in the case of electronic records, delete under the Company’s supervision, all records and documents of or pertaining to the Company or its affiliates and shall not make or retain any copy or extract of any such record or document, or any other property of the Company or its affiliates.</w:t>
      </w:r>
    </w:p>
    <w:p>
      <w:pPr>
        <w:spacing w:after="0" w:line="1"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Improvements and Inventions</w:t>
      </w:r>
      <w:r>
        <w:rPr>
          <w:rFonts w:ascii="Times New Roman" w:cs="Times New Roman" w:eastAsia="Times New Roman" w:hAnsi="Times New Roman"/>
          <w:sz w:val="18"/>
          <w:szCs w:val="18"/>
          <w:color w:val="auto"/>
        </w:rPr>
        <w:t>. Any and all improvements or inventions that Employee may make or participate in during the Employment Term, unless wholly unrelated to the business of the Company and its affiliates and not produced within the scope of Employee's employment hereunder, shall be the sole and exclusive property of the Company.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2"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and Survival</w:t>
      </w:r>
      <w:r>
        <w:rPr>
          <w:rFonts w:ascii="Times New Roman" w:cs="Times New Roman" w:eastAsia="Times New Roman" w:hAnsi="Times New Roman"/>
          <w:sz w:val="18"/>
          <w:szCs w:val="18"/>
          <w:color w:val="auto"/>
        </w:rPr>
        <w:t>. The parties agree and acknowledge that the rights conveyed by this Agreement are of a unique and special nature and that the Company will not have an adequate remedy at law in the event of a failure by Employee to abide by its terms and conditions, nor will money damages adequately compensate for such injury. Therefore, in the event of a breach of Sections 11 through 14 of this Agreement by Employee, the Company shall have the right, among other rights, to damages sustained thereby and to an injunction or decree of specific performance from a court of competent jurisdiction to restrain or compel Employee to perform as agreed herein without posting any bond. Notwithstanding any termination of this Agreement or Employee's employment, Section 9 shall remain in effect until all obligations and benefits resulting from a termination of Employee’s employment during the Employment Term are satisfied. In addition, Sections 10 through 26 shall survive the termination of this Agreement or Employee’s employment and shall remain in effect for the periods specified therein or, if no period is specified, until all obligations thereunder have been satisfied. Nothing in this Agreement shall in any way limit or exclude any other right granted by law or equity to the Company.</w:t>
      </w:r>
    </w:p>
    <w:p>
      <w:pPr>
        <w:spacing w:after="0" w:line="4" w:lineRule="exact"/>
        <w:rPr>
          <w:rFonts w:ascii="Times New Roman" w:cs="Times New Roman" w:eastAsia="Times New Roman" w:hAnsi="Times New Roman"/>
          <w:sz w:val="18"/>
          <w:szCs w:val="18"/>
          <w:color w:val="auto"/>
        </w:rPr>
      </w:pPr>
    </w:p>
    <w:p>
      <w:pPr>
        <w:jc w:val="both"/>
        <w:ind w:firstLine="494"/>
        <w:spacing w:after="0" w:line="308" w:lineRule="auto"/>
        <w:tabs>
          <w:tab w:leader="none" w:pos="152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Notwithstanding any provision herein to the contrary, the Company may require that, prior to payment, distribution or other benefit under Section 9 of this Agreement (other than due to Employee's death), Employee shall have executed a complete release of the Company and its affiliates and related parties in such form as is reasonably required by the Company any waiting periods contained in such release shall have expired. With respect to any release required to receive payments,</w:t>
      </w:r>
    </w:p>
    <w:p>
      <w:pPr>
        <w:sectPr>
          <w:pgSz w:w="11900" w:h="16838" w:orient="portrait"/>
          <w:cols w:equalWidth="0" w:num="1">
            <w:col w:w="11420"/>
          </w:cols>
          <w:pgMar w:left="240" w:top="607" w:right="239" w:bottom="1440" w:gutter="0" w:footer="0" w:header="0"/>
        </w:sectPr>
      </w:pPr>
    </w:p>
    <w:bookmarkStart w:id="137" w:name="page138"/>
    <w:bookmarkEnd w:id="137"/>
    <w:p>
      <w:pPr>
        <w:jc w:val="both"/>
        <w:spacing w:after="0" w:line="297" w:lineRule="auto"/>
        <w:rPr>
          <w:sz w:val="20"/>
          <w:szCs w:val="20"/>
          <w:color w:val="auto"/>
        </w:rPr>
      </w:pPr>
      <w:r>
        <w:rPr>
          <w:rFonts w:ascii="Times New Roman" w:cs="Times New Roman" w:eastAsia="Times New Roman" w:hAnsi="Times New Roman"/>
          <w:sz w:val="18"/>
          <w:szCs w:val="18"/>
          <w:color w:val="auto"/>
        </w:rPr>
        <w:t>distributions or other benefits owed pursuant to Section 9 of this Agreement, the Company must provide Employee with the form of release no later than seven (7) days after the Date of Termination and the release must be signed by Employee and returned to the Company unchanged, effective and irrevocable, no later than sixty (60) days after the Date of Termination.</w:t>
      </w:r>
    </w:p>
    <w:p>
      <w:pPr>
        <w:spacing w:after="0" w:line="1" w:lineRule="exact"/>
        <w:rPr>
          <w:sz w:val="20"/>
          <w:szCs w:val="20"/>
          <w:color w:val="auto"/>
        </w:rPr>
      </w:pP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The Company agrees that, if Employee's employment hereunder is terminated during the Employment Term, Employee is not required to seek other employment or to attempt in any way to reduce any amounts payable to Employee by the Company hereunder. Further, the amount of any payment or benefit provided for hereunder shall not be reduced by any compensation earned by Employee as the result of employment by another employer, by retirement benefits or otherwise.</w:t>
      </w:r>
    </w:p>
    <w:p>
      <w:pPr>
        <w:spacing w:after="0" w:line="1" w:lineRule="exact"/>
        <w:rPr>
          <w:rFonts w:ascii="Times New Roman" w:cs="Times New Roman" w:eastAsia="Times New Roman" w:hAnsi="Times New Roman"/>
          <w:sz w:val="18"/>
          <w:szCs w:val="18"/>
          <w:color w:val="auto"/>
        </w:rPr>
      </w:pPr>
    </w:p>
    <w:p>
      <w:pPr>
        <w:jc w:val="both"/>
        <w:ind w:right="20"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and Amendment</w:t>
      </w:r>
      <w:r>
        <w:rPr>
          <w:rFonts w:ascii="Times New Roman" w:cs="Times New Roman" w:eastAsia="Times New Roman" w:hAnsi="Times New Roman"/>
          <w:sz w:val="18"/>
          <w:szCs w:val="18"/>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all parties to this Agreement.</w:t>
      </w:r>
    </w:p>
    <w:p>
      <w:pPr>
        <w:spacing w:after="0" w:line="1"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1"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and Successors</w:t>
      </w:r>
      <w:r>
        <w:rPr>
          <w:rFonts w:ascii="Times New Roman" w:cs="Times New Roman" w:eastAsia="Times New Roman" w:hAnsi="Times New Roman"/>
          <w:sz w:val="18"/>
          <w:szCs w:val="18"/>
          <w:color w:val="auto"/>
        </w:rPr>
        <w:t>. This Agreement may not be assigned by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Employee agrees and consents to any such assumption by a successor of the Company, as well as any assignment of this Agreement by the Company for that purpose. As used in this Agreement, the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3" w:lineRule="exact"/>
        <w:rPr>
          <w:rFonts w:ascii="Times New Roman" w:cs="Times New Roman" w:eastAsia="Times New Roman" w:hAnsi="Times New Roman"/>
          <w:sz w:val="18"/>
          <w:szCs w:val="18"/>
          <w:color w:val="auto"/>
        </w:rPr>
      </w:pPr>
    </w:p>
    <w:p>
      <w:pPr>
        <w:ind w:right="20"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constitute one and the same instrument.</w:t>
      </w: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and litigation expenses, all as determined by the court and not a jury, and such payment shall be made by the non-prevailing party within sixty (60) days of the date the right to the payment amount is so determined; provided, however, that following Employee’s termination of employment with the Company if any party finds it necessary to employ legal counsel or to bring an action at law or other proceedings against the other party to interpret or enforce any of the terms hereof, the Company shall pay (on an ongoing basis) to Employee to the fullest extent permitted by law, all legal fees, court costs and litigation expenses reasonably incurred by Employee or others on Employee’s behalf (such amounts collectively referred to as the "Reimbursed Amounts"); provided, further, that Employee shall reimburse the Company for the Reimbursed Amounts if it is determined by a court of final adjudication that a majority of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Employee. The rights under this section shall survive the termination of employment and this Agreement until the expiration of the applicable statute of limitations.</w:t>
      </w:r>
    </w:p>
    <w:p>
      <w:pPr>
        <w:spacing w:after="0" w:line="5"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Employee in this Agreement shall each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the covenants in this Agreement.</w:t>
      </w:r>
    </w:p>
    <w:p>
      <w:pPr>
        <w:spacing w:after="0" w:line="3" w:lineRule="exact"/>
        <w:rPr>
          <w:rFonts w:ascii="Times New Roman" w:cs="Times New Roman" w:eastAsia="Times New Roman" w:hAnsi="Times New Roman"/>
          <w:sz w:val="18"/>
          <w:szCs w:val="18"/>
          <w:color w:val="auto"/>
        </w:rPr>
      </w:pPr>
    </w:p>
    <w:p>
      <w:pPr>
        <w:jc w:val="both"/>
        <w:ind w:firstLine="494"/>
        <w:spacing w:after="0" w:line="297" w:lineRule="auto"/>
        <w:tabs>
          <w:tab w:leader="none" w:pos="152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w:t>
      </w:r>
    </w:p>
    <w:p>
      <w:pPr>
        <w:jc w:val="right"/>
        <w:ind w:left="660" w:right="9520" w:hanging="648"/>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addresses set forth below: To the Company: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BKFS I Management, Inc.</w:t>
      </w:r>
    </w:p>
    <w:p>
      <w:pPr>
        <w:sectPr>
          <w:pgSz w:w="11900" w:h="16838" w:orient="portrait"/>
          <w:cols w:equalWidth="0" w:num="1">
            <w:col w:w="11420"/>
          </w:cols>
          <w:pgMar w:left="240" w:top="607" w:right="2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Jacksonville, FL 32204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Employee: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address last provided to the Company as recorded in the Company’s Human Resource system.</w:t>
      </w:r>
    </w:p>
    <w:p>
      <w:pPr>
        <w:spacing w:after="0" w:line="252" w:lineRule="exact"/>
        <w:rPr>
          <w:sz w:val="20"/>
          <w:szCs w:val="20"/>
          <w:color w:val="auto"/>
        </w:rPr>
      </w:pPr>
    </w:p>
    <w:p>
      <w:pPr>
        <w:ind w:left="660" w:firstLine="482"/>
        <w:spacing w:after="0" w:line="297" w:lineRule="auto"/>
        <w:tabs>
          <w:tab w:leader="none" w:pos="218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The waiver by any party of any provisions of this Agreement shall not operate or be construed as a waiver of any prior or subsequent breach by the other party.</w:t>
      </w:r>
    </w:p>
    <w:p>
      <w:pPr>
        <w:ind w:left="1520" w:hanging="1026"/>
        <w:spacing w:after="0"/>
        <w:tabs>
          <w:tab w:leader="none" w:pos="15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738"/>
        <w:spacing w:after="0" w:line="258"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or an affiliate thereof may deduct from all compensation and benefits payable under this Agreement any taxes or withholdings the Company is required to deduct pursuant to state, federal or local laws.</w:t>
      </w:r>
    </w:p>
    <w:p>
      <w:pPr>
        <w:jc w:val="both"/>
        <w:ind w:left="1300" w:hanging="738"/>
        <w:spacing w:after="0" w:line="250"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Agreement and any payment, distribution or other benefit hereunder shall comply with the requirements of Section 409A of the Code, as well as any related regulations or other guidance promulgated by the U.S. Department of the Treasury or the Internal Revenue Service ("Section 409A"), to the extent applicable. To the extent Employee is a "specified employee" under Section 409A, no payment, distribution or other benefit described in this Agreement constituting a distribution of deferred compensation (within the meaning of Treasury Regulation Section 1.409A-1(b)) to be paid during the six-month period following a separation from service (within the meaning of Treasury Regulation Section 1.409A-1(h)) will be made during such six-month period. Instead, any such deferred compensation shall be paid on the first business day following the six-month anniversary of the separation from service. In no event may Employee, directly or indirectly, designate the calendar year of a payment. Any provision that would cause this Agreement or a payment, distribution or other benefit hereunder to fail to satisfy the requirements of Section 409A shall have no force or effect and, to the extent an amendment would be effective for purposes of Section 409A, the parties agree that this Agreement shall be amended to comply with Section 409A. Such amendment shall be retroactive to the extent permitted by Section 409A. For purposes of this Agreement, Employee shall not be deemed to have terminated employment unless and until a separation from service (within the meaning of Treasury Regulation Section 1.409A-1(h)) has occurred. All reimbursements and in-kind benefits provided under this Agreement shall be made or provided in accordance with the requirements of Section 409A, including, where applicable, the requirement that (i) any reimbursement shall be for expenses incurred during the time period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not later than the last day of the Employee's taxable year following the taxable year in which such expense was incurred, and (iv) the right to reimbursement or in-kind benefits is not subject to liquidation or exchange for another benefit.</w:t>
      </w:r>
    </w:p>
    <w:p>
      <w:pPr>
        <w:spacing w:after="0" w:line="9" w:lineRule="exact"/>
        <w:rPr>
          <w:rFonts w:ascii="Times New Roman" w:cs="Times New Roman" w:eastAsia="Times New Roman" w:hAnsi="Times New Roman"/>
          <w:sz w:val="18"/>
          <w:szCs w:val="18"/>
          <w:color w:val="auto"/>
        </w:rPr>
      </w:pPr>
    </w:p>
    <w:p>
      <w:pPr>
        <w:jc w:val="both"/>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Excise Taxes</w:t>
      </w:r>
      <w:r>
        <w:rPr>
          <w:rFonts w:ascii="Times New Roman" w:cs="Times New Roman" w:eastAsia="Times New Roman" w:hAnsi="Times New Roman"/>
          <w:sz w:val="18"/>
          <w:szCs w:val="18"/>
          <w:color w:val="auto"/>
        </w:rPr>
        <w:t>. If any payments or benefits paid or provided or to be paid or provided to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pro-rated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[Remainder of page is intentionally blank.]</w:t>
      </w:r>
    </w:p>
    <w:p>
      <w:pPr>
        <w:sectPr>
          <w:pgSz w:w="11900" w:h="16838" w:orient="portrait"/>
          <w:cols w:equalWidth="0" w:num="1">
            <w:col w:w="11420"/>
          </w:cols>
          <w:pgMar w:left="240" w:top="580" w:right="2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to be effective as of the date first set forth above.</w:t>
      </w:r>
    </w:p>
    <w:p>
      <w:pPr>
        <w:spacing w:after="0" w:line="39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BKFS I Management,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/s/ Thomas J. Sanzone</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Its: Chief Executive Officer and President</w:t>
      </w: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Michael L. Gravelle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Michael Gravelle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Employment Agreement</w:t>
      </w:r>
    </w:p>
    <w:p>
      <w:pPr>
        <w:sectPr>
          <w:pgSz w:w="11900" w:h="16838" w:orient="portrait"/>
          <w:cols w:equalWidth="0" w:num="1">
            <w:col w:w="10219"/>
          </w:cols>
          <w:pgMar w:left="240" w:top="58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R. Quirk, certify that:</w:t>
      </w:r>
    </w:p>
    <w:p>
      <w:pPr>
        <w:spacing w:after="0" w:line="153" w:lineRule="exact"/>
        <w:rPr>
          <w:sz w:val="20"/>
          <w:szCs w:val="20"/>
          <w:color w:val="auto"/>
        </w:rPr>
      </w:pPr>
    </w:p>
    <w:p>
      <w:pPr>
        <w:ind w:left="180" w:hanging="172"/>
        <w:spacing w:after="0"/>
        <w:tabs>
          <w:tab w:leader="none" w:pos="1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2015</w:t>
      </w:r>
    </w:p>
    <w:p>
      <w:pPr>
        <w:spacing w:after="0" w:line="171"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53" w:lineRule="exact"/>
        <w:rPr>
          <w:sz w:val="20"/>
          <w:szCs w:val="20"/>
          <w:color w:val="auto"/>
        </w:rPr>
      </w:pPr>
    </w:p>
    <w:p>
      <w:pPr>
        <w:ind w:left="180" w:hanging="172"/>
        <w:spacing w:after="0"/>
        <w:tabs>
          <w:tab w:leader="none" w:pos="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2015</w:t>
      </w:r>
    </w:p>
    <w:p>
      <w:pPr>
        <w:spacing w:after="0" w:line="333"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May 6, 2015</w:t>
      </w:r>
    </w:p>
    <w:p>
      <w:pPr>
        <w:spacing w:after="0" w:line="108"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34290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May 6, 2015</w:t>
      </w:r>
    </w:p>
    <w:p>
      <w:pPr>
        <w:spacing w:after="0" w:line="108"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 expenses and cash flows that are attributed to our FNF core business, known as FNF Core Operations (“we,” “our,” or "FNF Group"). The financial information in this Exhibit should be read in conjunction with our unaudited condensed consolidated financial statements for the period ended March 31, 2015 included in this Quarterly Report on Form 10-Q.</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FNF Core Operations is comprised of three operating segments as follows:</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BKFS</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Core Corporate and Other</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certain expense allocation policies, each of which will be reflected in the attributed financial information of the FNF Core Operations and the FNFV Group (see Exhibit 99.2).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r>
      <w:tr>
        <w:trPr>
          <w:trHeight w:val="217"/>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270"/>
        </w:trPr>
        <w:tc>
          <w:tcPr>
            <w:tcW w:w="8700" w:type="dxa"/>
            <w:vAlign w:val="bottom"/>
          </w:tcPr>
          <w:p>
            <w:pPr>
              <w:ind w:left="4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maturity securities available for sale, at fair value, at March 31, 2015 and December 31, 2014 includes pledged fixed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maturity securities of $355 and $499, respectively, related to secured trust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3,025</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available for sale,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 available for sale, at fair value</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w:t>
            </w:r>
          </w:p>
        </w:tc>
      </w:tr>
      <w:tr>
        <w:trPr>
          <w:trHeight w:val="217"/>
        </w:trPr>
        <w:tc>
          <w:tcPr>
            <w:tcW w:w="8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3,698</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8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March 31, 2015 and December 31, 2014 includes $265 and $136, respectively, of pledged cash related</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661</w:t>
            </w: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 secured trust deposits</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 of $31 and $32 at March 31, 2015 and December 31, 2014, respectively</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4,515</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934</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plant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r>
      <w:tr>
        <w:trPr>
          <w:trHeight w:val="244"/>
        </w:trPr>
        <w:tc>
          <w:tcPr>
            <w:tcW w:w="87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11,975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11,944</w:t>
            </w: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2"/>
        </w:trPr>
        <w:tc>
          <w:tcPr>
            <w:tcW w:w="8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8700" w:type="dxa"/>
            <w:vAlign w:val="bottom"/>
            <w:tcBorders>
              <w:bottom w:val="single" w:sz="8" w:color="CCEEFF"/>
            </w:tcBorders>
            <w:shd w:val="clear" w:color="auto" w:fill="CCEEFF"/>
          </w:tcPr>
          <w:p>
            <w:pPr>
              <w:ind w:left="39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917</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1,621</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2,702</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affiliates</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w:t>
            </w:r>
          </w:p>
        </w:tc>
      </w:tr>
      <w:tr>
        <w:trPr>
          <w:trHeight w:val="217"/>
        </w:trPr>
        <w:tc>
          <w:tcPr>
            <w:tcW w:w="8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6,672</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 non-controlling interest by 33% minority holder of Black Knight Financial Services, LLC and 35% minority holder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ServiceLink Holdings, LLC</w:t>
            </w:r>
          </w:p>
        </w:tc>
        <w:tc>
          <w:tcPr>
            <w:tcW w:w="1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715</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FNF Group common stock, $0.0001 par value; authorized 487,000,000 shares as of March 31, 2015 and December 31, 2014;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issued 280,334,456 and 279,443,239 as of March 31, 2015 and December 31, 2014, respectively</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3,514</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1,060</w:t>
            </w:r>
          </w:p>
        </w:tc>
      </w:tr>
      <w:tr>
        <w:trPr>
          <w:trHeight w:val="237"/>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earnings</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8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treasury stock, 375,662 shares as of March 31, 2015 and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8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Fidelity National Financial shareholders’ equity</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4,615</w:t>
            </w:r>
          </w:p>
        </w:tc>
      </w:tr>
      <w:tr>
        <w:trPr>
          <w:trHeight w:val="33"/>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7"/>
        </w:trPr>
        <w:tc>
          <w:tcPr>
            <w:tcW w:w="8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4,557</w:t>
            </w:r>
          </w:p>
        </w:tc>
      </w:tr>
      <w:tr>
        <w:trPr>
          <w:trHeight w:val="33"/>
        </w:trPr>
        <w:tc>
          <w:tcPr>
            <w:tcW w:w="8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11,944</w:t>
            </w: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Core Operations</w:t>
      </w:r>
    </w:p>
    <w:p>
      <w:pPr>
        <w:sectPr>
          <w:pgSz w:w="11900" w:h="16838" w:orient="portrait"/>
          <w:cols w:equalWidth="0" w:num="1">
            <w:col w:w="11420"/>
          </w:cols>
          <w:pgMar w:left="240" w:top="360" w:right="239" w:bottom="982"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982"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ending March 31,</w:t>
            </w:r>
          </w:p>
        </w:tc>
      </w:tr>
      <w:tr>
        <w:trPr>
          <w:trHeight w:val="33"/>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2015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2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Escrow, title related and other fees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Realized gains and losses</w:t>
            </w:r>
          </w:p>
        </w:tc>
        <w:tc>
          <w:tcPr>
            <w:tcW w:w="8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Agent commissions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Claim loss expense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1,503</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before income taxes and equity in losses of unconsolidated affiliates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(loss) from continuing operations before equity in losses of unconsolidated affiliates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(loss) attributable to FNF Group common shareholders</w:t>
            </w:r>
          </w:p>
        </w:tc>
        <w:tc>
          <w:tcPr>
            <w:tcW w:w="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22"/>
        </w:trPr>
        <w:tc>
          <w:tcPr>
            <w:tcW w:w="8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90"/>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122"/>
        </w:trPr>
        <w:tc>
          <w:tcPr>
            <w:tcW w:w="85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r>
      <w:tr>
        <w:trPr>
          <w:trHeight w:val="29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63"/>
        </w:trPr>
        <w:tc>
          <w:tcPr>
            <w:tcW w:w="8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2"/>
        </w:trPr>
        <w:tc>
          <w:tcPr>
            <w:tcW w:w="8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basic basis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diluted basis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8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basic basis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diluted basis</w:t>
            </w: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33"/>
        </w:trPr>
        <w:tc>
          <w:tcPr>
            <w:tcW w:w="8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Core Operations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FIDELITY NATIONAL FINANCIAL GROUP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w:t>
      </w:r>
    </w:p>
    <w:p>
      <w:pPr>
        <w:spacing w:after="0" w:line="209"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8"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earnings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Gain (loss) on sales of investments and other assets, net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Tax benefit associated with the exercise of stock options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decrease in pledged cash, pledged investments, and secured trust deposits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reserve for title claim losses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change in amount 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sale of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purchases of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purchases of 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(Contributions to) 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of Lender Processing Services, Inc.,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of BPG Holdings, LLC,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acquisitions/disposals of businesses,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service payments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Additional investment in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 of 35% of Black Knight Financial Services, LLC and ServiceLink, LLC to minority interest holder</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Subsidiary dividends paid to non-controlling interest shareholders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 benefit associated with the 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1,517</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 excluding pledged cash related to secured trust deposits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3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beginning of period</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9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Core Operations</w:t>
      </w:r>
    </w:p>
    <w:p>
      <w:pPr>
        <w:sectPr>
          <w:pgSz w:w="11900" w:h="16838" w:orient="portrait"/>
          <w:cols w:equalWidth="0" w:num="1">
            <w:col w:w="11360"/>
          </w:cols>
          <w:pgMar w:left="280" w:top="360" w:right="259" w:bottom="1440" w:gutter="0" w:footer="0" w:header="0"/>
        </w:sect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360" w:right="259" w:bottom="1440" w:gutter="0" w:footer="0" w:header="0"/>
          <w:type w:val="continuous"/>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Attributed Financial Information for Fidelity National Financial Group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Period Ended March 31, 2015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Times New Roman" w:cs="Times New Roman" w:eastAsia="Times New Roman" w:hAnsi="Times New Roman"/>
          <w:sz w:val="18"/>
          <w:szCs w:val="18"/>
          <w:b w:val="1"/>
          <w:bCs w:val="1"/>
          <w:color w:val="auto"/>
        </w:rPr>
        <w:t>Note A.</w:t>
        <w:tab/>
        <w:t>Basis of Presentation</w:t>
      </w:r>
    </w:p>
    <w:p>
      <w:pPr>
        <w:spacing w:after="0" w:line="95"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FNF Group is a leading provider of title insurance, technology and transaction services to the real estate and mortgage industries. FNF Group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Group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("ServiceLink").</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23, 2014, we filed a registration statement with the Securities and Exchange Commission (“SEC”) relating to a proposed initial public offering of Black Knight Financial Services, Inc. ("BKFSI") common stock. BKFSI is currently presented as the BKFS segment. On May 4, 2015, we filed amendment number 4 to the initial registration statement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March 31, 2015 included in this Quarterly Report on Form 10-Q.</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FNFV Group common stock is intended to reflect the separate performance of our FNFV Group. We own majority and minority equity investment stakes in a number of entities, including American Blue Ribbon Holdings, LLC ("ABRH"), J. Alexander’s, LLC ("J. Alexander's"), Ceridian HCM, Inc. ("Ceridian") and Digital Insurance, Inc. ("Digital Insurance").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FNFV Group is comprised of two operating segments as follows:</w:t>
      </w:r>
    </w:p>
    <w:p>
      <w:pPr>
        <w:spacing w:after="0" w:line="115" w:lineRule="exact"/>
        <w:rPr>
          <w:sz w:val="20"/>
          <w:szCs w:val="20"/>
          <w:color w:val="auto"/>
        </w:rPr>
      </w:pPr>
    </w:p>
    <w:p>
      <w:pPr>
        <w:jc w:val="both"/>
        <w:ind w:left="660" w:hanging="409"/>
        <w:spacing w:after="0" w:line="261" w:lineRule="auto"/>
        <w:tabs>
          <w:tab w:leader="none" w:pos="660" w:val="left"/>
        </w:tabs>
        <w:numPr>
          <w:ilvl w:val="0"/>
          <w:numId w:val="1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ABRH, in which we have a 55% ownership interest. ABRH and its affiliates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pacing w:after="0" w:line="126" w:lineRule="exact"/>
        <w:rPr>
          <w:rFonts w:ascii="Times New Roman" w:cs="Times New Roman" w:eastAsia="Times New Roman" w:hAnsi="Times New Roman"/>
          <w:sz w:val="18"/>
          <w:szCs w:val="18"/>
          <w:i w:val="1"/>
          <w:iCs w:val="1"/>
          <w:color w:val="auto"/>
        </w:rPr>
      </w:pPr>
    </w:p>
    <w:p>
      <w:pPr>
        <w:ind w:left="660" w:hanging="409"/>
        <w:spacing w:after="0" w:line="284" w:lineRule="auto"/>
        <w:tabs>
          <w:tab w:leader="none" w:pos="660" w:val="left"/>
        </w:tabs>
        <w:numPr>
          <w:ilvl w:val="0"/>
          <w:numId w:val="1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FNFV Corporate and Other. </w:t>
      </w:r>
      <w:r>
        <w:rPr>
          <w:rFonts w:ascii="Times New Roman" w:cs="Times New Roman" w:eastAsia="Times New Roman" w:hAnsi="Times New Roman"/>
          <w:sz w:val="18"/>
          <w:szCs w:val="18"/>
          <w:color w:val="auto"/>
        </w:rPr>
        <w:t>This segment primarily consists of our share in the operations of certain equity investments, including Ceridian,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other smaller operations which are not title related.</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2014, Fidelity National Financial ("FNF")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certain expense allocation policies, each of which will be reflected in the attributed financial information of the FNF Group and the FNFV Group.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following attribution of assets, liabilities, revenue, expenses and cash flows to FNFV, our tracking stock structure does not affect the ownership or the respective legal title to our assets or responsibility for our liabilities. We and our subsidiaries are each responsible for our respective liabilities. Holders of FNFV Group common stock are subject to risks associated with an investment in our company and all of our businesses, assets and liabilities. The issuance of FNFV Group common stock does not affect the rights of our creditors or creditors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8800" w:type="dxa"/>
            <w:vAlign w:val="bottom"/>
          </w:tcPr>
          <w:p>
            <w:pPr>
              <w:ind w:left="4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from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1,923</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9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FNFV Group common stock, $0.0001 par value; authorized 113,000,000 shares as of March 31, 2015 and December 31, 2014;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issued 80,071,787 and 92,828,470 as of March 31, 2015 and December 31, 2014,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treasury stock, 541,425 and 118,075 shares as of March 31, 2015 and December 31, 2014,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Fidelity National Financial Ventures shareholders’ equity</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FNFV</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ending March 31,</w:t>
            </w:r>
          </w:p>
        </w:tc>
      </w:tr>
      <w:tr>
        <w:trPr>
          <w:trHeight w:val="33"/>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20" w:type="dxa"/>
            <w:vAlign w:val="bottom"/>
          </w:tcPr>
          <w:p>
            <w:pPr>
              <w:spacing w:after="0"/>
              <w:rPr>
                <w:sz w:val="18"/>
                <w:szCs w:val="18"/>
                <w:color w:val="auto"/>
              </w:rPr>
            </w:pPr>
          </w:p>
        </w:tc>
      </w:tr>
      <w:tr>
        <w:trPr>
          <w:trHeight w:val="270"/>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revenue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r>
      <w:tr>
        <w:trPr>
          <w:trHeight w:val="237"/>
        </w:trPr>
        <w:tc>
          <w:tcPr>
            <w:tcW w:w="8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1"/>
        </w:trPr>
        <w:tc>
          <w:tcPr>
            <w:tcW w:w="8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losses of unconsolidated affiliates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equity in losses of unconsolidated affiliates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from discontinued operations, net of tax</w:t>
            </w:r>
          </w:p>
        </w:tc>
        <w:tc>
          <w:tcPr>
            <w:tcW w:w="9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FNFV Group common shareholders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 from continuing operations attributable to Old FNF common shareholders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Old FNF common shareholders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33"/>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5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from continuing operations attributable to FNFV Group common shareholders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 from continuing operations attributable to Old FNF common shareholders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from discontinued operations attributable to Old FNF common shareholders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loss per share attributable to Old FNF common shareholders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149"/>
        </w:trPr>
        <w:tc>
          <w:tcPr>
            <w:tcW w:w="8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90"/>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FNFV Group common shareholders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49"/>
        </w:trPr>
        <w:tc>
          <w:tcPr>
            <w:tcW w:w="85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basic basis (1)</w:t>
            </w:r>
          </w:p>
        </w:tc>
        <w:tc>
          <w:tcPr>
            <w:tcW w:w="9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Old FNF common stock, diluted basis (1)</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r>
      <w:tr>
        <w:trPr>
          <w:trHeight w:val="237"/>
        </w:trPr>
        <w:tc>
          <w:tcPr>
            <w:tcW w:w="8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basic basis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diluted basis</w:t>
            </w:r>
          </w:p>
        </w:tc>
        <w:tc>
          <w:tcPr>
            <w:tcW w:w="92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5" w:lineRule="exact"/>
        <w:rPr>
          <w:sz w:val="20"/>
          <w:szCs w:val="20"/>
          <w:color w:val="auto"/>
        </w:rPr>
      </w:pPr>
    </w:p>
    <w:p>
      <w:pPr>
        <w:ind w:left="980" w:right="20" w:hanging="972"/>
        <w:spacing w:after="0" w:line="282" w:lineRule="auto"/>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recapitalization of our stock took place on July 1, 2014. Accordingly, the outstanding shares of Old FNF common stock outstanding as of March 31, 2014 are presented and are used to calculate earnings per share for the three months then ended.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FNFV</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2"/>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40" w:type="dxa"/>
            <w:vAlign w:val="bottom"/>
          </w:tcPr>
          <w:p>
            <w:pPr>
              <w:spacing w:after="0"/>
              <w:rPr>
                <w:sz w:val="18"/>
                <w:szCs w:val="18"/>
                <w:color w:val="auto"/>
              </w:rPr>
            </w:pPr>
          </w:p>
        </w:tc>
      </w:tr>
      <w:tr>
        <w:trPr>
          <w:trHeight w:val="270"/>
        </w:trPr>
        <w:tc>
          <w:tcPr>
            <w:tcW w:w="9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9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r>
      <w:tr>
        <w:trPr>
          <w:trHeight w:val="217"/>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earnings (loss)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Gain on sale of Cascade Timberlands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(increase) in trade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(increase) in prepaid expenses and other assets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 accounts payable, accrued liabilities, deferred revenue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amount due to affiliates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cost method and other investments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Additions to property and equipment and capitalized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proceeds from short-term investment securities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purchases of 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 of USA Industries, Inc.,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Cascade Timberlands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service payments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Subsidiary dividends paid to non-controlling interest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Attributed Financial Information for 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A.</w:t>
        <w:tab/>
        <w:t>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FNFV</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20, 2015 we completed our tender offer to purchase shares of FNFV stock. As a result of the offer, we accepted for purchase 12,333,333 million shares of FNFV Group Common Stock for a purchase price of $15.00 per common share, for a total aggregate cost of $185 million, excluding fees and expenses related to the tender offer.</w:t>
      </w:r>
    </w:p>
    <w:p>
      <w:pPr>
        <w:spacing w:after="0" w:line="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B.</w:t>
        <w:tab/>
        <w:t>Investments in Consolidated and Unconsolidated Affiliates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investments in consolidated and unconsolidated affiliates attributable to FNFV:</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9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Majority Owned Subsidiaries consolidated into the results of FNFV:</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American Blue Ribbon Holdings, LLC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 Alexander's, LLC</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Insurance, LLC</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Minority Owned Subsidiaries or other ventures: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Ceridian/Fleetcor (32% minority equity interest)</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627</w:t>
            </w:r>
          </w:p>
        </w:tc>
        <w:tc>
          <w:tcPr>
            <w:tcW w:w="3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Cascade Timberlands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Company Cash</w:t>
            </w: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ventures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9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FNFV Book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1,176</w:t>
            </w:r>
          </w:p>
        </w:tc>
        <w:tc>
          <w:tcPr>
            <w:tcW w:w="3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1,378</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C.</w:t>
        <w:tab/>
        <w:t>FNFV Common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o"/>
      <w:numFmt w:val="bullet"/>
      <w:start w:val="1"/>
    </w:lvl>
  </w:abstractNum>
  <w:abstractNum w:abstractNumId="2">
    <w:nsid w:val="39EE015C"/>
    <w:multiLevelType w:val="hybridMultilevel"/>
    <w:lvl w:ilvl="0">
      <w:lvlJc w:val="left"/>
      <w:lvlText w:val="(%1)"/>
      <w:numFmt w:val="decimal"/>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1)"/>
      <w:numFmt w:val="lowerRoman"/>
      <w:start w:val="2"/>
    </w:lvl>
  </w:abstractNum>
  <w:abstractNum w:abstractNumId="7">
    <w:nsid w:val="26F324BA"/>
    <w:multiLevelType w:val="hybridMultilevel"/>
    <w:lvl w:ilvl="0">
      <w:lvlJc w:val="left"/>
      <w:lvlText w:val="(%1)"/>
      <w:numFmt w:val="decimal"/>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1)"/>
      <w:numFmt w:val="decimal"/>
      <w:start w:val="1"/>
    </w:lvl>
  </w:abstractNum>
  <w:abstractNum w:abstractNumId="10">
    <w:nsid w:val="7055A5F5"/>
    <w:multiLevelType w:val="hybridMultilevel"/>
    <w:lvl w:ilvl="0">
      <w:lvlJc w:val="left"/>
      <w:lvlText w:val="%1"/>
      <w:numFmt w:val="lowerLetter"/>
      <w:start w:val="1"/>
    </w:lvl>
    <w:lvl w:ilvl="1">
      <w:lvlJc w:val="left"/>
      <w:lvlText w:val="(%2)"/>
      <w:numFmt w:val="lowerLetter"/>
      <w:start w:val="1"/>
    </w:lvl>
  </w:abstractNum>
  <w:abstractNum w:abstractNumId="11">
    <w:nsid w:val="5FB8370B"/>
    <w:multiLevelType w:val="hybridMultilevel"/>
    <w:lvl w:ilvl="0">
      <w:lvlJc w:val="left"/>
      <w:lvlText w:val="(%1)"/>
      <w:numFmt w:val="lowerLetter"/>
      <w:start w:val="35"/>
    </w:lvl>
    <w:lvl w:ilvl="1">
      <w:lvlJc w:val="left"/>
      <w:lvlText w:val="(%2)"/>
      <w:numFmt w:val="lowerLetter"/>
      <w:start w:val="2"/>
    </w:lvl>
  </w:abstractNum>
  <w:abstractNum w:abstractNumId="12">
    <w:nsid w:val="50801EE1"/>
    <w:multiLevelType w:val="hybridMultilevel"/>
    <w:lvl w:ilvl="0">
      <w:lvlJc w:val="left"/>
      <w:lvlText w:val="(%1)"/>
      <w:numFmt w:val="lowerLetter"/>
      <w:start w:val="9"/>
    </w:lvl>
    <w:lvl w:ilvl="1">
      <w:lvlJc w:val="left"/>
      <w:lvlText w:val="%2"/>
      <w:numFmt w:val="lowerLetter"/>
      <w:start w:val="1"/>
    </w:lvl>
  </w:abstractNum>
  <w:abstractNum w:abstractNumId="13">
    <w:nsid w:val="488AC1A"/>
    <w:multiLevelType w:val="hybridMultilevel"/>
    <w:lvl w:ilvl="0">
      <w:lvlJc w:val="left"/>
      <w:lvlText w:val="(%1)"/>
      <w:numFmt w:val="lowerLetter"/>
      <w:start w:val="35"/>
    </w:lvl>
  </w:abstractNum>
  <w:abstractNum w:abstractNumId="14">
    <w:nsid w:val="5FB8011C"/>
    <w:multiLevelType w:val="hybridMultilevel"/>
    <w:lvl w:ilvl="0">
      <w:lvlJc w:val="left"/>
      <w:lvlText w:val="(%1)"/>
      <w:numFmt w:val="lowerLetter"/>
      <w:start w:val="1"/>
    </w:lvl>
  </w:abstractNum>
  <w:abstractNum w:abstractNumId="15">
    <w:nsid w:val="6AA78F7F"/>
    <w:multiLevelType w:val="hybridMultilevel"/>
    <w:lvl w:ilvl="0">
      <w:lvlJc w:val="left"/>
      <w:lvlText w:val="(%1)"/>
      <w:numFmt w:val="lowerLetter"/>
      <w:start w:val="4"/>
    </w:lvl>
  </w:abstractNum>
  <w:abstractNum w:abstractNumId="16">
    <w:nsid w:val="7672BD23"/>
    <w:multiLevelType w:val="hybridMultilevel"/>
    <w:lvl w:ilvl="0">
      <w:lvlJc w:val="left"/>
      <w:lvlText w:val="(%1)"/>
      <w:numFmt w:val="lowerRoman"/>
      <w:start w:val="2"/>
    </w:lvl>
  </w:abstractNum>
  <w:abstractNum w:abstractNumId="17">
    <w:nsid w:val="6FC75AF8"/>
    <w:multiLevelType w:val="hybridMultilevel"/>
    <w:lvl w:ilvl="0">
      <w:lvlJc w:val="left"/>
      <w:lvlText w:val="(%1)"/>
      <w:numFmt w:val="lowerLetter"/>
      <w:start w:val="6"/>
    </w:lvl>
  </w:abstractNum>
  <w:abstractNum w:abstractNumId="18">
    <w:nsid w:val="6A5F7029"/>
    <w:multiLevelType w:val="hybridMultilevel"/>
    <w:lvl w:ilvl="0">
      <w:lvlJc w:val="left"/>
      <w:lvlText w:val="(%1)"/>
      <w:numFmt w:val="lowerLetter"/>
      <w:start w:val="14"/>
    </w:lvl>
  </w:abstractNum>
  <w:abstractNum w:abstractNumId="19">
    <w:nsid w:val="7D5E18F8"/>
    <w:multiLevelType w:val="hybridMultilevel"/>
    <w:lvl w:ilvl="0">
      <w:lvlJc w:val="left"/>
      <w:lvlText w:val="(%1)"/>
      <w:numFmt w:val="lowerLetter"/>
      <w:start w:val="15"/>
    </w:lvl>
  </w:abstractNum>
  <w:abstractNum w:abstractNumId="20">
    <w:nsid w:val="5F3534A4"/>
    <w:multiLevelType w:val="hybridMultilevel"/>
    <w:lvl w:ilvl="0">
      <w:lvlJc w:val="left"/>
      <w:lvlText w:val="(%1)"/>
      <w:numFmt w:val="lowerLetter"/>
      <w:start w:val="16"/>
    </w:lvl>
  </w:abstractNum>
  <w:abstractNum w:abstractNumId="21">
    <w:nsid w:val="73A1821B"/>
    <w:multiLevelType w:val="hybridMultilevel"/>
    <w:lvl w:ilvl="0">
      <w:lvlJc w:val="left"/>
      <w:lvlText w:val="(%1)"/>
      <w:numFmt w:val="lowerLetter"/>
      <w:start w:val="19"/>
    </w:lvl>
  </w:abstractNum>
  <w:abstractNum w:abstractNumId="22">
    <w:nsid w:val="7DE67713"/>
    <w:multiLevelType w:val="hybridMultilevel"/>
    <w:lvl w:ilvl="0">
      <w:lvlJc w:val="left"/>
      <w:lvlText w:val="(%1)"/>
      <w:numFmt w:val="lowerLetter"/>
      <w:start w:val="20"/>
    </w:lvl>
  </w:abstractNum>
  <w:abstractNum w:abstractNumId="23">
    <w:nsid w:val="555C55B5"/>
    <w:multiLevelType w:val="hybridMultilevel"/>
    <w:lvl w:ilvl="0">
      <w:lvlJc w:val="left"/>
      <w:lvlText w:val="%1"/>
      <w:numFmt w:val="upperLetter"/>
      <w:start w:val="1"/>
    </w:lvl>
    <w:lvl w:ilvl="1">
      <w:lvlJc w:val="left"/>
      <w:lvlText w:val="(%2)"/>
      <w:numFmt w:val="lowerLetter"/>
      <w:start w:val="1"/>
    </w:lvl>
  </w:abstractNum>
  <w:abstractNum w:abstractNumId="24">
    <w:nsid w:val="3FA62ACA"/>
    <w:multiLevelType w:val="hybridMultilevel"/>
    <w:lvl w:ilvl="0">
      <w:lvlJc w:val="left"/>
      <w:lvlText w:val="(%1)"/>
      <w:numFmt w:val="upperLetter"/>
      <w:start w:val="1"/>
    </w:lvl>
    <w:lvl w:ilvl="1">
      <w:lvlJc w:val="left"/>
      <w:lvlText w:val="(%2)"/>
      <w:numFmt w:val="lowerLetter"/>
      <w:start w:val="5"/>
    </w:lvl>
  </w:abstractNum>
  <w:abstractNum w:abstractNumId="25">
    <w:nsid w:val="14FCE74E"/>
    <w:multiLevelType w:val="hybridMultilevel"/>
    <w:lvl w:ilvl="0">
      <w:lvlJc w:val="left"/>
      <w:lvlText w:val="(%1)"/>
      <w:numFmt w:val="lowerLetter"/>
      <w:start w:val="1"/>
    </w:lvl>
  </w:abstractNum>
  <w:abstractNum w:abstractNumId="26">
    <w:nsid w:val="6A3DD3E8"/>
    <w:multiLevelType w:val="hybridMultilevel"/>
    <w:lvl w:ilvl="0">
      <w:lvlJc w:val="left"/>
      <w:lvlText w:val="(%1)"/>
      <w:numFmt w:val="lowerLetter"/>
      <w:start w:val="2"/>
    </w:lvl>
  </w:abstractNum>
  <w:abstractNum w:abstractNumId="27">
    <w:nsid w:val="71C91298"/>
    <w:multiLevelType w:val="hybridMultilevel"/>
    <w:lvl w:ilvl="0">
      <w:lvlJc w:val="left"/>
      <w:lvlText w:val="(%1)"/>
      <w:numFmt w:val="lowerLetter"/>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1)"/>
      <w:numFmt w:val="lowerLetter"/>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1)"/>
      <w:numFmt w:val="lowerLetter"/>
      <w:start w:val="1"/>
    </w:lvl>
  </w:abstractNum>
  <w:abstractNum w:abstractNumId="32">
    <w:nsid w:val="1D545C4D"/>
    <w:multiLevelType w:val="hybridMultilevel"/>
    <w:lvl w:ilvl="0">
      <w:lvlJc w:val="left"/>
      <w:lvlText w:val="(%1)"/>
      <w:numFmt w:val="lowerLetter"/>
      <w:start w:val="3"/>
    </w:lvl>
  </w:abstractNum>
  <w:abstractNum w:abstractNumId="33">
    <w:nsid w:val="59ADEA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288F1A34"/>
    <w:multiLevelType w:val="hybridMultilevel"/>
    <w:lvl w:ilvl="0">
      <w:lvlJc w:val="left"/>
      <w:lvlText w:val="(%1)"/>
      <w:numFmt w:val="lowerLetter"/>
      <w:start w:val="24"/>
    </w:lvl>
    <w:lvl w:ilvl="1">
      <w:lvlJc w:val="left"/>
      <w:lvlText w:val="(%2)"/>
      <w:numFmt w:val="lowerRoman"/>
      <w:start w:val="2"/>
    </w:lvl>
    <w:lvl w:ilvl="2">
      <w:lvlJc w:val="left"/>
      <w:lvlText w:val="(%3)"/>
      <w:numFmt w:val="upperLetter"/>
      <w:start w:val="1"/>
    </w:lvl>
  </w:abstractNum>
  <w:abstractNum w:abstractNumId="35">
    <w:nsid w:val="2A155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6">
    <w:nsid w:val="1D9F6E5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7">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8">
    <w:nsid w:val="51088277"/>
    <w:multiLevelType w:val="hybridMultilevel"/>
    <w:lvl w:ilvl="0">
      <w:lvlJc w:val="left"/>
      <w:lvlText w:val="%1"/>
      <w:numFmt w:val="lowerLetter"/>
      <w:start w:val="1"/>
    </w:lvl>
    <w:lvl w:ilvl="1">
      <w:lvlJc w:val="left"/>
      <w:lvlText w:val="(%2)"/>
      <w:numFmt w:val="lowerRoman"/>
      <w:start w:val="4"/>
    </w:lvl>
  </w:abstractNum>
  <w:abstractNum w:abstractNumId="39">
    <w:nsid w:val="1CA0C5FA"/>
    <w:multiLevelType w:val="hybridMultilevel"/>
    <w:lvl w:ilvl="0">
      <w:lvlJc w:val="left"/>
      <w:lvlText w:val="(%1)"/>
      <w:numFmt w:val="lowerLetter"/>
      <w:start w:val="3"/>
    </w:lvl>
    <w:lvl w:ilvl="1">
      <w:lvlJc w:val="left"/>
      <w:lvlText w:val="(%2)"/>
      <w:numFmt w:val="lowerRoman"/>
      <w:start w:val="1"/>
    </w:lvl>
  </w:abstractNum>
  <w:abstractNum w:abstractNumId="40">
    <w:nsid w:val="53584BCB"/>
    <w:multiLevelType w:val="hybridMultilevel"/>
    <w:lvl w:ilvl="0">
      <w:lvlJc w:val="left"/>
      <w:lvlText w:val="%1"/>
      <w:numFmt w:val="lowerLetter"/>
      <w:start w:val="1"/>
    </w:lvl>
    <w:lvl w:ilvl="1">
      <w:lvlJc w:val="left"/>
      <w:lvlText w:val="(%2)"/>
      <w:numFmt w:val="lowerRoman"/>
      <w:start w:val="6"/>
    </w:lvl>
  </w:abstractNum>
  <w:abstractNum w:abstractNumId="41">
    <w:nsid w:val="415E286C"/>
    <w:multiLevelType w:val="hybridMultilevel"/>
    <w:lvl w:ilvl="0">
      <w:lvlJc w:val="left"/>
      <w:lvlText w:val="(%1)"/>
      <w:numFmt w:val="lowerLetter"/>
      <w:start w:val="4"/>
    </w:lvl>
    <w:lvl w:ilvl="1">
      <w:lvlJc w:val="left"/>
      <w:lvlText w:val="(%2)"/>
      <w:numFmt w:val="lowerRoman"/>
      <w:start w:val="1"/>
    </w:lvl>
  </w:abstractNum>
  <w:abstractNum w:abstractNumId="42">
    <w:nsid w:val="7C58FD05"/>
    <w:multiLevelType w:val="hybridMultilevel"/>
    <w:lvl w:ilvl="0">
      <w:lvlJc w:val="left"/>
      <w:lvlText w:val="(%1)"/>
      <w:numFmt w:val="lowerLetter"/>
      <w:start w:val="6"/>
    </w:lvl>
  </w:abstractNum>
  <w:abstractNum w:abstractNumId="43">
    <w:nsid w:val="23D86AAC"/>
    <w:multiLevelType w:val="hybridMultilevel"/>
    <w:lvl w:ilvl="0">
      <w:lvlJc w:val="left"/>
      <w:lvlText w:val="(%1)"/>
      <w:numFmt w:val="lowerLetter"/>
      <w:start w:val="10"/>
    </w:lvl>
  </w:abstractNum>
  <w:abstractNum w:abstractNumId="44">
    <w:nsid w:val="45E6D486"/>
    <w:multiLevelType w:val="hybridMultilevel"/>
    <w:lvl w:ilvl="0">
      <w:lvlJc w:val="left"/>
      <w:lvlText w:val="(%1)"/>
      <w:numFmt w:val="lowerLetter"/>
      <w:start w:val="1"/>
    </w:lvl>
    <w:lvl w:ilvl="1">
      <w:lvlJc w:val="left"/>
      <w:lvlText w:val="(%2)"/>
      <w:numFmt w:val="lowerLetter"/>
      <w:start w:val="9"/>
    </w:lvl>
  </w:abstractNum>
  <w:abstractNum w:abstractNumId="45">
    <w:nsid w:val="5C10FE21"/>
    <w:multiLevelType w:val="hybridMultilevel"/>
    <w:lvl w:ilvl="0">
      <w:lvlJc w:val="left"/>
      <w:lvlText w:val="%1"/>
      <w:numFmt w:val="lowerLetter"/>
      <w:start w:val="1"/>
    </w:lvl>
    <w:lvl w:ilvl="1">
      <w:lvlJc w:val="left"/>
      <w:lvlText w:val="(%2)"/>
      <w:numFmt w:val="lowerRoman"/>
      <w:start w:val="2"/>
    </w:lvl>
  </w:abstractNum>
  <w:abstractNum w:abstractNumId="46">
    <w:nsid w:val="E7FFA2B"/>
    <w:multiLevelType w:val="hybridMultilevel"/>
    <w:lvl w:ilvl="0">
      <w:lvlJc w:val="left"/>
      <w:lvlText w:val="(%1)"/>
      <w:numFmt w:val="lowerLetter"/>
      <w:start w:val="4"/>
    </w:lvl>
    <w:lvl w:ilvl="1">
      <w:lvlJc w:val="left"/>
      <w:lvlText w:val="(%2)"/>
      <w:numFmt w:val="lowerRoman"/>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2">
    <w:nsid w:val="6C80EC70"/>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2"/>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1"/>
    </w:lvl>
  </w:abstractNum>
  <w:abstractNum w:abstractNumId="57">
    <w:nsid w:val="6AA7B75C"/>
    <w:multiLevelType w:val="hybridMultilevel"/>
    <w:lvl w:ilvl="0">
      <w:lvlJc w:val="left"/>
      <w:lvlText w:val="(%1)"/>
      <w:numFmt w:val="lowerLetter"/>
      <w:start w:val="1"/>
    </w:lvl>
    <w:lvl w:ilvl="1">
      <w:lvlJc w:val="left"/>
      <w:lvlText w:val="(%2)"/>
      <w:numFmt w:val="lowerLetter"/>
      <w:start w:val="35"/>
    </w:lvl>
  </w:abstractNum>
  <w:abstractNum w:abstractNumId="58">
    <w:nsid w:val="1DF029D3"/>
    <w:multiLevelType w:val="hybridMultilevel"/>
    <w:lvl w:ilvl="0">
      <w:lvlJc w:val="left"/>
      <w:lvlText w:val="(%1)"/>
      <w:numFmt w:val="lowerLetter"/>
      <w:start w:val="3"/>
    </w:lvl>
  </w:abstractNum>
  <w:abstractNum w:abstractNumId="59">
    <w:nsid w:val="5675FF36"/>
    <w:multiLevelType w:val="hybridMultilevel"/>
    <w:lvl w:ilvl="0">
      <w:lvlJc w:val="left"/>
      <w:lvlText w:val="(%1)"/>
      <w:numFmt w:val="lowerLetter"/>
      <w:start w:val="5"/>
    </w:lvl>
  </w:abstractNum>
  <w:abstractNum w:abstractNumId="60">
    <w:nsid w:val="3DD15094"/>
    <w:multiLevelType w:val="hybridMultilevel"/>
    <w:lvl w:ilvl="0">
      <w:lvlJc w:val="left"/>
      <w:lvlText w:val="(%1)"/>
      <w:numFmt w:val="lowerRoman"/>
      <w:start w:val="1"/>
    </w:lvl>
  </w:abstractNum>
  <w:abstractNum w:abstractNumId="61">
    <w:nsid w:val="3DB012B3"/>
    <w:multiLevelType w:val="hybridMultilevel"/>
    <w:lvl w:ilvl="0">
      <w:lvlJc w:val="left"/>
      <w:lvlText w:val="(%1)"/>
      <w:numFmt w:val="lowerLetter"/>
      <w:start w:val="1"/>
    </w:lvl>
  </w:abstractNum>
  <w:abstractNum w:abstractNumId="62">
    <w:nsid w:val="2708C9AF"/>
    <w:multiLevelType w:val="hybridMultilevel"/>
    <w:lvl w:ilvl="0">
      <w:lvlJc w:val="left"/>
      <w:lvlText w:val="%1"/>
      <w:numFmt w:val="lowerLetter"/>
      <w:start w:val="1"/>
    </w:lvl>
    <w:lvl w:ilvl="1">
      <w:lvlJc w:val="left"/>
      <w:lvlText w:val="(%2)"/>
      <w:numFmt w:val="lowerLetter"/>
      <w:start w:val="4"/>
    </w:lvl>
  </w:abstractNum>
  <w:abstractNum w:abstractNumId="63">
    <w:nsid w:val="5B25ACE2"/>
    <w:multiLevelType w:val="hybridMultilevel"/>
    <w:lvl w:ilvl="0">
      <w:lvlJc w:val="left"/>
      <w:lvlText w:val="(%1)"/>
      <w:numFmt w:val="lowerLetter"/>
      <w:start w:val="35"/>
    </w:lvl>
    <w:lvl w:ilvl="1">
      <w:lvlJc w:val="left"/>
      <w:lvlText w:val="%2"/>
      <w:numFmt w:val="lowerLetter"/>
      <w:start w:val="1"/>
    </w:lvl>
  </w:abstractNum>
  <w:abstractNum w:abstractNumId="64">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4F97E3E4"/>
    <w:multiLevelType w:val="hybridMultilevel"/>
    <w:lvl w:ilvl="0">
      <w:lvlJc w:val="left"/>
      <w:lvlText w:val="%1"/>
      <w:numFmt w:val="upperLetter"/>
      <w:start w:val="1"/>
    </w:lvl>
    <w:lvl w:ilvl="1">
      <w:lvlJc w:val="left"/>
      <w:lvlText w:val="(%2)"/>
      <w:numFmt w:val="upperLetter"/>
      <w:start w:val="3"/>
    </w:lvl>
  </w:abstractNum>
  <w:abstractNum w:abstractNumId="66">
    <w:nsid w:val="53B0A9E"/>
    <w:multiLevelType w:val="hybridMultilevel"/>
    <w:lvl w:ilvl="0">
      <w:lvlJc w:val="left"/>
      <w:lvlText w:val="(%1)"/>
      <w:numFmt w:val="upperLetter"/>
      <w:start w:val="2"/>
    </w:lvl>
    <w:lvl w:ilvl="1">
      <w:lvlJc w:val="left"/>
      <w:lvlText w:val="%2"/>
      <w:numFmt w:val="upperLetter"/>
      <w:start w:val="1"/>
    </w:lvl>
  </w:abstractNum>
  <w:abstractNum w:abstractNumId="67">
    <w:nsid w:val="34FD6B4F"/>
    <w:multiLevelType w:val="hybridMultilevel"/>
    <w:lvl w:ilvl="0">
      <w:lvlJc w:val="left"/>
      <w:lvlText w:val="%1"/>
      <w:numFmt w:val="lowerRoman"/>
      <w:start w:val="1"/>
    </w:lvl>
    <w:lvl w:ilvl="1">
      <w:lvlJc w:val="left"/>
      <w:lvlText w:val="(%2)"/>
      <w:numFmt w:val="lowerRoman"/>
      <w:start w:val="4"/>
    </w:lvl>
  </w:abstractNum>
  <w:abstractNum w:abstractNumId="68">
    <w:nsid w:val="5915FF32"/>
    <w:multiLevelType w:val="hybridMultilevel"/>
    <w:lvl w:ilvl="0">
      <w:lvlJc w:val="left"/>
      <w:lvlText w:val="(%1)"/>
      <w:numFmt w:val="lowerRoman"/>
      <w:start w:val="10"/>
    </w:lvl>
    <w:lvl w:ilvl="1">
      <w:lvlJc w:val="left"/>
      <w:lvlText w:val="%2"/>
      <w:numFmt w:val="lowerRoman"/>
      <w:start w:val="1"/>
    </w:lvl>
  </w:abstractNum>
  <w:abstractNum w:abstractNumId="69">
    <w:nsid w:val="56438D15"/>
    <w:multiLevelType w:val="hybridMultilevel"/>
    <w:lvl w:ilvl="0">
      <w:lvlJc w:val="left"/>
      <w:lvlText w:val="(%1)"/>
      <w:numFmt w:val="lowerLetter"/>
      <w:start w:val="2"/>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lowerLetter"/>
      <w:start w:val="6"/>
    </w:lvl>
  </w:abstractNum>
  <w:abstractNum w:abstractNumId="72">
    <w:nsid w:val="17A1B58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3">
    <w:nsid w:val="4DF72E4E"/>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lvl w:ilvl="3">
      <w:lvlJc w:val="left"/>
      <w:lvlText w:val="%4"/>
      <w:numFmt w:val="upperLetter"/>
      <w:start w:val="1"/>
    </w:lvl>
  </w:abstractNum>
  <w:abstractNum w:abstractNumId="74">
    <w:nsid w:val="5046B5A9"/>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lvl w:ilvl="3">
      <w:lvlJc w:val="left"/>
      <w:lvlText w:val="(%4)"/>
      <w:numFmt w:val="upperLetter"/>
      <w:start w:val="9"/>
    </w:lvl>
  </w:abstractNum>
  <w:abstractNum w:abstractNumId="75">
    <w:nsid w:val="5D888A08"/>
    <w:multiLevelType w:val="hybridMultilevel"/>
    <w:lvl w:ilvl="0">
      <w:lvlJc w:val="left"/>
      <w:lvlText w:val="(%1)"/>
      <w:numFmt w:val="upperLetter"/>
      <w:start w:val="35"/>
    </w:lvl>
  </w:abstractNum>
  <w:abstractNum w:abstractNumId="76">
    <w:nsid w:val="2A082C70"/>
    <w:multiLevelType w:val="hybridMultilevel"/>
    <w:lvl w:ilvl="0">
      <w:lvlJc w:val="left"/>
      <w:lvlText w:val="(%1)"/>
      <w:numFmt w:val="upperLetter"/>
      <w:start w:val="61"/>
    </w:lvl>
  </w:abstractNum>
  <w:abstractNum w:abstractNumId="77">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78">
    <w:nsid w:val="19E21BB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9">
    <w:nsid w:val="75E0858A"/>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0">
    <w:nsid w:val="57A61A29"/>
    <w:multiLevelType w:val="hybridMultilevel"/>
    <w:lvl w:ilvl="0">
      <w:lvlJc w:val="left"/>
      <w:lvlText w:val="(%1)"/>
      <w:numFmt w:val="lowerLetter"/>
      <w:start w:val="7"/>
    </w:lvl>
  </w:abstractNum>
  <w:abstractNum w:abstractNumId="81">
    <w:nsid w:val="5399C654"/>
    <w:multiLevelType w:val="hybridMultilevel"/>
    <w:lvl w:ilvl="0">
      <w:lvlJc w:val="left"/>
      <w:lvlText w:val="(%1)"/>
      <w:numFmt w:val="lowerLetter"/>
      <w:start w:val="1"/>
    </w:lvl>
    <w:lvl w:ilvl="1">
      <w:lvlJc w:val="left"/>
      <w:lvlText w:val="(%2)"/>
      <w:numFmt w:val="lowerRoman"/>
      <w:start w:val="1"/>
    </w:lvl>
  </w:abstractNum>
  <w:abstractNum w:abstractNumId="82">
    <w:nsid w:val="20EE1348"/>
    <w:multiLevelType w:val="hybridMultilevel"/>
    <w:lvl w:ilvl="0">
      <w:lvlJc w:val="left"/>
      <w:lvlText w:val="(%1)"/>
      <w:numFmt w:val="lowerLetter"/>
      <w:start w:val="2"/>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
      <w:numFmt w:val="bullet"/>
      <w:start w:val="1"/>
    </w:lvl>
  </w:abstractNum>
  <w:abstractNum w:abstractNumId="89">
    <w:nsid w:val="E3E47A8"/>
    <w:multiLevelType w:val="hybridMultilevel"/>
    <w:lvl w:ilvl="0">
      <w:lvlJc w:val="left"/>
      <w:lvlText w:val="(%1)"/>
      <w:numFmt w:val="lowerLetter"/>
      <w:start w:val="1"/>
    </w:lvl>
    <w:lvl w:ilvl="1">
      <w:lvlJc w:val="left"/>
      <w:lvlText w:val="(%2)"/>
      <w:numFmt w:val="lowerRoman"/>
      <w:start w:val="1"/>
    </w:lvl>
  </w:abstractNum>
  <w:abstractNum w:abstractNumId="90">
    <w:nsid w:val="2E48F044"/>
    <w:multiLevelType w:val="hybridMultilevel"/>
    <w:lvl w:ilvl="0">
      <w:lvlJc w:val="left"/>
      <w:lvlText w:val="(%1)"/>
      <w:numFmt w:val="lowerLetter"/>
      <w:start w:val="6"/>
    </w:lvl>
    <w:lvl w:ilvl="1">
      <w:lvlJc w:val="left"/>
      <w:lvlText w:val="(%2)"/>
      <w:numFmt w:val="lowerRoman"/>
      <w:start w:val="1"/>
    </w:lvl>
  </w:abstractNum>
  <w:abstractNum w:abstractNumId="91">
    <w:nsid w:val="49D0FEAC"/>
    <w:multiLevelType w:val="hybridMultilevel"/>
    <w:lvl w:ilvl="0">
      <w:lvlJc w:val="left"/>
      <w:lvlText w:val="(%1)"/>
      <w:numFmt w:val="lowerLetter"/>
      <w:start w:val="15"/>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lvl w:ilvl="1">
      <w:lvlJc w:val="left"/>
      <w:lvlText w:val="(%2)"/>
      <w:numFmt w:val="lowerLetter"/>
      <w:start w:val="3"/>
    </w:lvl>
  </w:abstractNum>
  <w:abstractNum w:abstractNumId="97">
    <w:nsid w:val="2A31B62D"/>
    <w:multiLevelType w:val="hybridMultilevel"/>
    <w:lvl w:ilvl="0">
      <w:lvlJc w:val="left"/>
      <w:lvlText w:val="(%1)"/>
      <w:numFmt w:val="lowerLetter"/>
      <w:start w:val="1"/>
    </w:lvl>
    <w:lvl w:ilvl="1">
      <w:lvlJc w:val="left"/>
      <w:lvlText w:val="%2"/>
      <w:numFmt w:val="lowerLetter"/>
      <w:start w:val="1"/>
    </w:lvl>
  </w:abstractNum>
  <w:abstractNum w:abstractNumId="98">
    <w:nsid w:val="1849C29B"/>
    <w:multiLevelType w:val="hybridMultilevel"/>
    <w:lvl w:ilvl="0">
      <w:lvlJc w:val="left"/>
      <w:lvlText w:val="."/>
      <w:numFmt w:val="bullet"/>
      <w:start w:val="1"/>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
      <w:numFmt w:val="bullet"/>
      <w:start w:val="1"/>
    </w:lvl>
  </w:abstractNum>
  <w:abstractNum w:abstractNumId="102">
    <w:nsid w:val="2A6DE806"/>
    <w:multiLevelType w:val="hybridMultilevel"/>
    <w:lvl w:ilvl="0">
      <w:lvlJc w:val="left"/>
      <w:lvlText w:val="(%1)"/>
      <w:numFmt w:val="lowerRoman"/>
      <w:start w:val="3"/>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1"/>
    </w:lvl>
  </w:abstractNum>
  <w:abstractNum w:abstractNumId="105">
    <w:nsid w:val="7AB49DAF"/>
    <w:multiLevelType w:val="hybridMultilevel"/>
    <w:lvl w:ilvl="0">
      <w:lvlJc w:val="left"/>
      <w:lvlText w:val="%1"/>
      <w:numFmt w:val="upperLetter"/>
      <w:start w:val="1"/>
    </w:lvl>
    <w:lvl w:ilvl="1">
      <w:lvlJc w:val="left"/>
      <w:lvlText w:val="(%2)"/>
      <w:numFmt w:val="lowerLetter"/>
      <w:start w:val="7"/>
    </w:lvl>
  </w:abstractNum>
  <w:abstractNum w:abstractNumId="106">
    <w:nsid w:val="759F82CD"/>
    <w:multiLevelType w:val="hybridMultilevel"/>
    <w:lvl w:ilvl="0">
      <w:lvlJc w:val="left"/>
      <w:lvlText w:val="(%1)"/>
      <w:numFmt w:val="upperLetter"/>
      <w:start w:val="3"/>
    </w:lvl>
    <w:lvl w:ilvl="1">
      <w:lvlJc w:val="left"/>
      <w:lvlText w:val="%2"/>
      <w:numFmt w:val="lowerLetter"/>
      <w:start w:val="1"/>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1)"/>
      <w:numFmt w:val="lowerLetter"/>
      <w:start w:val="1"/>
    </w:lvl>
  </w:abstractNum>
  <w:abstractNum w:abstractNumId="109">
    <w:nsid w:val="F819E7F"/>
    <w:multiLevelType w:val="hybridMultilevel"/>
    <w:lvl w:ilvl="0">
      <w:lvlJc w:val="left"/>
      <w:lvlText w:val="(%1)"/>
      <w:numFmt w:val="lowerLetter"/>
      <w:start w:val="3"/>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1"/>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1"/>
    </w:lvl>
  </w:abstractNum>
  <w:abstractNum w:abstractNumId="117">
    <w:nsid w:val="65968C1C"/>
    <w:multiLevelType w:val="hybridMultilevel"/>
    <w:lvl w:ilvl="0">
      <w:lvlJc w:val="left"/>
      <w:lvlText w:val="."/>
      <w:numFmt w:val="bullet"/>
      <w:start w:val="1"/>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12"/>
    </w:lvl>
  </w:abstractNum>
  <w:abstractNum w:abstractNumId="120">
    <w:nsid w:val="73D4D3C4"/>
    <w:multiLevelType w:val="hybridMultilevel"/>
    <w:lvl w:ilvl="0">
      <w:lvlJc w:val="left"/>
      <w:lvlText w:val="(%1)"/>
      <w:numFmt w:val="lowerLetter"/>
      <w:start w:val="16"/>
    </w:lvl>
  </w:abstractNum>
  <w:abstractNum w:abstractNumId="121">
    <w:nsid w:val="746F2E30"/>
    <w:multiLevelType w:val="hybridMultilevel"/>
    <w:lvl w:ilvl="0">
      <w:lvlJc w:val="left"/>
      <w:lvlText w:val="."/>
      <w:numFmt w:val="bullet"/>
      <w:start w:val="1"/>
    </w:lvl>
  </w:abstractNum>
  <w:abstractNum w:abstractNumId="122">
    <w:nsid w:val="6FDE8AF6"/>
    <w:multiLevelType w:val="hybridMultilevel"/>
    <w:lvl w:ilvl="0">
      <w:lvlJc w:val="left"/>
      <w:lvlText w:val="(%1)"/>
      <w:numFmt w:val="lowerLetter"/>
      <w:start w:val="1"/>
    </w:lvl>
  </w:abstractNum>
  <w:abstractNum w:abstractNumId="123">
    <w:nsid w:val="3FC32E20"/>
    <w:multiLevelType w:val="hybridMultilevel"/>
    <w:lvl w:ilvl="0">
      <w:lvlJc w:val="left"/>
      <w:lvlText w:val="(%1)"/>
      <w:numFmt w:val="lowerLetter"/>
      <w:start w:val="11"/>
    </w:lvl>
  </w:abstractNum>
  <w:abstractNum w:abstractNumId="124">
    <w:nsid w:val="49C0E823"/>
    <w:multiLevelType w:val="hybridMultilevel"/>
    <w:lvl w:ilvl="0">
      <w:lvlJc w:val="left"/>
      <w:lvlText w:val="."/>
      <w:numFmt w:val="bullet"/>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
      <w:numFmt w:val="bullet"/>
      <w:start w:val="1"/>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1"/>
    </w:lvl>
    <w:lvl w:ilvl="1">
      <w:lvlJc w:val="left"/>
      <w:lvlText w:val="(%2)"/>
      <w:numFmt w:val="lowerLetter"/>
      <w:start w:val="2"/>
    </w:lvl>
  </w:abstractNum>
  <w:abstractNum w:abstractNumId="131">
    <w:nsid w:val="3F7C2FF4"/>
    <w:multiLevelType w:val="hybridMultilevel"/>
    <w:lvl w:ilvl="0">
      <w:lvlJc w:val="left"/>
      <w:lvlText w:val="(%1)"/>
      <w:numFmt w:val="lowerLetter"/>
      <w:start w:val="1"/>
    </w:lvl>
  </w:abstractNum>
  <w:abstractNum w:abstractNumId="132">
    <w:nsid w:val="25413BEC"/>
    <w:multiLevelType w:val="hybridMultilevel"/>
    <w:lvl w:ilvl="0">
      <w:lvlJc w:val="left"/>
      <w:lvlText w:val="."/>
      <w:numFmt w:val="bullet"/>
      <w:start w:val="1"/>
    </w:lvl>
  </w:abstractNum>
  <w:abstractNum w:abstractNumId="133">
    <w:nsid w:val="17180B0B"/>
    <w:multiLevelType w:val="hybridMultilevel"/>
    <w:lvl w:ilvl="0">
      <w:lvlJc w:val="left"/>
      <w:lvlText w:val="%1"/>
      <w:numFmt w:val="lowerLetter"/>
      <w:start w:val="1"/>
    </w:lvl>
    <w:lvl w:ilvl="1">
      <w:lvlJc w:val="left"/>
      <w:lvlText w:val="(%2)"/>
      <w:numFmt w:val="lowerLetter"/>
      <w:start w:val="1"/>
    </w:lvl>
  </w:abstractNum>
  <w:abstractNum w:abstractNumId="134">
    <w:nsid w:val="579328B9"/>
    <w:multiLevelType w:val="hybridMultilevel"/>
    <w:lvl w:ilvl="0">
      <w:lvlJc w:val="left"/>
      <w:lvlText w:val="(%1)"/>
      <w:numFmt w:val="lowerLetter"/>
      <w:start w:val="2"/>
    </w:lvl>
    <w:lvl w:ilvl="1">
      <w:lvlJc w:val="left"/>
      <w:lvlText w:val="%2"/>
      <w:numFmt w:val="lowerLetter"/>
      <w:start w:val="1"/>
    </w:lvl>
  </w:abstractNum>
  <w:abstractNum w:abstractNumId="135">
    <w:nsid w:val="5D205E20"/>
    <w:multiLevelType w:val="hybridMultilevel"/>
    <w:lvl w:ilvl="0">
      <w:lvlJc w:val="left"/>
      <w:lvlText w:val="(%1)"/>
      <w:numFmt w:val="lowerLetter"/>
      <w:start w:val="24"/>
    </w:lvl>
    <w:lvl w:ilvl="1">
      <w:lvlJc w:val="left"/>
      <w:lvlText w:val="(%2)"/>
      <w:numFmt w:val="lowerLetter"/>
      <w:start w:val="4"/>
    </w:lvl>
  </w:abstractNum>
  <w:abstractNum w:abstractNumId="136">
    <w:nsid w:val="11CCA8BA"/>
    <w:multiLevelType w:val="hybridMultilevel"/>
    <w:lvl w:ilvl="0">
      <w:lvlJc w:val="left"/>
      <w:lvlText w:val="(%1)"/>
      <w:numFmt w:val="lowerLetter"/>
      <w:start w:val="7"/>
    </w:lvl>
  </w:abstractNum>
  <w:abstractNum w:abstractNumId="137">
    <w:nsid w:val="4D32AB86"/>
    <w:multiLevelType w:val="hybridMultilevel"/>
    <w:lvl w:ilvl="0">
      <w:lvlJc w:val="left"/>
      <w:lvlText w:val="(%1)"/>
      <w:numFmt w:val="lowerLetter"/>
      <w:start w:val="1"/>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2"/>
    </w:lvl>
  </w:abstractNum>
  <w:abstractNum w:abstractNumId="140">
    <w:nsid w:val="5CB44A05"/>
    <w:multiLevelType w:val="hybridMultilevel"/>
    <w:lvl w:ilvl="0">
      <w:lvlJc w:val="left"/>
      <w:lvlText w:val="(%1)"/>
      <w:numFmt w:val="lowerLetter"/>
      <w:start w:val="1"/>
    </w:lvl>
  </w:abstractNum>
  <w:abstractNum w:abstractNumId="141">
    <w:nsid w:val="16CF80F1"/>
    <w:multiLevelType w:val="hybridMultilevel"/>
    <w:lvl w:ilvl="0">
      <w:lvlJc w:val="left"/>
      <w:lvlText w:val="%1"/>
      <w:numFmt w:val="decimal"/>
      <w:start w:val="1"/>
    </w:lvl>
    <w:lvl w:ilvl="1">
      <w:lvlJc w:val="left"/>
      <w:lvlText w:val="(%2)"/>
      <w:numFmt w:val="lowerLetter"/>
      <w:start w:val="1"/>
    </w:lvl>
  </w:abstractNum>
  <w:abstractNum w:abstractNumId="142">
    <w:nsid w:val="1C695DEC"/>
    <w:multiLevelType w:val="hybridMultilevel"/>
    <w:lvl w:ilvl="0">
      <w:lvlJc w:val="left"/>
      <w:lvlText w:val="(%1)"/>
      <w:numFmt w:val="decimal"/>
      <w:start w:val="2"/>
    </w:lvl>
    <w:lvl w:ilvl="1">
      <w:lvlJc w:val="left"/>
      <w:lvlText w:val="%2"/>
      <w:numFmt w:val="lowerLetter"/>
      <w:start w:val="1"/>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1)"/>
      <w:numFmt w:val="lowerLetter"/>
      <w:start w:val="1"/>
    </w:lvl>
  </w:abstractNum>
  <w:abstractNum w:abstractNumId="145">
    <w:nsid w:val="11B1CC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6">
    <w:nsid w:val="2E22FBB7"/>
    <w:multiLevelType w:val="hybridMultilevel"/>
    <w:lvl w:ilvl="0">
      <w:lvlJc w:val="left"/>
      <w:lvlText w:val="%1"/>
      <w:numFmt w:val="lowerRoman"/>
      <w:start w:val="1"/>
    </w:lvl>
    <w:lvl w:ilvl="1">
      <w:lvlJc w:val="left"/>
      <w:lvlText w:val="(%2)"/>
      <w:numFmt w:val="upperLetter"/>
      <w:start w:val="7"/>
    </w:lvl>
  </w:abstractNum>
  <w:abstractNum w:abstractNumId="147">
    <w:nsid w:val="29934699"/>
    <w:multiLevelType w:val="hybridMultilevel"/>
    <w:lvl w:ilvl="0">
      <w:lvlJc w:val="left"/>
      <w:lvlText w:val="(%1)"/>
      <w:numFmt w:val="lowerRoman"/>
      <w:start w:val="2"/>
    </w:lvl>
    <w:lvl w:ilvl="1">
      <w:lvlJc w:val="left"/>
      <w:lvlText w:val="%2"/>
      <w:numFmt w:val="upperLetter"/>
      <w:start w:val="1"/>
    </w:lvl>
  </w:abstractNum>
  <w:abstractNum w:abstractNumId="148">
    <w:nsid w:val="77485850"/>
    <w:multiLevelType w:val="hybridMultilevel"/>
    <w:lvl w:ilvl="0">
      <w:lvlJc w:val="left"/>
      <w:lvlText w:val="(%1)"/>
      <w:numFmt w:val="lowerLetter"/>
      <w:start w:val="2"/>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Roman"/>
      <w:start w:val="1"/>
    </w:lvl>
  </w:abstractNum>
  <w:abstractNum w:abstractNumId="151">
    <w:nsid w:val="6B1D2C14"/>
    <w:multiLevelType w:val="hybridMultilevel"/>
    <w:lvl w:ilvl="0">
      <w:lvlJc w:val="left"/>
      <w:lvlText w:val="(%1)"/>
      <w:numFmt w:val="lowerLetter"/>
      <w:start w:val="2"/>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3"/>
    </w:lvl>
  </w:abstractNum>
  <w:abstractNum w:abstractNumId="154">
    <w:nsid w:val="2AE05A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32794FF7"/>
    <w:multiLevelType w:val="hybridMultilevel"/>
    <w:lvl w:ilvl="0">
      <w:lvlJc w:val="left"/>
      <w:lvlText w:val="%1"/>
      <w:numFmt w:val="lowerRoman"/>
      <w:start w:val="1"/>
    </w:lvl>
    <w:lvl w:ilvl="1">
      <w:lvlJc w:val="left"/>
      <w:lvlText w:val="(%2)"/>
      <w:numFmt w:val="upperLetter"/>
      <w:start w:val="2"/>
    </w:lvl>
  </w:abstractNum>
  <w:abstractNum w:abstractNumId="156">
    <w:nsid w:val="5454945E"/>
    <w:multiLevelType w:val="hybridMultilevel"/>
    <w:lvl w:ilvl="0">
      <w:lvlJc w:val="left"/>
      <w:lvlText w:val="(%1)"/>
      <w:numFmt w:val="lowerRoman"/>
      <w:start w:val="4"/>
    </w:lvl>
    <w:lvl w:ilvl="1">
      <w:lvlJc w:val="left"/>
      <w:lvlText w:val="%2"/>
      <w:numFmt w:val="upperLetter"/>
      <w:start w:val="1"/>
    </w:lvl>
  </w:abstractNum>
  <w:abstractNum w:abstractNumId="157">
    <w:nsid w:val="4DEFDFA0"/>
    <w:multiLevelType w:val="hybridMultilevel"/>
    <w:lvl w:ilvl="0">
      <w:lvlJc w:val="left"/>
      <w:lvlText w:val="(%1)"/>
      <w:numFmt w:val="lowerLetter"/>
      <w:start w:val="3"/>
    </w:lvl>
  </w:abstractNum>
  <w:abstractNum w:abstractNumId="158">
    <w:nsid w:val="2123D5F2"/>
    <w:multiLevelType w:val="hybridMultilevel"/>
    <w:lvl w:ilvl="0">
      <w:lvlJc w:val="left"/>
      <w:lvlText w:val="(%1)"/>
      <w:numFmt w:val="lowerLetter"/>
      <w:start w:val="5"/>
    </w:lvl>
  </w:abstractNum>
  <w:abstractNum w:abstractNumId="159">
    <w:nsid w:val="135B8110"/>
    <w:multiLevelType w:val="hybridMultilevel"/>
    <w:lvl w:ilvl="0">
      <w:lvlJc w:val="left"/>
      <w:lvlText w:val="(%1)"/>
      <w:numFmt w:val="lowerLetter"/>
      <w:start w:val="1"/>
    </w:lvl>
  </w:abstractNum>
  <w:abstractNum w:abstractNumId="160">
    <w:nsid w:val="94927A8"/>
    <w:multiLevelType w:val="hybridMultilevel"/>
    <w:lvl w:ilvl="0">
      <w:lvlJc w:val="left"/>
      <w:lvlText w:val="(%1)"/>
      <w:numFmt w:val="lowerLetter"/>
      <w:start w:val="2"/>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
      <w:numFmt w:val="bullet"/>
      <w:start w:val="1"/>
    </w:lvl>
  </w:abstractNum>
  <w:abstractNum w:abstractNumId="163">
    <w:nsid w:val="2E8A6394"/>
    <w:multiLevelType w:val="hybridMultilevel"/>
    <w:lvl w:ilvl="0">
      <w:lvlJc w:val="left"/>
      <w:lvlText w:val="(%1)"/>
      <w:numFmt w:val="lowerLetter"/>
      <w:start w:val="1"/>
    </w:lvl>
  </w:abstractNum>
  <w:abstractNum w:abstractNumId="164">
    <w:nsid w:val="24E60401"/>
    <w:multiLevelType w:val="hybridMultilevel"/>
    <w:lvl w:ilvl="0">
      <w:lvlJc w:val="left"/>
      <w:lvlText w:val="(%1)"/>
      <w:numFmt w:val="lowerLetter"/>
      <w:start w:val="1"/>
    </w:lvl>
  </w:abstractNum>
  <w:abstractNum w:abstractNumId="165">
    <w:nsid w:val="2A6AD9BE"/>
    <w:multiLevelType w:val="hybridMultilevel"/>
    <w:lvl w:ilvl="0">
      <w:lvlJc w:val="left"/>
      <w:lvlText w:val="%1."/>
      <w:numFmt w:val="decimal"/>
      <w:start w:val="1"/>
    </w:lvl>
  </w:abstractNum>
  <w:abstractNum w:abstractNumId="166">
    <w:nsid w:val="BAAC1B4"/>
    <w:multiLevelType w:val="hybridMultilevel"/>
    <w:lvl w:ilvl="0">
      <w:lvlJc w:val="left"/>
      <w:lvlText w:val="%1."/>
      <w:numFmt w:val="decimal"/>
      <w:start w:val="1"/>
    </w:lvl>
    <w:lvl w:ilvl="1">
      <w:lvlJc w:val="left"/>
      <w:lvlText w:val="(%2)"/>
      <w:numFmt w:val="lowerLetter"/>
      <w:start w:val="1"/>
    </w:lvl>
  </w:abstractNum>
  <w:abstractNum w:abstractNumId="167">
    <w:nsid w:val="36B2ACB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8">
    <w:nsid w:val="779D854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69">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70">
    <w:nsid w:val="21FAA2F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1">
    <w:nsid w:val="5451CF49"/>
    <w:multiLevelType w:val="hybridMultilevel"/>
    <w:lvl w:ilvl="0">
      <w:lvlJc w:val="left"/>
      <w:lvlText w:val="%1."/>
      <w:numFmt w:val="decimal"/>
      <w:start w:val="12"/>
    </w:lvl>
    <w:lvl w:ilvl="1">
      <w:lvlJc w:val="left"/>
      <w:lvlText w:val="(%2)"/>
      <w:numFmt w:val="lowerLetter"/>
      <w:start w:val="1"/>
    </w:lvl>
  </w:abstractNum>
  <w:abstractNum w:abstractNumId="172">
    <w:nsid w:val="6181EF69"/>
    <w:multiLevelType w:val="hybridMultilevel"/>
    <w:lvl w:ilvl="0">
      <w:lvlJc w:val="left"/>
      <w:lvlText w:val="%1."/>
      <w:numFmt w:val="decimal"/>
      <w:start w:val="17"/>
    </w:lvl>
  </w:abstractNum>
  <w:abstractNum w:abstractNumId="173">
    <w:nsid w:val="3E6400E6"/>
    <w:multiLevelType w:val="hybridMultilevel"/>
    <w:lvl w:ilvl="0">
      <w:lvlJc w:val="left"/>
      <w:lvlText w:val="%1"/>
      <w:numFmt w:val="decimal"/>
      <w:start w:val="1"/>
    </w:lvl>
    <w:lvl w:ilvl="1">
      <w:lvlJc w:val="left"/>
      <w:lvlText w:val="%2"/>
      <w:numFmt w:val="lowerLetter"/>
      <w:start w:val="1"/>
    </w:lvl>
    <w:lvl w:ilvl="2">
      <w:lvlJc w:val="left"/>
      <w:lvlText w:val="%3."/>
      <w:numFmt w:val="decimal"/>
      <w:start w:val="25"/>
    </w:lvl>
  </w:abstractNum>
  <w:abstractNum w:abstractNumId="174">
    <w:nsid w:val="14217E23"/>
    <w:multiLevelType w:val="hybridMultilevel"/>
    <w:lvl w:ilvl="0">
      <w:lvlJc w:val="left"/>
      <w:lvlText w:val="%1."/>
      <w:numFmt w:val="decimal"/>
      <w:start w:val="26"/>
    </w:lvl>
    <w:lvl w:ilvl="1">
      <w:lvlJc w:val="left"/>
      <w:lvlText w:val="(%2)"/>
      <w:numFmt w:val="lowerLetter"/>
      <w:start w:val="1"/>
    </w:lvl>
    <w:lvl w:ilvl="2">
      <w:lvlJc w:val="left"/>
      <w:lvlText w:val="%3"/>
      <w:numFmt w:val="decimal"/>
      <w:start w:val="1"/>
    </w:lvl>
  </w:abstractNum>
  <w:abstractNum w:abstractNumId="175">
    <w:nsid w:val="710757D0"/>
    <w:multiLevelType w:val="hybridMultilevel"/>
    <w:lvl w:ilvl="0">
      <w:lvlJc w:val="left"/>
      <w:lvlText w:val="%1."/>
      <w:numFmt w:val="decimal"/>
      <w:start w:val="1"/>
    </w:lvl>
    <w:lvl w:ilvl="1">
      <w:lvlJc w:val="left"/>
      <w:lvlText w:val="(%2)"/>
      <w:numFmt w:val="lowerLetter"/>
      <w:start w:val="1"/>
    </w:lvl>
  </w:abstractNum>
  <w:abstractNum w:abstractNumId="176">
    <w:nsid w:val="5015CD1A"/>
    <w:multiLevelType w:val="hybridMultilevel"/>
    <w:lvl w:ilvl="0">
      <w:lvlJc w:val="left"/>
      <w:lvlText w:val="%1."/>
      <w:numFmt w:val="decimal"/>
      <w:start w:val="1"/>
    </w:lvl>
    <w:lvl w:ilvl="1">
      <w:lvlJc w:val="left"/>
      <w:lvlText w:val="(%2)"/>
      <w:numFmt w:val="lowerLetter"/>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decimal"/>
      <w:start w:val="1"/>
    </w:lvl>
  </w:abstractNum>
  <w:abstractNum w:abstractNumId="179">
    <w:nsid w:val="475E256A"/>
    <w:multiLevelType w:val="hybridMultilevel"/>
    <w:lvl w:ilvl="0">
      <w:lvlJc w:val="left"/>
      <w:lvlText w:val="•"/>
      <w:numFmt w:val="bullet"/>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2019-12-29T17:00:10Z</dcterms:created>
  <dcterms:modified xsi:type="dcterms:W3CDTF">2019-12-29T17:00:10Z</dcterms:modified>
</cp:coreProperties>
</file>