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485775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452120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7"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86360</wp:posOffset>
            </wp:positionV>
            <wp:extent cx="2381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11"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114300</wp:posOffset>
            </wp:positionV>
            <wp:extent cx="2381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507" w:right="480" w:hanging="436"/>
        <w:spacing w:after="0" w:line="249" w:lineRule="auto"/>
        <w:tabs>
          <w:tab w:leader="none" w:pos="507"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6"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85"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9" w:lineRule="exact"/>
        <w:rPr>
          <w:sz w:val="24"/>
          <w:szCs w:val="24"/>
          <w:color w:val="auto"/>
        </w:rPr>
      </w:pPr>
    </w:p>
    <w:p>
      <w:pPr>
        <w:ind w:left="547" w:right="420" w:hanging="547"/>
        <w:spacing w:after="0" w:line="181" w:lineRule="auto"/>
        <w:tabs>
          <w:tab w:leader="none" w:pos="547" w:val="left"/>
        </w:tabs>
        <w:numPr>
          <w:ilvl w:val="0"/>
          <w:numId w:val="2"/>
        </w:numPr>
        <w:rPr>
          <w:rFonts w:ascii="MS PGothic" w:cs="MS PGothic" w:eastAsia="MS PGothic" w:hAnsi="MS PGothic"/>
          <w:sz w:val="41"/>
          <w:szCs w:val="41"/>
          <w:color w:val="auto"/>
          <w:vertAlign w:val="subscript"/>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3" w:lineRule="exact"/>
        <w:rPr>
          <w:sz w:val="24"/>
          <w:szCs w:val="24"/>
          <w:color w:val="auto"/>
        </w:rPr>
      </w:pPr>
    </w:p>
    <w:p>
      <w:pPr>
        <w:jc w:val="center"/>
        <w:ind w:right="-46"/>
        <w:spacing w:after="0"/>
        <w:rPr>
          <w:sz w:val="20"/>
          <w:szCs w:val="20"/>
          <w:color w:val="auto"/>
        </w:rPr>
      </w:pPr>
      <w:r>
        <w:rPr>
          <w:rFonts w:ascii="Times New Roman" w:cs="Times New Roman" w:eastAsia="Times New Roman" w:hAnsi="Times New Roman"/>
          <w:sz w:val="18"/>
          <w:szCs w:val="18"/>
          <w:b w:val="1"/>
          <w:bCs w:val="1"/>
          <w:color w:val="auto"/>
        </w:rPr>
        <w:t>Commission File Number: 001-32630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92075</wp:posOffset>
            </wp:positionV>
            <wp:extent cx="3660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2759710</wp:posOffset>
            </wp:positionH>
            <wp:positionV relativeFrom="paragraph">
              <wp:posOffset>184150</wp:posOffset>
            </wp:positionV>
            <wp:extent cx="1682750" cy="698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2750" cy="698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867" w:type="dxa"/>
        <w:tblCellMar>
          <w:top w:w="0" w:type="dxa"/>
          <w:left w:w="0" w:type="dxa"/>
          <w:bottom w:w="0" w:type="dxa"/>
          <w:right w:w="0" w:type="dxa"/>
        </w:tblCellMar>
      </w:tblPr>
      <w:tr>
        <w:trPr>
          <w:trHeight w:val="281"/>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gridSpan w:val="7"/>
          </w:tcPr>
          <w:p>
            <w:pPr>
              <w:jc w:val="center"/>
              <w:ind w:right="2160"/>
              <w:spacing w:after="0"/>
              <w:rPr>
                <w:sz w:val="20"/>
                <w:szCs w:val="20"/>
                <w:color w:val="auto"/>
              </w:rPr>
            </w:pPr>
            <w:r>
              <w:rPr>
                <w:rFonts w:ascii="Times New Roman" w:cs="Times New Roman" w:eastAsia="Times New Roman" w:hAnsi="Times New Roman"/>
                <w:sz w:val="21"/>
                <w:szCs w:val="21"/>
                <w:b w:val="1"/>
                <w:bCs w:val="1"/>
                <w:color w:val="auto"/>
              </w:rPr>
              <w:t>FIDELITY NATIONAL FINANCIAL, INC.</w:t>
            </w:r>
          </w:p>
        </w:tc>
      </w:tr>
      <w:tr>
        <w:trPr>
          <w:trHeight w:val="242"/>
        </w:trPr>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80" w:type="dxa"/>
            <w:vAlign w:val="bottom"/>
            <w:gridSpan w:val="7"/>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r>
      <w:tr>
        <w:trPr>
          <w:trHeight w:val="118"/>
        </w:trPr>
        <w:tc>
          <w:tcPr>
            <w:tcW w:w="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353"/>
        </w:trPr>
        <w:tc>
          <w:tcPr>
            <w:tcW w:w="580" w:type="dxa"/>
            <w:vAlign w:val="bottom"/>
          </w:tcPr>
          <w:p>
            <w:pPr>
              <w:spacing w:after="0"/>
              <w:rPr>
                <w:sz w:val="24"/>
                <w:szCs w:val="24"/>
                <w:color w:val="auto"/>
              </w:rPr>
            </w:pPr>
          </w:p>
        </w:tc>
        <w:tc>
          <w:tcPr>
            <w:tcW w:w="196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60" w:type="dxa"/>
            <w:vAlign w:val="bottom"/>
            <w:gridSpan w:val="4"/>
          </w:tcPr>
          <w:p>
            <w:pPr>
              <w:jc w:val="center"/>
              <w:ind w:left="1981"/>
              <w:spacing w:after="0"/>
              <w:rPr>
                <w:sz w:val="20"/>
                <w:szCs w:val="20"/>
                <w:color w:val="auto"/>
              </w:rPr>
            </w:pPr>
            <w:r>
              <w:rPr>
                <w:rFonts w:ascii="Times New Roman" w:cs="Times New Roman" w:eastAsia="Times New Roman" w:hAnsi="Times New Roman"/>
                <w:sz w:val="18"/>
                <w:szCs w:val="18"/>
                <w:b w:val="1"/>
                <w:bCs w:val="1"/>
                <w:color w:val="auto"/>
                <w:w w:val="98"/>
              </w:rPr>
              <w:t>16-1725106</w:t>
            </w:r>
          </w:p>
        </w:tc>
      </w:tr>
      <w:tr>
        <w:trPr>
          <w:trHeight w:val="146"/>
        </w:trPr>
        <w:tc>
          <w:tcPr>
            <w:tcW w:w="2540" w:type="dxa"/>
            <w:vAlign w:val="bottom"/>
            <w:gridSpan w:val="4"/>
          </w:tcPr>
          <w:p>
            <w:pPr>
              <w:jc w:val="center"/>
              <w:ind w:right="66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40" w:type="dxa"/>
            <w:vAlign w:val="bottom"/>
            <w:gridSpan w:val="2"/>
          </w:tcPr>
          <w:p>
            <w:pPr>
              <w:jc w:val="center"/>
              <w:ind w:left="369"/>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54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4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601 Riverside Avenue</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8"/>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Jacksonville, Florida, 32204</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6"/>
        </w:trPr>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80" w:type="dxa"/>
            <w:vAlign w:val="bottom"/>
            <w:gridSpan w:val="7"/>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463"/>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20" w:type="dxa"/>
            <w:vAlign w:val="bottom"/>
            <w:gridSpan w:val="3"/>
          </w:tcPr>
          <w:p>
            <w:pPr>
              <w:jc w:val="center"/>
              <w:ind w:left="939"/>
              <w:spacing w:after="0"/>
              <w:rPr>
                <w:sz w:val="20"/>
                <w:szCs w:val="20"/>
                <w:color w:val="auto"/>
              </w:rPr>
            </w:pPr>
            <w:r>
              <w:rPr>
                <w:rFonts w:ascii="Times New Roman" w:cs="Times New Roman" w:eastAsia="Times New Roman" w:hAnsi="Times New Roman"/>
                <w:sz w:val="18"/>
                <w:szCs w:val="18"/>
                <w:b w:val="1"/>
                <w:bCs w:val="1"/>
                <w:color w:val="auto"/>
                <w:w w:val="97"/>
              </w:rPr>
              <w:t>(904) 854-8100</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3"/>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gridSpan w:val="7"/>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11"/>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gridSpan w:val="7"/>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70"/>
        </w:trPr>
        <w:tc>
          <w:tcPr>
            <w:tcW w:w="580" w:type="dxa"/>
            <w:vAlign w:val="bottom"/>
          </w:tcPr>
          <w:p>
            <w:pPr>
              <w:spacing w:after="0"/>
              <w:rPr>
                <w:sz w:val="14"/>
                <w:szCs w:val="14"/>
                <w:color w:val="auto"/>
              </w:rPr>
            </w:pPr>
          </w:p>
        </w:tc>
        <w:tc>
          <w:tcPr>
            <w:tcW w:w="19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35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3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8"/>
        </w:trPr>
        <w:tc>
          <w:tcPr>
            <w:tcW w:w="25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color w:val="auto"/>
              </w:rPr>
              <w:t>FNF Common Stock, $0.0001 par value</w:t>
            </w:r>
          </w:p>
        </w:tc>
        <w:tc>
          <w:tcPr>
            <w:tcW w:w="980" w:type="dxa"/>
            <w:vAlign w:val="bottom"/>
          </w:tcPr>
          <w:p>
            <w:pPr>
              <w:spacing w:after="0"/>
              <w:rPr>
                <w:sz w:val="18"/>
                <w:szCs w:val="18"/>
                <w:color w:val="auto"/>
              </w:rPr>
            </w:pPr>
          </w:p>
        </w:tc>
        <w:tc>
          <w:tcPr>
            <w:tcW w:w="254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color w:val="auto"/>
              </w:rPr>
              <w:t>FNF</w:t>
            </w:r>
          </w:p>
        </w:tc>
        <w:tc>
          <w:tcPr>
            <w:tcW w:w="220" w:type="dxa"/>
            <w:vAlign w:val="bottom"/>
          </w:tcPr>
          <w:p>
            <w:pPr>
              <w:spacing w:after="0"/>
              <w:rPr>
                <w:sz w:val="18"/>
                <w:szCs w:val="18"/>
                <w:color w:val="auto"/>
              </w:rPr>
            </w:pPr>
          </w:p>
        </w:tc>
        <w:tc>
          <w:tcPr>
            <w:tcW w:w="2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99695</wp:posOffset>
            </wp:positionV>
            <wp:extent cx="3660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60" w:lineRule="exact"/>
        <w:rPr>
          <w:sz w:val="24"/>
          <w:szCs w:val="24"/>
          <w:color w:val="auto"/>
        </w:rPr>
      </w:pPr>
    </w:p>
    <w:p>
      <w:pPr>
        <w:ind w:left="47"/>
        <w:spacing w:after="0" w:line="24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 or No </w:t>
      </w:r>
      <w:r>
        <w:rPr>
          <w:rFonts w:ascii="MS PGothic" w:cs="MS PGothic" w:eastAsia="MS PGothic" w:hAnsi="MS PGothic"/>
          <w:sz w:val="21"/>
          <w:szCs w:val="21"/>
          <w:color w:val="auto"/>
        </w:rPr>
        <w:t>☐</w:t>
      </w:r>
    </w:p>
    <w:p>
      <w:pPr>
        <w:spacing w:after="0" w:line="37" w:lineRule="exact"/>
        <w:rPr>
          <w:sz w:val="24"/>
          <w:szCs w:val="24"/>
          <w:color w:val="auto"/>
        </w:rPr>
      </w:pPr>
    </w:p>
    <w:p>
      <w:pPr>
        <w:ind w:left="47"/>
        <w:spacing w:after="0" w:line="247"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or No</w:t>
      </w:r>
      <w:r>
        <w:rPr>
          <w:rFonts w:ascii="MS PGothic" w:cs="MS PGothic" w:eastAsia="MS PGothic" w:hAnsi="MS PGothic"/>
          <w:sz w:val="14"/>
          <w:szCs w:val="14"/>
          <w:color w:val="auto"/>
        </w:rPr>
        <w:t>☐</w:t>
      </w:r>
    </w:p>
    <w:p>
      <w:pPr>
        <w:spacing w:after="0" w:line="28" w:lineRule="exact"/>
        <w:rPr>
          <w:sz w:val="24"/>
          <w:szCs w:val="24"/>
          <w:color w:val="auto"/>
        </w:rPr>
      </w:pPr>
    </w:p>
    <w:p>
      <w:pPr>
        <w:ind w:left="47"/>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596265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87"/>
          </w:cols>
          <w:pgMar w:left="273" w:top="227" w:right="339" w:bottom="1440" w:gutter="0" w:footer="0" w:header="0"/>
        </w:sectPr>
      </w:pPr>
    </w:p>
    <w:bookmarkStart w:id="1" w:name="page2"/>
    <w:bookmarkEnd w:id="1"/>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r>
        <w:rPr>
          <w:rFonts w:ascii="MS PGothic" w:cs="MS PGothic" w:eastAsia="MS PGothic" w:hAnsi="MS PGothic"/>
          <w:sz w:val="21"/>
          <w:szCs w:val="21"/>
          <w:color w:val="auto"/>
        </w:rPr>
        <w:t>☒</w:t>
      </w:r>
    </w:p>
    <w:p>
      <w:pPr>
        <w:spacing w:after="0" w:line="148" w:lineRule="exact"/>
        <w:rPr>
          <w:sz w:val="20"/>
          <w:szCs w:val="20"/>
          <w:color w:val="auto"/>
        </w:rPr>
      </w:pPr>
    </w:p>
    <w:p>
      <w:pPr>
        <w:jc w:val="right"/>
        <w:spacing w:after="0" w:line="211" w:lineRule="exact"/>
        <w:rPr>
          <w:sz w:val="20"/>
          <w:szCs w:val="20"/>
          <w:color w:val="auto"/>
        </w:rPr>
      </w:pP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7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0" w:lineRule="exact"/>
        <w:rPr>
          <w:sz w:val="20"/>
          <w:szCs w:val="20"/>
          <w:color w:val="auto"/>
        </w:rPr>
      </w:pPr>
    </w:p>
    <w:p>
      <w:pPr>
        <w:sectPr>
          <w:pgSz w:w="11900" w:h="16838" w:orient="portrait"/>
          <w:cols w:equalWidth="0" w:num="4">
            <w:col w:w="4000" w:space="720"/>
            <w:col w:w="240" w:space="680"/>
            <w:col w:w="3320" w:space="720"/>
            <w:col w:w="1360"/>
          </w:cols>
          <w:pgMar w:left="320" w:top="1244" w:right="539" w:bottom="1440" w:gutter="0" w:footer="0" w:header="0"/>
        </w:sectPr>
      </w:pPr>
    </w:p>
    <w:p>
      <w:pPr>
        <w:spacing w:after="0" w:line="24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0"/>
          <w:szCs w:val="20"/>
          <w:color w:val="auto"/>
        </w:rPr>
      </w:pPr>
    </w:p>
    <w:p>
      <w:pPr>
        <w:spacing w:after="0" w:line="242"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 or</w:t>
        <w:tab/>
        <w:t xml:space="preserve">No </w:t>
      </w:r>
      <w:r>
        <w:rPr>
          <w:rFonts w:ascii="MS PGothic" w:cs="MS PGothic" w:eastAsia="MS PGothic" w:hAnsi="MS PGothic"/>
          <w:sz w:val="21"/>
          <w:szCs w:val="21"/>
          <w:color w:val="auto"/>
        </w:rPr>
        <w: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October 31, 2025 were:</w:t>
      </w:r>
    </w:p>
    <w:p>
      <w:pPr>
        <w:spacing w:after="0" w:line="111" w:lineRule="exact"/>
        <w:rPr>
          <w:sz w:val="20"/>
          <w:szCs w:val="20"/>
          <w:color w:val="auto"/>
        </w:rPr>
      </w:pPr>
    </w:p>
    <w:p>
      <w:pPr>
        <w:ind w:left="320"/>
        <w:spacing w:after="0"/>
        <w:tabs>
          <w:tab w:leader="none" w:pos="1960" w:val="left"/>
        </w:tabs>
        <w:rPr>
          <w:sz w:val="20"/>
          <w:szCs w:val="20"/>
          <w:color w:val="auto"/>
        </w:rPr>
      </w:pPr>
      <w:r>
        <w:rPr>
          <w:rFonts w:ascii="Times New Roman" w:cs="Times New Roman" w:eastAsia="Times New Roman" w:hAnsi="Times New Roman"/>
          <w:sz w:val="18"/>
          <w:szCs w:val="18"/>
          <w:color w:val="auto"/>
        </w:rPr>
        <w:t>FNF Common Stock</w:t>
      </w:r>
      <w:r>
        <w:rPr>
          <w:sz w:val="20"/>
          <w:szCs w:val="20"/>
          <w:color w:val="auto"/>
        </w:rPr>
        <w:tab/>
      </w:r>
      <w:r>
        <w:rPr>
          <w:rFonts w:ascii="Times New Roman" w:cs="Times New Roman" w:eastAsia="Times New Roman" w:hAnsi="Times New Roman"/>
          <w:sz w:val="17"/>
          <w:szCs w:val="17"/>
          <w:color w:val="auto"/>
        </w:rPr>
        <w:t>271,122,556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793115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90805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040"/>
          </w:cols>
          <w:pgMar w:left="320" w:top="1244" w:right="5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QUARTERLY REPORT</w:t>
      </w:r>
    </w:p>
    <w:p>
      <w:pPr>
        <w:spacing w:after="0" w:line="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Quarter Ended September 30, 2025</w:t>
      </w:r>
    </w:p>
    <w:p>
      <w:pPr>
        <w:spacing w:after="0" w:line="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20" w:type="dxa"/>
            <w:vAlign w:val="bottom"/>
            <w:gridSpan w:val="7"/>
          </w:tcPr>
          <w:p>
            <w:pPr>
              <w:ind w:left="15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20" w:type="dxa"/>
            <w:vAlign w:val="bottom"/>
            <w:gridSpan w:val="11"/>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7"/>
              </w:rPr>
              <w:t>PART I. FINANCIAL INFORMATION</w:t>
            </w: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40" w:type="dxa"/>
            <w:vAlign w:val="bottom"/>
            <w:gridSpan w:val="20"/>
          </w:tcPr>
          <w:p>
            <w:pPr>
              <w:spacing w:after="0" w:line="178" w:lineRule="exact"/>
              <w:rPr>
                <w:sz w:val="20"/>
                <w:szCs w:val="20"/>
                <w:color w:val="auto"/>
              </w:rPr>
            </w:pPr>
            <w:r>
              <w:rPr>
                <w:rFonts w:ascii="Times New Roman" w:cs="Times New Roman" w:eastAsia="Times New Roman" w:hAnsi="Times New Roman"/>
                <w:sz w:val="18"/>
                <w:szCs w:val="18"/>
                <w:color w:val="0000FF"/>
              </w:rPr>
              <w:t>Item 1. Condensed Consolidated Financial Statements:</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0000FF"/>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0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0000FF"/>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040" w:type="dxa"/>
            <w:vAlign w:val="bottom"/>
            <w:tcBorders>
              <w:bottom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Condensed Consolidated Statements of Earnings (unaudited)</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0000FF"/>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440" w:type="dxa"/>
            <w:vAlign w:val="bottom"/>
            <w:tcBorders>
              <w:bottom w:val="single" w:sz="8" w:color="0000FF"/>
            </w:tcBorders>
            <w:gridSpan w:val="3"/>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Condensed Consolidated Statements of Comprehensive Earnings (unaudited)</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0000FF"/>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440" w:type="dxa"/>
            <w:vAlign w:val="bottom"/>
            <w:tcBorders>
              <w:bottom w:val="single" w:sz="8" w:color="0000FF"/>
            </w:tcBorders>
            <w:gridSpan w:val="3"/>
          </w:tcPr>
          <w:p>
            <w:pPr>
              <w:spacing w:after="0" w:line="20" w:lineRule="exact"/>
              <w:rPr>
                <w:sz w:val="1"/>
                <w:szCs w:val="1"/>
                <w:color w:val="auto"/>
              </w:rPr>
            </w:pPr>
          </w:p>
        </w:tc>
        <w:tc>
          <w:tcPr>
            <w:tcW w:w="360" w:type="dxa"/>
            <w:vAlign w:val="bottom"/>
            <w:tcBorders>
              <w:bottom w:val="single" w:sz="8" w:color="0000FF"/>
            </w:tcBorders>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760" w:type="dxa"/>
            <w:vAlign w:val="bottom"/>
            <w:tcBorders>
              <w:bottom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Condensed Consolidated Statements of Equity (unaudited)</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0000FF"/>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440" w:type="dxa"/>
            <w:vAlign w:val="bottom"/>
            <w:tcBorders>
              <w:bottom w:val="single" w:sz="8" w:color="0000FF"/>
            </w:tcBorders>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0000FF"/>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800" w:type="dxa"/>
            <w:vAlign w:val="bottom"/>
            <w:tcBorders>
              <w:bottom w:val="single" w:sz="8" w:color="0000FF"/>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92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0000FF"/>
            </w:tcBorders>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960" w:type="dxa"/>
            <w:vAlign w:val="bottom"/>
            <w:tcBorders>
              <w:bottom w:val="single" w:sz="8" w:color="0000FF"/>
            </w:tcBorders>
            <w:gridSpan w:val="6"/>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70</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0000FF"/>
            </w:tcBorders>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1960" w:type="dxa"/>
            <w:vAlign w:val="bottom"/>
            <w:tcBorders>
              <w:bottom w:val="single" w:sz="8" w:color="0000FF"/>
            </w:tcBorders>
            <w:gridSpan w:val="6"/>
          </w:tcPr>
          <w:p>
            <w:pPr>
              <w:spacing w:after="0" w:line="20" w:lineRule="exact"/>
              <w:rPr>
                <w:sz w:val="1"/>
                <w:szCs w:val="1"/>
                <w:color w:val="auto"/>
              </w:rPr>
            </w:pPr>
          </w:p>
        </w:tc>
        <w:tc>
          <w:tcPr>
            <w:tcW w:w="2080" w:type="dxa"/>
            <w:vAlign w:val="bottom"/>
            <w:tcBorders>
              <w:bottom w:val="single" w:sz="8" w:color="0000FF"/>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9020" w:type="dxa"/>
            <w:vAlign w:val="bottom"/>
            <w:gridSpan w:val="19"/>
          </w:tcPr>
          <w:p>
            <w:pPr>
              <w:spacing w:after="0" w:line="192" w:lineRule="exact"/>
              <w:rPr>
                <w:sz w:val="20"/>
                <w:szCs w:val="20"/>
                <w:color w:val="auto"/>
              </w:rPr>
            </w:pPr>
            <w:r>
              <w:rPr>
                <w:rFonts w:ascii="Times New Roman" w:cs="Times New Roman" w:eastAsia="Times New Roman" w:hAnsi="Times New Roman"/>
                <w:sz w:val="18"/>
                <w:szCs w:val="18"/>
                <w:color w:val="0E32E1"/>
              </w:rPr>
              <w:t>Item 3. Quantitative and Qualitative Disclosures about Market Risk</w:t>
            </w:r>
          </w:p>
        </w:tc>
        <w:tc>
          <w:tcPr>
            <w:tcW w:w="1760" w:type="dxa"/>
            <w:vAlign w:val="bottom"/>
            <w:gridSpan w:val="5"/>
          </w:tcPr>
          <w:p>
            <w:pPr>
              <w:jc w:val="center"/>
              <w:ind w:left="1496"/>
              <w:spacing w:after="0" w:line="192" w:lineRule="exact"/>
              <w:rPr>
                <w:sz w:val="20"/>
                <w:szCs w:val="20"/>
                <w:color w:val="auto"/>
              </w:rPr>
            </w:pPr>
            <w:r>
              <w:rPr>
                <w:rFonts w:ascii="Times New Roman" w:cs="Times New Roman" w:eastAsia="Times New Roman" w:hAnsi="Times New Roman"/>
                <w:sz w:val="18"/>
                <w:szCs w:val="18"/>
                <w:color w:val="0000FF"/>
                <w:w w:val="99"/>
              </w:rPr>
              <w:t>94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960" w:type="dxa"/>
            <w:vAlign w:val="bottom"/>
            <w:gridSpan w:val="6"/>
            <w:shd w:val="clear" w:color="auto" w:fill="0E32E1"/>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1760" w:type="dxa"/>
            <w:vAlign w:val="bottom"/>
            <w:gridSpan w:val="5"/>
          </w:tcPr>
          <w:p>
            <w:pPr>
              <w:jc w:val="center"/>
              <w:ind w:left="1496"/>
              <w:spacing w:after="0" w:line="205" w:lineRule="exact"/>
              <w:rPr>
                <w:sz w:val="20"/>
                <w:szCs w:val="20"/>
                <w:color w:val="auto"/>
              </w:rPr>
            </w:pPr>
            <w:r>
              <w:rPr>
                <w:rFonts w:ascii="Times New Roman" w:cs="Times New Roman" w:eastAsia="Times New Roman" w:hAnsi="Times New Roman"/>
                <w:sz w:val="18"/>
                <w:szCs w:val="18"/>
                <w:color w:val="0000FF"/>
                <w:w w:val="99"/>
              </w:rPr>
              <w:t>94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8"/>
        </w:trPr>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220" w:type="dxa"/>
            <w:vAlign w:val="bottom"/>
            <w:gridSpan w:val="11"/>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7"/>
              </w:rPr>
              <w:t>PART II. OTHER INFORMATION</w:t>
            </w: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0000FF"/>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96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040" w:type="dxa"/>
            <w:vAlign w:val="bottom"/>
            <w:gridSpan w:val="20"/>
          </w:tcPr>
          <w:p>
            <w:pPr>
              <w:spacing w:after="0" w:line="178" w:lineRule="exact"/>
              <w:rPr>
                <w:sz w:val="20"/>
                <w:szCs w:val="20"/>
                <w:color w:val="auto"/>
              </w:rPr>
            </w:pPr>
            <w:r>
              <w:rPr>
                <w:rFonts w:ascii="Times New Roman" w:cs="Times New Roman" w:eastAsia="Times New Roman" w:hAnsi="Times New Roman"/>
                <w:sz w:val="18"/>
                <w:szCs w:val="18"/>
                <w:color w:val="0000FF"/>
              </w:rPr>
              <w:t>Item 1. Legal Proceedings</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0000FF"/>
            </w:tcBorders>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700" w:type="dxa"/>
            <w:vAlign w:val="bottom"/>
            <w:gridSpan w:val="1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E32E1"/>
                <w:w w:val="88"/>
              </w:rPr>
              <w:t>96</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Item 1A. Risk Factors</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0E32E1"/>
            </w:tcBorders>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700" w:type="dxa"/>
            <w:vAlign w:val="bottom"/>
            <w:gridSpan w:val="1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Item 2. Unregistered Sales of Equity Securities, Use of Proceeds and Issuer Purchases of Equity Securities</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0000FF"/>
            </w:tcBorders>
            <w:gridSpan w:val="3"/>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98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980" w:type="dxa"/>
            <w:vAlign w:val="bottom"/>
            <w:tcBorders>
              <w:bottom w:val="single" w:sz="8" w:color="0000FF"/>
            </w:tcBorders>
            <w:gridSpan w:val="3"/>
          </w:tcPr>
          <w:p>
            <w:pPr>
              <w:spacing w:after="0" w:line="20" w:lineRule="exact"/>
              <w:rPr>
                <w:sz w:val="1"/>
                <w:szCs w:val="1"/>
                <w:color w:val="auto"/>
              </w:rPr>
            </w:pPr>
          </w:p>
        </w:tc>
        <w:tc>
          <w:tcPr>
            <w:tcW w:w="4700" w:type="dxa"/>
            <w:vAlign w:val="bottom"/>
            <w:tcBorders>
              <w:bottom w:val="single" w:sz="8" w:color="0000FF"/>
            </w:tcBorders>
            <w:gridSpan w:val="1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0000FF"/>
            </w:tcBorders>
            <w:gridSpan w:val="3"/>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99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980" w:type="dxa"/>
            <w:vAlign w:val="bottom"/>
            <w:tcBorders>
              <w:bottom w:val="single" w:sz="8" w:color="0000FF"/>
            </w:tcBorders>
            <w:gridSpan w:val="3"/>
          </w:tcPr>
          <w:p>
            <w:pPr>
              <w:spacing w:after="0" w:line="20" w:lineRule="exact"/>
              <w:rPr>
                <w:sz w:val="1"/>
                <w:szCs w:val="1"/>
                <w:color w:val="auto"/>
              </w:rPr>
            </w:pPr>
          </w:p>
        </w:tc>
        <w:tc>
          <w:tcPr>
            <w:tcW w:w="6220" w:type="dxa"/>
            <w:vAlign w:val="bottom"/>
            <w:gridSpan w:val="11"/>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0000FF"/>
            </w:tcBorders>
            <w:gridSpan w:val="3"/>
          </w:tcPr>
          <w:p>
            <w:pPr>
              <w:jc w:val="center"/>
              <w:spacing w:after="0" w:line="192" w:lineRule="exact"/>
              <w:rPr>
                <w:sz w:val="20"/>
                <w:szCs w:val="20"/>
                <w:color w:val="auto"/>
              </w:rPr>
            </w:pPr>
            <w:r>
              <w:rPr>
                <w:rFonts w:ascii="Times New Roman" w:cs="Times New Roman" w:eastAsia="Times New Roman" w:hAnsi="Times New Roman"/>
                <w:sz w:val="18"/>
                <w:szCs w:val="18"/>
                <w:color w:val="0000FF"/>
                <w:w w:val="88"/>
              </w:rPr>
              <w:t>99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440" w:type="dxa"/>
            <w:vAlign w:val="bottom"/>
            <w:tcBorders>
              <w:bottom w:val="single" w:sz="8" w:color="0000FF"/>
            </w:tcBorders>
            <w:gridSpan w:val="2"/>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4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0000FF"/>
                <w:w w:val="97"/>
              </w:rPr>
              <w:t>Item 5. Other Information</w:t>
            </w:r>
          </w:p>
        </w:tc>
        <w:tc>
          <w:tcPr>
            <w:tcW w:w="7200" w:type="dxa"/>
            <w:vAlign w:val="bottom"/>
            <w:gridSpan w:val="14"/>
          </w:tcPr>
          <w:p>
            <w:pPr>
              <w:spacing w:after="0"/>
              <w:rPr>
                <w:sz w:val="16"/>
                <w:szCs w:val="16"/>
                <w:color w:val="auto"/>
              </w:rPr>
            </w:pPr>
          </w:p>
        </w:tc>
        <w:tc>
          <w:tcPr>
            <w:tcW w:w="1800" w:type="dxa"/>
            <w:vAlign w:val="bottom"/>
            <w:gridSpan w:val="6"/>
          </w:tcPr>
          <w:p>
            <w:pPr>
              <w:jc w:val="center"/>
              <w:ind w:left="1456"/>
              <w:spacing w:after="0" w:line="192" w:lineRule="exact"/>
              <w:rPr>
                <w:sz w:val="20"/>
                <w:szCs w:val="20"/>
                <w:color w:val="auto"/>
              </w:rPr>
            </w:pPr>
            <w:r>
              <w:rPr>
                <w:rFonts w:ascii="Times New Roman" w:cs="Times New Roman" w:eastAsia="Times New Roman" w:hAnsi="Times New Roman"/>
                <w:sz w:val="18"/>
                <w:szCs w:val="18"/>
                <w:color w:val="0000FF"/>
                <w:w w:val="99"/>
              </w:rPr>
              <w:t>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200" w:type="dxa"/>
            <w:vAlign w:val="bottom"/>
            <w:gridSpan w:val="1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4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6. Exhibits</w:t>
            </w:r>
          </w:p>
        </w:tc>
        <w:tc>
          <w:tcPr>
            <w:tcW w:w="7200" w:type="dxa"/>
            <w:vAlign w:val="bottom"/>
            <w:gridSpan w:val="14"/>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Borders>
              <w:bottom w:val="single" w:sz="8" w:color="0000FF"/>
            </w:tcBorders>
            <w:gridSpan w:val="5"/>
          </w:tcPr>
          <w:p>
            <w:pPr>
              <w:jc w:val="center"/>
              <w:spacing w:after="0" w:line="192" w:lineRule="exact"/>
              <w:rPr>
                <w:sz w:val="20"/>
                <w:szCs w:val="20"/>
                <w:color w:val="auto"/>
              </w:rPr>
            </w:pPr>
            <w:r>
              <w:rPr>
                <w:rFonts w:ascii="Times New Roman" w:cs="Times New Roman" w:eastAsia="Times New Roman" w:hAnsi="Times New Roman"/>
                <w:sz w:val="18"/>
                <w:szCs w:val="18"/>
                <w:color w:val="0000FF"/>
                <w:w w:val="96"/>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900" w:type="dxa"/>
            <w:vAlign w:val="bottom"/>
            <w:gridSpan w:val="16"/>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101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Signatures</w:t>
            </w:r>
          </w:p>
        </w:tc>
        <w:tc>
          <w:tcPr>
            <w:tcW w:w="1540" w:type="dxa"/>
            <w:vAlign w:val="bottom"/>
          </w:tcPr>
          <w:p>
            <w:pPr>
              <w:spacing w:after="0"/>
              <w:rPr>
                <w:sz w:val="16"/>
                <w:szCs w:val="16"/>
                <w:color w:val="auto"/>
              </w:rPr>
            </w:pPr>
          </w:p>
        </w:tc>
        <w:tc>
          <w:tcPr>
            <w:tcW w:w="260" w:type="dxa"/>
            <w:vAlign w:val="bottom"/>
            <w:tcBorders>
              <w:bottom w:val="single" w:sz="8" w:color="0000FF"/>
            </w:tcBorders>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par values)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7"/>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761"/>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0" w:type="dxa"/>
            <w:vAlign w:val="bottom"/>
          </w:tcPr>
          <w:p>
            <w:pPr>
              <w:spacing w:after="0"/>
              <w:rPr>
                <w:sz w:val="1"/>
                <w:szCs w:val="1"/>
                <w:color w:val="auto"/>
              </w:rPr>
            </w:pPr>
          </w:p>
        </w:tc>
      </w:tr>
      <w:tr>
        <w:trPr>
          <w:trHeight w:val="204"/>
        </w:trPr>
        <w:tc>
          <w:tcPr>
            <w:tcW w:w="890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Fixed maturity securities available for sale, at fair value, as of September 30, 2025 and December 31, 2024, at an amortized cost of</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90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6"/>
                <w:szCs w:val="16"/>
                <w:color w:val="auto"/>
                <w:w w:val="99"/>
              </w:rPr>
              <w:t>$55,913 and $51,681, respectively, net of allowance for credit losses of $102 and $67, respectively, and includes pledged fixed maturity</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53,501</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48,218</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securities of $462 and $495, respectively, related to secured trust deposits</w:t>
            </w:r>
          </w:p>
        </w:tc>
        <w:tc>
          <w:tcPr>
            <w:tcW w:w="1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securities, at fair value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securities, at fair value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10"/>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Derivative investments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loans, net of allowance of $77 and $70 as of September 30, 2025 and December 31, 2024, respectively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w:t>
            </w:r>
          </w:p>
        </w:tc>
        <w:tc>
          <w:tcPr>
            <w:tcW w:w="0" w:type="dxa"/>
            <w:vAlign w:val="bottom"/>
          </w:tcPr>
          <w:p>
            <w:pPr>
              <w:spacing w:after="0"/>
              <w:rPr>
                <w:sz w:val="1"/>
                <w:szCs w:val="1"/>
                <w:color w:val="auto"/>
              </w:rPr>
            </w:pPr>
          </w:p>
        </w:tc>
      </w:tr>
      <w:tr>
        <w:trPr>
          <w:trHeight w:val="210"/>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0" w:type="dxa"/>
            <w:vAlign w:val="bottom"/>
          </w:tcPr>
          <w:p>
            <w:pPr>
              <w:spacing w:after="0"/>
              <w:rPr>
                <w:sz w:val="1"/>
                <w:szCs w:val="1"/>
                <w:color w:val="auto"/>
              </w:rPr>
            </w:pPr>
          </w:p>
        </w:tc>
      </w:tr>
      <w:tr>
        <w:trPr>
          <w:trHeight w:val="210"/>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0" w:type="dxa"/>
            <w:vAlign w:val="bottom"/>
          </w:tcPr>
          <w:p>
            <w:pPr>
              <w:spacing w:after="0"/>
              <w:rPr>
                <w:sz w:val="1"/>
                <w:szCs w:val="1"/>
                <w:color w:val="auto"/>
              </w:rPr>
            </w:pPr>
          </w:p>
        </w:tc>
      </w:tr>
      <w:tr>
        <w:trPr>
          <w:trHeight w:val="207"/>
        </w:trPr>
        <w:tc>
          <w:tcPr>
            <w:tcW w:w="8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investments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63,615</w:t>
            </w:r>
          </w:p>
        </w:tc>
        <w:tc>
          <w:tcPr>
            <w:tcW w:w="0" w:type="dxa"/>
            <w:vAlign w:val="bottom"/>
          </w:tcPr>
          <w:p>
            <w:pPr>
              <w:spacing w:after="0"/>
              <w:rPr>
                <w:sz w:val="1"/>
                <w:szCs w:val="1"/>
                <w:color w:val="auto"/>
              </w:rPr>
            </w:pPr>
          </w:p>
        </w:tc>
      </w:tr>
      <w:tr>
        <w:trPr>
          <w:trHeight w:val="159"/>
        </w:trPr>
        <w:tc>
          <w:tcPr>
            <w:tcW w:w="89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w w:val="99"/>
              </w:rPr>
              <w:t>Cash and cash equivalents, as of September 30, 2025 and December 31, 2024 includes $273 and $69, respectively, of pledged cash related</w:t>
            </w:r>
          </w:p>
        </w:tc>
        <w:tc>
          <w:tcPr>
            <w:tcW w:w="1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secured trust deposits</w:t>
            </w: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and notes receivables, net of allowance of $35 and $32 as of September 30, 2025 and December 31, 2024, respectively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recoverable, net of allowance of $18 and $20 as of September 30, 2025 and December 31, 2024, respectively</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13,380</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 asset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plants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7"/>
        </w:trPr>
        <w:tc>
          <w:tcPr>
            <w:tcW w:w="8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106,636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95,263</w:t>
            </w:r>
          </w:p>
        </w:tc>
        <w:tc>
          <w:tcPr>
            <w:tcW w:w="0" w:type="dxa"/>
            <w:vAlign w:val="bottom"/>
          </w:tcPr>
          <w:p>
            <w:pPr>
              <w:spacing w:after="0"/>
              <w:rPr>
                <w:sz w:val="1"/>
                <w:szCs w:val="1"/>
                <w:color w:val="auto"/>
              </w:rPr>
            </w:pP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900" w:type="dxa"/>
            <w:vAlign w:val="bottom"/>
            <w:shd w:val="clear" w:color="auto" w:fill="CCEEFF"/>
          </w:tcPr>
          <w:p>
            <w:pPr>
              <w:ind w:left="47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Contractholder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56,404</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benefits liability</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payable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Reserve for title claim losses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Funds withheld for reinsurance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10,758</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trust deposits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0"/>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7"/>
        </w:trPr>
        <w:tc>
          <w:tcPr>
            <w:tcW w:w="8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86,731</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FNF common stock, $0.0001 par value; authorized 600 shares as of September 30, 2025 and December 31, 2024; outstanding of 271</w:t>
            </w: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and 275 as of September 30, 2025 and December 31, 2024, respectively</w:t>
            </w: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 authorized 50 shares; issued and outstanding, none</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0" w:type="dxa"/>
            <w:vAlign w:val="bottom"/>
          </w:tcPr>
          <w:p>
            <w:pPr>
              <w:spacing w:after="0"/>
              <w:rPr>
                <w:sz w:val="1"/>
                <w:szCs w:val="1"/>
                <w:color w:val="auto"/>
              </w:rPr>
            </w:pPr>
          </w:p>
        </w:tc>
      </w:tr>
      <w:tr>
        <w:trPr>
          <w:trHeight w:val="210"/>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5,982</w:t>
            </w:r>
          </w:p>
        </w:tc>
        <w:tc>
          <w:tcPr>
            <w:tcW w:w="0" w:type="dxa"/>
            <w:vAlign w:val="bottom"/>
          </w:tcPr>
          <w:p>
            <w:pPr>
              <w:spacing w:after="0"/>
              <w:rPr>
                <w:sz w:val="1"/>
                <w:szCs w:val="1"/>
                <w:color w:val="auto"/>
              </w:rPr>
            </w:pPr>
          </w:p>
        </w:tc>
      </w:tr>
      <w:tr>
        <w:trPr>
          <w:trHeight w:val="21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0" w:type="dxa"/>
            <w:vAlign w:val="bottom"/>
          </w:tcPr>
          <w:p>
            <w:pPr>
              <w:spacing w:after="0"/>
              <w:rPr>
                <w:sz w:val="1"/>
                <w:szCs w:val="1"/>
                <w:color w:val="auto"/>
              </w:rPr>
            </w:pPr>
          </w:p>
        </w:tc>
      </w:tr>
      <w:tr>
        <w:trPr>
          <w:trHeight w:val="210"/>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Treasury stock, 60 and 56 shares as of September 30, 2025 and December 31, 2024, respectively, at cost</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0" w:type="dxa"/>
            <w:vAlign w:val="bottom"/>
          </w:tcPr>
          <w:p>
            <w:pPr>
              <w:spacing w:after="0"/>
              <w:rPr>
                <w:sz w:val="1"/>
                <w:szCs w:val="1"/>
                <w:color w:val="auto"/>
              </w:rPr>
            </w:pPr>
          </w:p>
        </w:tc>
      </w:tr>
      <w:tr>
        <w:trPr>
          <w:trHeight w:val="207"/>
        </w:trPr>
        <w:tc>
          <w:tcPr>
            <w:tcW w:w="8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Fidelity National Financial, Inc. shareholders’ equity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7,754</w:t>
            </w:r>
          </w:p>
        </w:tc>
        <w:tc>
          <w:tcPr>
            <w:tcW w:w="0" w:type="dxa"/>
            <w:vAlign w:val="bottom"/>
          </w:tcPr>
          <w:p>
            <w:pPr>
              <w:spacing w:after="0"/>
              <w:rPr>
                <w:sz w:val="1"/>
                <w:szCs w:val="1"/>
                <w:color w:val="auto"/>
              </w:rPr>
            </w:pPr>
          </w:p>
        </w:tc>
      </w:tr>
      <w:tr>
        <w:trPr>
          <w:trHeight w:val="210"/>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0" w:type="dxa"/>
            <w:vAlign w:val="bottom"/>
          </w:tcPr>
          <w:p>
            <w:pPr>
              <w:spacing w:after="0"/>
              <w:rPr>
                <w:sz w:val="1"/>
                <w:szCs w:val="1"/>
                <w:color w:val="auto"/>
              </w:rPr>
            </w:pPr>
          </w:p>
        </w:tc>
      </w:tr>
      <w:tr>
        <w:trPr>
          <w:trHeight w:val="205"/>
        </w:trPr>
        <w:tc>
          <w:tcPr>
            <w:tcW w:w="8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0" w:type="dxa"/>
            <w:vAlign w:val="bottom"/>
          </w:tcPr>
          <w:p>
            <w:pPr>
              <w:spacing w:after="0"/>
              <w:rPr>
                <w:sz w:val="1"/>
                <w:szCs w:val="1"/>
                <w:color w:val="auto"/>
              </w:rPr>
            </w:pPr>
          </w:p>
        </w:tc>
      </w:tr>
      <w:tr>
        <w:trPr>
          <w:trHeight w:val="207"/>
        </w:trPr>
        <w:tc>
          <w:tcPr>
            <w:tcW w:w="8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106,636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95,263</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FIDELITY NATIONAL FINANCIAL, INC. AND SUBSIDIARIES</w:t>
      </w:r>
    </w:p>
    <w:p>
      <w:pPr>
        <w:spacing w:after="0" w:line="35" w:lineRule="exact"/>
        <w:rPr>
          <w:sz w:val="20"/>
          <w:szCs w:val="20"/>
          <w:color w:val="auto"/>
        </w:rPr>
      </w:pPr>
    </w:p>
    <w:p>
      <w:pPr>
        <w:jc w:val="right"/>
        <w:ind w:right="3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jc w:val="center"/>
        <w:ind w:right="-19"/>
        <w:spacing w:after="0"/>
        <w:rPr>
          <w:sz w:val="20"/>
          <w:szCs w:val="20"/>
          <w:color w:val="auto"/>
        </w:rPr>
      </w:pPr>
      <w:r>
        <w:rPr>
          <w:rFonts w:ascii="Times New Roman" w:cs="Times New Roman" w:eastAsia="Times New Roman" w:hAnsi="Times New Roman"/>
          <w:sz w:val="14"/>
          <w:szCs w:val="14"/>
          <w:color w:val="auto"/>
        </w:rPr>
        <w:t>(In millions, except per share data)</w:t>
      </w:r>
    </w:p>
    <w:p>
      <w:pPr>
        <w:sectPr>
          <w:pgSz w:w="11900" w:h="16838" w:orient="portrait"/>
          <w:cols w:equalWidth="0" w:num="1">
            <w:col w:w="11240"/>
          </w:cols>
          <w:pgMar w:left="320" w:top="121" w:right="339" w:bottom="1440" w:gutter="0" w:footer="0" w:header="0"/>
        </w:sectPr>
      </w:pPr>
    </w:p>
    <w:p>
      <w:pPr>
        <w:spacing w:after="0" w:line="261"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19685</wp:posOffset>
            </wp:positionV>
            <wp:extent cx="102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13" w:lineRule="exact"/>
        <w:rPr>
          <w:sz w:val="20"/>
          <w:szCs w:val="20"/>
          <w:color w:val="auto"/>
        </w:rPr>
      </w:pPr>
    </w:p>
    <w:p>
      <w:pPr>
        <w:ind w:left="8200"/>
        <w:spacing w:after="0"/>
        <w:tabs>
          <w:tab w:leader="none" w:pos="90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31115</wp:posOffset>
            </wp:positionV>
            <wp:extent cx="102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31"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19685</wp:posOffset>
            </wp:positionV>
            <wp:extent cx="10096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13"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31115</wp:posOffset>
            </wp:positionV>
            <wp:extent cx="10096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9" w:lineRule="exact"/>
        <w:rPr>
          <w:sz w:val="20"/>
          <w:szCs w:val="20"/>
          <w:color w:val="auto"/>
        </w:rPr>
      </w:pPr>
    </w:p>
    <w:p>
      <w:pPr>
        <w:sectPr>
          <w:pgSz w:w="11900" w:h="16838" w:orient="portrait"/>
          <w:cols w:equalWidth="0" w:num="2">
            <w:col w:w="9380" w:space="480"/>
            <w:col w:w="13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0"/>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20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w:t>
            </w:r>
          </w:p>
        </w:tc>
      </w:tr>
      <w:tr>
        <w:trPr>
          <w:trHeight w:val="210"/>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w:t>
            </w: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w:t>
            </w:r>
          </w:p>
        </w:tc>
      </w:tr>
      <w:tr>
        <w:trPr>
          <w:trHeight w:val="210"/>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Recognized gains and losses, net</w:t>
            </w:r>
          </w:p>
        </w:tc>
        <w:tc>
          <w:tcPr>
            <w:tcW w:w="1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07"/>
        </w:trPr>
        <w:tc>
          <w:tcPr>
            <w:tcW w:w="6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revenues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10,060</w:t>
            </w: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w:t>
            </w:r>
          </w:p>
        </w:tc>
      </w:tr>
      <w:tr>
        <w:trPr>
          <w:trHeight w:val="210"/>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Agent commissions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r>
      <w:tr>
        <w:trPr>
          <w:trHeight w:val="210"/>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Benefits and other changes in policy reserves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w:t>
            </w: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Market risk benefit losses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0"/>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r>
      <w:tr>
        <w:trPr>
          <w:trHeight w:val="21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title claim losses</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0"/>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07"/>
        </w:trPr>
        <w:tc>
          <w:tcPr>
            <w:tcW w:w="6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expenses</w:t>
            </w:r>
          </w:p>
        </w:tc>
        <w:tc>
          <w:tcPr>
            <w:tcW w:w="1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3,290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8,958</w:t>
            </w:r>
          </w:p>
        </w:tc>
      </w:tr>
      <w:tr>
        <w:trPr>
          <w:trHeight w:val="20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income taxes and equity in earnings of unconsolidated affiliates</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r>
      <w:tr>
        <w:trPr>
          <w:trHeight w:val="21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0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equity in earnings of unconsolidated affiliates</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r>
      <w:tr>
        <w:trPr>
          <w:trHeight w:val="21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r>
      <w:tr>
        <w:trPr>
          <w:trHeight w:val="21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earnings attributable to non-controlling interests</w:t>
            </w:r>
          </w:p>
        </w:tc>
        <w:tc>
          <w:tcPr>
            <w:tcW w:w="1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179"/>
        </w:trPr>
        <w:tc>
          <w:tcPr>
            <w:tcW w:w="618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Net earnings attributable to Fidelity National Financial, Inc. common shareholders</w:t>
            </w:r>
          </w:p>
        </w:tc>
        <w:tc>
          <w:tcPr>
            <w:tcW w:w="1780" w:type="dxa"/>
            <w:vAlign w:val="bottom"/>
          </w:tcPr>
          <w:p>
            <w:pPr>
              <w:spacing w:after="0"/>
              <w:rPr>
                <w:sz w:val="15"/>
                <w:szCs w:val="15"/>
                <w:color w:val="auto"/>
              </w:rPr>
            </w:pPr>
          </w:p>
        </w:tc>
        <w:tc>
          <w:tcPr>
            <w:tcW w:w="220" w:type="dxa"/>
            <w:vAlign w:val="bottom"/>
            <w:tcBorders>
              <w:bottom w:val="single" w:sz="8" w:color="auto"/>
            </w:tcBorders>
          </w:tcPr>
          <w:p>
            <w:pPr>
              <w:jc w:val="right"/>
              <w:ind w:right="4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ind w:right="1"/>
              <w:spacing w:after="0" w:line="179" w:lineRule="exact"/>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ind w:right="1"/>
              <w:spacing w:after="0" w:line="179" w:lineRule="exact"/>
              <w:rPr>
                <w:sz w:val="20"/>
                <w:szCs w:val="20"/>
                <w:color w:val="auto"/>
              </w:rPr>
            </w:pPr>
            <w:r>
              <w:rPr>
                <w:rFonts w:ascii="Times New Roman" w:cs="Times New Roman" w:eastAsia="Times New Roman" w:hAnsi="Times New Roman"/>
                <w:sz w:val="16"/>
                <w:szCs w:val="16"/>
                <w:color w:val="auto"/>
              </w:rPr>
              <w:t>266</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ind w:right="1"/>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719</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820</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79"/>
        </w:trPr>
        <w:tc>
          <w:tcPr>
            <w:tcW w:w="61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Earnings per share</w:t>
            </w:r>
          </w:p>
        </w:tc>
        <w:tc>
          <w:tcPr>
            <w:tcW w:w="1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5"/>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per share attributable to common shareholders, basic</w:t>
            </w:r>
          </w:p>
        </w:tc>
        <w:tc>
          <w:tcPr>
            <w:tcW w:w="20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6"/>
                <w:szCs w:val="16"/>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0.98</w:t>
            </w:r>
          </w:p>
        </w:tc>
        <w:tc>
          <w:tcPr>
            <w:tcW w:w="80" w:type="dxa"/>
            <w:vAlign w:val="bottom"/>
          </w:tcPr>
          <w:p>
            <w:pPr>
              <w:spacing w:after="0"/>
              <w:rPr>
                <w:sz w:val="16"/>
                <w:szCs w:val="16"/>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tcPr>
          <w:p>
            <w:pPr>
              <w:spacing w:after="0"/>
              <w:rPr>
                <w:sz w:val="16"/>
                <w:szCs w:val="16"/>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18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Net earnings per share attributable to common shareholders, diluted</w:t>
            </w:r>
          </w:p>
        </w:tc>
        <w:tc>
          <w:tcPr>
            <w:tcW w:w="1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rPr>
              <w:t>0.97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2.64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3.00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1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8"/>
        </w:trPr>
        <w:tc>
          <w:tcPr>
            <w:tcW w:w="6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9"/>
        </w:trPr>
        <w:tc>
          <w:tcPr>
            <w:tcW w:w="6180" w:type="dxa"/>
            <w:vAlign w:val="bottom"/>
          </w:tcPr>
          <w:p>
            <w:pPr>
              <w:ind w:left="3720"/>
              <w:spacing w:after="0"/>
              <w:rPr>
                <w:sz w:val="20"/>
                <w:szCs w:val="20"/>
                <w:color w:val="auto"/>
              </w:rPr>
            </w:pPr>
            <w:r>
              <w:rPr>
                <w:rFonts w:ascii="Times New Roman" w:cs="Times New Roman" w:eastAsia="Times New Roman" w:hAnsi="Times New Roman"/>
                <w:sz w:val="16"/>
                <w:szCs w:val="16"/>
                <w:color w:val="auto"/>
                <w:w w:val="96"/>
              </w:rPr>
              <w:t>See Notes to Condensed Consolidated</w:t>
            </w:r>
            <w:r>
              <w:rPr>
                <w:rFonts w:ascii="Times New Roman" w:cs="Times New Roman" w:eastAsia="Times New Roman" w:hAnsi="Times New Roman"/>
                <w:sz w:val="17"/>
                <w:szCs w:val="17"/>
                <w:color w:val="auto"/>
                <w:w w:val="96"/>
              </w:rPr>
              <w:t>4</w:t>
            </w:r>
          </w:p>
        </w:tc>
        <w:tc>
          <w:tcPr>
            <w:tcW w:w="2000" w:type="dxa"/>
            <w:vAlign w:val="bottom"/>
            <w:gridSpan w:val="2"/>
          </w:tcPr>
          <w:p>
            <w:pPr>
              <w:jc w:val="right"/>
              <w:ind w:right="581"/>
              <w:spacing w:after="0"/>
              <w:rPr>
                <w:sz w:val="20"/>
                <w:szCs w:val="20"/>
                <w:color w:val="auto"/>
              </w:rPr>
            </w:pPr>
            <w:r>
              <w:rPr>
                <w:rFonts w:ascii="Times New Roman" w:cs="Times New Roman" w:eastAsia="Times New Roman" w:hAnsi="Times New Roman"/>
                <w:sz w:val="16"/>
                <w:szCs w:val="16"/>
                <w:color w:val="auto"/>
                <w:w w:val="98"/>
              </w:rPr>
              <w:t>Financial Statements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1"/>
        </w:trPr>
        <w:tc>
          <w:tcPr>
            <w:tcW w:w="61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26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FIDELITY NATIONAL FINANCIAL, INC. AND SUBSIDIARIES CONDENSED CONSOLIDATED STATEMENTS OF COMPREHENSIVE EARNINGS </w:t>
      </w:r>
      <w:r>
        <w:rPr>
          <w:rFonts w:ascii="Times New Roman" w:cs="Times New Roman" w:eastAsia="Times New Roman" w:hAnsi="Times New Roman"/>
          <w:sz w:val="18"/>
          <w:szCs w:val="18"/>
          <w:color w:val="auto"/>
        </w:rPr>
        <w:t>(In millions)</w:t>
      </w:r>
    </w:p>
    <w:p>
      <w:pPr>
        <w:sectPr>
          <w:pgSz w:w="11900" w:h="16838" w:orient="portrait"/>
          <w:cols w:equalWidth="0" w:num="1">
            <w:col w:w="11240"/>
          </w:cols>
          <w:pgMar w:left="320" w:top="121" w:right="339" w:bottom="1440" w:gutter="0" w:footer="0" w:header="0"/>
        </w:sectPr>
      </w:pPr>
    </w:p>
    <w:p>
      <w:pPr>
        <w:spacing w:after="0" w:line="236"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11430</wp:posOffset>
            </wp:positionV>
            <wp:extent cx="1110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ind w:left="7900"/>
        <w:spacing w:after="0"/>
        <w:tabs>
          <w:tab w:leader="none" w:pos="88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31115</wp:posOffset>
            </wp:positionV>
            <wp:extent cx="11106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3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11430</wp:posOffset>
            </wp:positionV>
            <wp:extent cx="1110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tabs>
          <w:tab w:leader="none" w:pos="9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31115</wp:posOffset>
            </wp:positionV>
            <wp:extent cx="11106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9" w:lineRule="exact"/>
        <w:rPr>
          <w:sz w:val="20"/>
          <w:szCs w:val="20"/>
          <w:color w:val="auto"/>
        </w:rPr>
      </w:pPr>
    </w:p>
    <w:p>
      <w:pPr>
        <w:sectPr>
          <w:pgSz w:w="11900" w:h="16838" w:orient="portrait"/>
          <w:cols w:equalWidth="0" w:num="2">
            <w:col w:w="9140" w:space="620"/>
            <w:col w:w="14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5"/>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72"/>
        </w:trPr>
        <w:tc>
          <w:tcPr>
            <w:tcW w:w="764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Unrealized gain on investments and other financial instruments (excluding investments in</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38"/>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unconsolidated affiliates) (1)</w:t>
            </w: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25"/>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on investments in unconsolidated affiliates (2)</w:t>
            </w: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5"/>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 gain on foreign currency translation (3)</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adjustments for change in unrealized gains and losses included in net earnings (4)</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current discount rate - future policy benefits (5)</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5"/>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instrument-specific credit risk - market risk benefits (6)</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loss attributable to non-controlling interest (7)</w:t>
            </w:r>
          </w:p>
        </w:tc>
        <w:tc>
          <w:tcPr>
            <w:tcW w:w="2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8"/>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1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r>
      <w:tr>
        <w:trPr>
          <w:trHeight w:val="225"/>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earnings attributable to non-controlling interests</w:t>
            </w: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Fidelity National Financial, Inc. common shareholders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71" w:lineRule="exact"/>
        <w:rPr>
          <w:sz w:val="20"/>
          <w:szCs w:val="20"/>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$109 million and $262 million for the three months ended September 30, 2025 and 2024, respectively, and $205 million and $220 million for the nine months ended September 30, 2025 and 2024, respectively.</w:t>
      </w:r>
    </w:p>
    <w:p>
      <w:pPr>
        <w:spacing w:after="0" w:line="110" w:lineRule="exact"/>
        <w:rPr>
          <w:rFonts w:ascii="Times New Roman" w:cs="Times New Roman" w:eastAsia="Times New Roman" w:hAnsi="Times New Roman"/>
          <w:sz w:val="18"/>
          <w:szCs w:val="18"/>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$1 million for the three months ended September 30, 2024, and $2 million and $6 million for the nine months ended September 30, 2025 and 2024, respectively.</w:t>
      </w:r>
    </w:p>
    <w:p>
      <w:pPr>
        <w:spacing w:after="0" w:line="110" w:lineRule="exact"/>
        <w:rPr>
          <w:rFonts w:ascii="Times New Roman" w:cs="Times New Roman" w:eastAsia="Times New Roman" w:hAnsi="Times New Roman"/>
          <w:sz w:val="18"/>
          <w:szCs w:val="18"/>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$(2) million and $2 million for the three months ended September 30, 2025 and 2024, respectively, and $5 million for the nine months ended September 30, 2025.</w:t>
      </w:r>
    </w:p>
    <w:p>
      <w:pPr>
        <w:spacing w:after="0" w:line="110" w:lineRule="exact"/>
        <w:rPr>
          <w:rFonts w:ascii="Times New Roman" w:cs="Times New Roman" w:eastAsia="Times New Roman" w:hAnsi="Times New Roman"/>
          <w:sz w:val="18"/>
          <w:szCs w:val="18"/>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$3 million for the three months ended September 30, 2025, and $(13) million and $(1) million for the nine months ended September 30, 2025 and 2024, respectively.</w:t>
      </w:r>
    </w:p>
    <w:p>
      <w:pPr>
        <w:spacing w:after="0" w:line="110" w:lineRule="exact"/>
        <w:rPr>
          <w:rFonts w:ascii="Times New Roman" w:cs="Times New Roman" w:eastAsia="Times New Roman" w:hAnsi="Times New Roman"/>
          <w:sz w:val="18"/>
          <w:szCs w:val="18"/>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$34 million and $78 million for the three months ended September 30, 2025 and 2024, respectively, and $69 million and $29 million for the nine months ended September 30, 2025 and 2024, respectively.</w:t>
      </w:r>
    </w:p>
    <w:p>
      <w:pPr>
        <w:spacing w:after="0" w:line="110" w:lineRule="exact"/>
        <w:rPr>
          <w:rFonts w:ascii="Times New Roman" w:cs="Times New Roman" w:eastAsia="Times New Roman" w:hAnsi="Times New Roman"/>
          <w:sz w:val="18"/>
          <w:szCs w:val="18"/>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$6 million for the three months ended September 30, 2025 and 2024, and $8 million and $1 million for the nine months ended September 30, 2025 and 2024, respectively.</w:t>
      </w:r>
    </w:p>
    <w:p>
      <w:pPr>
        <w:spacing w:after="0" w:line="110" w:lineRule="exact"/>
        <w:rPr>
          <w:rFonts w:ascii="Times New Roman" w:cs="Times New Roman" w:eastAsia="Times New Roman" w:hAnsi="Times New Roman"/>
          <w:sz w:val="18"/>
          <w:szCs w:val="18"/>
          <w:color w:val="auto"/>
        </w:rPr>
      </w:pPr>
    </w:p>
    <w:p>
      <w:pPr>
        <w:ind w:left="960" w:hanging="954"/>
        <w:spacing w:after="0" w:line="274"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$13 million and $28 million for the three months ended September 30, 2025 and 2024, respectively, and $24 million and $30 million for the nine months ended September 30, 2025 and 2024, respectively.</w:t>
      </w:r>
    </w:p>
    <w:p>
      <w:pPr>
        <w:spacing w:after="0" w:line="200" w:lineRule="exact"/>
        <w:rPr>
          <w:sz w:val="20"/>
          <w:szCs w:val="20"/>
          <w:color w:val="auto"/>
        </w:rPr>
      </w:pPr>
    </w:p>
    <w:p>
      <w:pPr>
        <w:spacing w:after="0" w:line="30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2"/>
                <w:szCs w:val="12"/>
                <w:b w:val="1"/>
                <w:bCs w:val="1"/>
                <w:color w:val="auto"/>
              </w:rPr>
              <w:t>Fidelity National Financial, Inc. Common Shareholders</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FNF</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5"/>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3"/>
        </w:trPr>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gridSpan w:val="3"/>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92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controlling</w:t>
            </w:r>
          </w:p>
        </w:tc>
        <w:tc>
          <w:tcPr>
            <w:tcW w:w="100" w:type="dxa"/>
            <w:vAlign w:val="bottom"/>
          </w:tcPr>
          <w:p>
            <w:pPr>
              <w:spacing w:after="0"/>
              <w:rPr>
                <w:sz w:val="15"/>
                <w:szCs w:val="15"/>
                <w:color w:val="auto"/>
              </w:rPr>
            </w:pPr>
          </w:p>
        </w:tc>
        <w:tc>
          <w:tcPr>
            <w:tcW w:w="56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6"/>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4"/>
                <w:szCs w:val="14"/>
                <w:color w:val="auto"/>
              </w:rPr>
            </w:pPr>
          </w:p>
        </w:tc>
        <w:tc>
          <w:tcPr>
            <w:tcW w:w="560" w:type="dxa"/>
            <w:vAlign w:val="bottom"/>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June 30, 2024</w:t>
            </w:r>
          </w:p>
        </w:tc>
        <w:tc>
          <w:tcPr>
            <w:tcW w:w="6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329</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5,942</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5,536</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(2,087)</w:t>
            </w:r>
          </w:p>
        </w:tc>
        <w:tc>
          <w:tcPr>
            <w:tcW w:w="12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721</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7,981</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investments and other financial instruments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1,082</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1,082</w:t>
            </w:r>
          </w:p>
        </w:tc>
      </w:tr>
      <w:tr>
        <w:trPr>
          <w:trHeight w:val="128"/>
        </w:trPr>
        <w:tc>
          <w:tcPr>
            <w:tcW w:w="33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Other comprehensive earnings - unrealized gain on foreign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currency translation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28"/>
        </w:trPr>
        <w:tc>
          <w:tcPr>
            <w:tcW w:w="33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 and</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losses included in net earnings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25"/>
        </w:trPr>
        <w:tc>
          <w:tcPr>
            <w:tcW w:w="3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Dilution from share issuance by consolidated sub</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Dividends declared, $0.48 per common share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r>
      <w:tr>
        <w:trPr>
          <w:trHeight w:val="125"/>
        </w:trPr>
        <w:tc>
          <w:tcPr>
            <w:tcW w:w="3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loss associated with noncontrolling</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266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September 30, 2024</w:t>
            </w:r>
          </w:p>
        </w:tc>
        <w:tc>
          <w:tcPr>
            <w:tcW w:w="6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330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5,965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5,671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(1,423)</w:t>
            </w:r>
          </w:p>
        </w:tc>
        <w:tc>
          <w:tcPr>
            <w:tcW w:w="12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820</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8,902</w:t>
            </w: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73"/>
        </w:trPr>
        <w:tc>
          <w:tcPr>
            <w:tcW w:w="3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June 30, 2025</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tcPr>
          <w:p>
            <w:pPr>
              <w:spacing w:after="0"/>
              <w:rPr>
                <w:sz w:val="14"/>
                <w:szCs w:val="14"/>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6,071</w:t>
            </w:r>
          </w:p>
        </w:tc>
        <w:tc>
          <w:tcPr>
            <w:tcW w:w="100" w:type="dxa"/>
            <w:vAlign w:val="bottom"/>
          </w:tcPr>
          <w:p>
            <w:pPr>
              <w:spacing w:after="0"/>
              <w:rPr>
                <w:sz w:val="14"/>
                <w:szCs w:val="1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(1,849)</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8,819</w:t>
            </w:r>
          </w:p>
        </w:tc>
      </w:tr>
      <w:tr>
        <w:trPr>
          <w:trHeight w:val="125"/>
        </w:trPr>
        <w:tc>
          <w:tcPr>
            <w:tcW w:w="3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investments and other financial instruments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Other comprehensive loss - unrealized loss on foreign currency</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translation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28"/>
        </w:trPr>
        <w:tc>
          <w:tcPr>
            <w:tcW w:w="33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 and</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losses included in net earnings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8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Other comprehensive loss associated with noncontrolling</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Repurchases of treasury stock</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Dilution from share issuance by consolidated sub</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Dividends declared, $0.50 per common share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358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w:t>
            </w:r>
          </w:p>
        </w:tc>
      </w:tr>
      <w:tr>
        <w:trPr>
          <w:trHeight w:val="197"/>
        </w:trPr>
        <w:tc>
          <w:tcPr>
            <w:tcW w:w="3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September 30, 2025</w:t>
            </w:r>
          </w:p>
        </w:tc>
        <w:tc>
          <w:tcPr>
            <w:tcW w:w="6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6,293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9,334</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2"/>
                <w:szCs w:val="12"/>
                <w:b w:val="1"/>
                <w:bCs w:val="1"/>
                <w:color w:val="auto"/>
              </w:rPr>
              <w:t>Fidelity National Financial, Inc. Common Shareholders</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FNF</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5"/>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3"/>
        </w:trPr>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gridSpan w:val="3"/>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92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controlling</w:t>
            </w:r>
          </w:p>
        </w:tc>
        <w:tc>
          <w:tcPr>
            <w:tcW w:w="100" w:type="dxa"/>
            <w:vAlign w:val="bottom"/>
          </w:tcPr>
          <w:p>
            <w:pPr>
              <w:spacing w:after="0"/>
              <w:rPr>
                <w:sz w:val="15"/>
                <w:szCs w:val="15"/>
                <w:color w:val="auto"/>
              </w:rPr>
            </w:pPr>
          </w:p>
        </w:tc>
        <w:tc>
          <w:tcPr>
            <w:tcW w:w="56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6"/>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4"/>
                <w:szCs w:val="14"/>
                <w:color w:val="auto"/>
              </w:rPr>
            </w:pPr>
          </w:p>
        </w:tc>
        <w:tc>
          <w:tcPr>
            <w:tcW w:w="560" w:type="dxa"/>
            <w:vAlign w:val="bottom"/>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Balance, January 1, 2024</w:t>
            </w:r>
          </w:p>
        </w:tc>
        <w:tc>
          <w:tcPr>
            <w:tcW w:w="6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329</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5,913</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5,244</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(2,119)</w:t>
            </w:r>
          </w:p>
        </w:tc>
        <w:tc>
          <w:tcPr>
            <w:tcW w:w="12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(2,130)</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7,460</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Purchase of incremental share in consolidated subs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25"/>
        </w:trPr>
        <w:tc>
          <w:tcPr>
            <w:tcW w:w="3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investments and other financial instruments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28"/>
        </w:trPr>
        <w:tc>
          <w:tcPr>
            <w:tcW w:w="33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Other comprehensive loss - unrealized loss on foreign currency</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translation</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 and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losses included in 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28"/>
        </w:trPr>
        <w:tc>
          <w:tcPr>
            <w:tcW w:w="33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25"/>
        </w:trPr>
        <w:tc>
          <w:tcPr>
            <w:tcW w:w="3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loss associated with noncontrolling</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Dilution from share issuance by consolidated subsidiary</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Shares withheld for taxes in treasury</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 $1.44 per common 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Noncontrolling interest associated with current period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acquisitions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r>
      <w:tr>
        <w:trPr>
          <w:trHeight w:val="18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820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883</w:t>
            </w:r>
          </w:p>
        </w:tc>
      </w:tr>
      <w:tr>
        <w:trPr>
          <w:trHeight w:val="197"/>
        </w:trPr>
        <w:tc>
          <w:tcPr>
            <w:tcW w:w="3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September 30, 2024</w:t>
            </w:r>
          </w:p>
        </w:tc>
        <w:tc>
          <w:tcPr>
            <w:tcW w:w="6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5,671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8,902</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3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172"/>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January 1, 2025</w:t>
            </w:r>
          </w:p>
        </w:tc>
        <w:tc>
          <w:tcPr>
            <w:tcW w:w="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5,982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(2,052)</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8,532</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Treasury stock repurchased</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Purchase of incremental share in consolidated subs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25"/>
        </w:trPr>
        <w:tc>
          <w:tcPr>
            <w:tcW w:w="3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investments and other financial instruments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847</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847</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Other comprehensive earnings — unrealized gain 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28"/>
        </w:trPr>
        <w:tc>
          <w:tcPr>
            <w:tcW w:w="33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Other comprehensive earnings — unrealized gain on foreign</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19"/>
        </w:trPr>
        <w:tc>
          <w:tcPr>
            <w:tcW w:w="33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rPr>
              <w:t>Reclassification adjustments for change in unrealized gains and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losses included in 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28"/>
        </w:trPr>
        <w:tc>
          <w:tcPr>
            <w:tcW w:w="33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Change in current discount rate - liability for future policy</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Change in instrument-specific credit risk - market risk benefits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25"/>
        </w:trPr>
        <w:tc>
          <w:tcPr>
            <w:tcW w:w="3300" w:type="dxa"/>
            <w:vAlign w:val="bottom"/>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comprehensive loss associated with noncontrolling</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8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Dilution from share issuance by consolidated subsidiary</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F&amp;G common stock offering</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 $1.50 per common 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Subsidiary equity repurchases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7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dividends declared to non-controlling interests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6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719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w:t>
            </w:r>
          </w:p>
        </w:tc>
      </w:tr>
      <w:tr>
        <w:trPr>
          <w:trHeight w:val="197"/>
        </w:trPr>
        <w:tc>
          <w:tcPr>
            <w:tcW w:w="3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September 30, 2025</w:t>
            </w:r>
          </w:p>
        </w:tc>
        <w:tc>
          <w:tcPr>
            <w:tcW w:w="6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6,293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9,334</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20" w:type="dxa"/>
            <w:vAlign w:val="bottom"/>
          </w:tcPr>
          <w:p>
            <w:pPr>
              <w:spacing w:after="0"/>
              <w:rPr>
                <w:sz w:val="16"/>
                <w:szCs w:val="16"/>
                <w:color w:val="auto"/>
              </w:rPr>
            </w:pPr>
          </w:p>
        </w:tc>
        <w:tc>
          <w:tcPr>
            <w:tcW w:w="21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9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6"/>
        </w:trPr>
        <w:tc>
          <w:tcPr>
            <w:tcW w:w="9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9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6"/>
                <w:szCs w:val="16"/>
                <w:color w:val="auto"/>
              </w:rPr>
            </w:pPr>
          </w:p>
        </w:tc>
      </w:tr>
      <w:tr>
        <w:trPr>
          <w:trHeight w:val="187"/>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9"/>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earnings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Loss (gain) on sales of investments and other assets and asset impairments, net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credited/index credits to contractholder account balances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Change in market risk benefits, net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policy acquisition costs and deferred sales inducements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Charges assessed to contractholders for mortality and admin</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Non-cash lease costs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Operating lease payments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Distributions from unconsolidated affiliates, return on investment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Stock-based compensation cost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1"/>
        </w:trPr>
        <w:tc>
          <w:tcPr>
            <w:tcW w:w="9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NAV of limited partnerships, net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206"/>
        </w:trPr>
        <w:tc>
          <w:tcPr>
            <w:tcW w:w="9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Change in valuation of derivatives, equity securities, preferred securities, and other assets, net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 net of effects from acquisitions: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6"/>
        </w:trPr>
        <w:tc>
          <w:tcPr>
            <w:tcW w:w="9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Change in derivative collateral liabilities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r>
      <w:tr>
        <w:trPr>
          <w:trHeight w:val="191"/>
        </w:trPr>
        <w:tc>
          <w:tcPr>
            <w:tcW w:w="9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Change in reinsurance recoverable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6"/>
        </w:trPr>
        <w:tc>
          <w:tcPr>
            <w:tcW w:w="9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Change in future policy benefits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r>
      <w:tr>
        <w:trPr>
          <w:trHeight w:val="191"/>
        </w:trPr>
        <w:tc>
          <w:tcPr>
            <w:tcW w:w="9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Change in funds withheld from reinsurers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w:t>
            </w:r>
          </w:p>
        </w:tc>
      </w:tr>
      <w:tr>
        <w:trPr>
          <w:trHeight w:val="206"/>
        </w:trPr>
        <w:tc>
          <w:tcPr>
            <w:tcW w:w="9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increase in trade receivables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1"/>
        </w:trPr>
        <w:tc>
          <w:tcPr>
            <w:tcW w:w="9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decrease in reserve for title claim losses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06"/>
        </w:trPr>
        <w:tc>
          <w:tcPr>
            <w:tcW w:w="9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change in income taxes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2"/>
        </w:trPr>
        <w:tc>
          <w:tcPr>
            <w:tcW w:w="91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Net change in other assets and other liabilities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19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5,320</w:t>
            </w:r>
          </w:p>
        </w:tc>
      </w:tr>
      <w:tr>
        <w:trPr>
          <w:trHeight w:val="192"/>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5"/>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sales, calls and maturities of investment securities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7,995</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Additions to property and equipment, capitalized software and title plants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(12,644)</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proceeds from sales and maturities of short-term investment securities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Acquisitions and dispositions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investments in unconsolidated affiliates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Distributions from unconsolidated affiliates, return of investment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192"/>
        </w:trPr>
        <w:tc>
          <w:tcPr>
            <w:tcW w:w="9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Net other investing activities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(5,016)</w:t>
            </w:r>
          </w:p>
        </w:tc>
      </w:tr>
      <w:tr>
        <w:trPr>
          <w:trHeight w:val="192"/>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5"/>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Debt offering</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service payments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 paid</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Subsidiary dividends paid to non-controlling interest shareholders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investment in consolidated subsidiary</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change in secured trust deposits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of contingent consideration for prior period acquisitions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Contractholder account deposits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8,574</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Contractholder account withdrawals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(6,568)</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9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F&amp;G common stock offering</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1,899</w:t>
            </w:r>
          </w:p>
        </w:tc>
      </w:tr>
      <w:tr>
        <w:trPr>
          <w:trHeight w:val="19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w:t>
            </w:r>
          </w:p>
        </w:tc>
      </w:tr>
      <w:tr>
        <w:trPr>
          <w:trHeight w:val="192"/>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2,767</w:t>
            </w:r>
          </w:p>
        </w:tc>
      </w:tr>
      <w:tr>
        <w:trPr>
          <w:trHeight w:val="224"/>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4,970</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8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Basis of Financial Statements</w:t>
      </w:r>
    </w:p>
    <w:p>
      <w:pPr>
        <w:spacing w:after="0" w:line="7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financial information in this report presented for interim periods is unaudited and includes the accounts of Fidelity National Financial, Inc. and its subsidiaries (collectively, “we,” “us,” “our,” the "Company"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are a leading provider of (i) title insurance, escrow and other title-related services, including loan sub-servicing, valuations, default services, and home warranty, (ii) transaction services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majority-owned subsidiary, F&amp;G Annuities &amp; Life ("F&amp;G").</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For information about our reportable segments refer to Note H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F&amp;G Special Stock Distribution</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November 6, 2025, our Board of Directors approved a special stock distribution (the "Distribution") to FNF's shareholders of approximately 16 million shares of common stock of F&amp;G owned by FNF, representing approximately 12% of the outstanding shares of F&amp;G's common stock.</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The Distribution by FNF of the special stock distribution will be made on December 31, 2025 (the "Distribution Date") to all of FNF's shareholders of record as of 4:30 p.m. ET on December 17, 2025 (the "Record Date"). The Distribution will consist of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common stock distribution to each of FNF's shareholders on the Record Date. As of November 5, 2025, FNF had approximately 271 million shares of its common stock, par value $0.001 per share, outstanding. Based on such number, FNF estimates that FNF's shareholders will receive approximately six shares of F&amp;G's common stock for every 100 shares of FNF's common stock held as of the close of business on the Record Date. The final distribution ratio will be determined based on the number of shares of FNF's common stock outstanding on the Record Date.</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No fractional shares of F&amp;G's common stock will be distributed. Instead, FNF's shareholders will receive cash in lieu of any fraction of a share of F&amp;G's common stock that they otherwise would have received. The Distribution is intended to be structured as a taxable dividend to FNF shareholders for U.S. federal income tax purposes.</w:t>
      </w:r>
    </w:p>
    <w:p>
      <w:pPr>
        <w:spacing w:after="0" w:line="72" w:lineRule="exact"/>
        <w:rPr>
          <w:sz w:val="20"/>
          <w:szCs w:val="20"/>
          <w:color w:val="auto"/>
        </w:rPr>
      </w:pPr>
    </w:p>
    <w:p>
      <w:pPr>
        <w:ind w:right="580" w:firstLine="318"/>
        <w:spacing w:after="0" w:line="274" w:lineRule="auto"/>
        <w:rPr>
          <w:sz w:val="20"/>
          <w:szCs w:val="20"/>
          <w:color w:val="auto"/>
        </w:rPr>
      </w:pPr>
      <w:r>
        <w:rPr>
          <w:rFonts w:ascii="Times New Roman" w:cs="Times New Roman" w:eastAsia="Times New Roman" w:hAnsi="Times New Roman"/>
          <w:sz w:val="18"/>
          <w:szCs w:val="18"/>
          <w:color w:val="auto"/>
        </w:rPr>
        <w:t>We are in the process of evaluating potential financial impacts, including potential changes associated with our income tax planning strategies and disclosures.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F&amp;G Common Stock Issuance</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March 24, 2025, F&amp;G completed a public offering of 8,000,000 shares of F&amp;G common stock, par value $0.001 per share. In connection with the offering, F&amp;G entered into an underwriting agreement, pursuant to which they granted the underwriters of the offering a 30-day option to purchase up to an additional 1,200,000 shares of common stock. Pursuant to the underwriting agreement, the underwriters agreed to resell to FNF 4,500,000 shares of F&amp;G common stock at the same price per share paid by the underwriters, which was $33.60 per share. The underwriters option expired unexercised. F&amp;G is using the net proceeds from the offering for general corporate purposes, including the support of organic growth opportunities.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Redemption of 5.50% F&amp;G Senior Notes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1, 2025, F&amp;G redeemed the outstanding $300 million aggregate principal amount of its 5.50% Senior Notes due May 1, 2025 (the "5.50% F&amp;G Senior Notes"). The notes were redeemed for a redemption price equal to 100% of the principal amount of the notes plus accrued and unpaid interest to, but excluding, the redemption date. For further information,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9040"/>
        <w:spacing w:after="0"/>
        <w:rPr>
          <w:sz w:val="20"/>
          <w:szCs w:val="20"/>
          <w:color w:val="auto"/>
        </w:rPr>
      </w:pPr>
      <w:r>
        <w:rPr>
          <w:rFonts w:ascii="Times New Roman" w:cs="Times New Roman" w:eastAsia="Times New Roman" w:hAnsi="Times New Roman"/>
          <w:sz w:val="17"/>
          <w:szCs w:val="17"/>
          <w:color w:val="auto"/>
        </w:rPr>
        <w:t xml:space="preserve">refer to Note N </w:t>
      </w:r>
      <w:r>
        <w:rPr>
          <w:rFonts w:ascii="Times New Roman" w:cs="Times New Roman" w:eastAsia="Times New Roman" w:hAnsi="Times New Roman"/>
          <w:sz w:val="17"/>
          <w:szCs w:val="17"/>
          <w:i w:val="1"/>
          <w:iCs w:val="1"/>
          <w:color w:val="auto"/>
        </w:rPr>
        <w:t>Notes Payable</w:t>
      </w:r>
      <w:r>
        <w:rPr>
          <w:rFonts w:ascii="Times New Roman" w:cs="Times New Roman" w:eastAsia="Times New Roman" w:hAnsi="Times New Roman"/>
          <w:sz w:val="17"/>
          <w:szCs w:val="17"/>
          <w:color w:val="auto"/>
        </w:rPr>
        <w:t>.</w:t>
      </w:r>
    </w:p>
    <w:p>
      <w:pPr>
        <w:spacing w:after="0" w:line="123" w:lineRule="exact"/>
        <w:rPr>
          <w:sz w:val="20"/>
          <w:szCs w:val="20"/>
          <w:color w:val="auto"/>
        </w:rPr>
      </w:pPr>
    </w:p>
    <w:p>
      <w:pPr>
        <w:jc w:val="right"/>
        <w:ind w:right="9100"/>
        <w:spacing w:after="0"/>
        <w:rPr>
          <w:sz w:val="20"/>
          <w:szCs w:val="20"/>
          <w:color w:val="auto"/>
        </w:rPr>
      </w:pPr>
      <w:r>
        <w:rPr>
          <w:rFonts w:ascii="Times New Roman" w:cs="Times New Roman" w:eastAsia="Times New Roman" w:hAnsi="Times New Roman"/>
          <w:sz w:val="18"/>
          <w:szCs w:val="18"/>
          <w:i w:val="1"/>
          <w:iCs w:val="1"/>
          <w:color w:val="auto"/>
        </w:rPr>
        <w:t>7.30% F&amp;G Junior Notes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On January 13, 2025, F&amp;G completed its public offering of its 7.30% Junior Subordinated Notes due 2065 with an aggregate principal amount of $375 million (the "7.30% F&amp;G Notes"). F&amp;G is using the net proceeds of this offering for general corporate purposes, including the repurchase, redemption, or repayment at maturity of outstanding indebtedness. For further information, refer to Note N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0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Income tax expense was $90 million and $44 million in the three months ended September 30, 2025 and 2024, respectively, and $217 million and $223 million in the nine months ended September 30, 2025 and 2024, respectively. Income tax expense as a percentage of earnings before income taxes was 20% and 14% in the three months ended September 30, 2025 and 2024, respectively, and 23% and 20% in the nine months ended September 30, 2025 and 2024, respectively. The increases in income tax expense as a percentage of earnings before taxes in the three and nine months ended September 30, 2025 as compared to the corresponding periods in 2024 are primarily attributable to less valuation allowance being released in the three and nine months ended September 30, 2025 as compared to the corresponding periods in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Basic earnings per share, as presented on the unaudited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stock options and shares of restricted stock, which have been treated as common share equivalents for purposes of calculating diluted earnings per share for periods in which positive earnings have been reported.</w:t>
      </w:r>
    </w:p>
    <w:p>
      <w:pPr>
        <w:spacing w:after="0" w:line="81"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Options or other instruments, which provide the ability to purchase shares of our common stock that are antidilutive, are excluded from the computation of diluted earnings per share. There were no antidilutive instruments outstanding during the three and nine months ended September 30, 2025 and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Owned Distribution Investments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paid commissions on sales through our unconsolidated owned distribution investments and their affiliates of approximately $12 million and $16 million for the three months ended September 30, 2025 and 2024, respectively, and $44 million and $110 million for the nine months ended September 30, 2025 and 2024, respectively. The acquisition expense is deferred and amortized in Depreciation and amortization in the accompanying unaudited Condensed Consolidated Statements of Earnings.</w:t>
      </w:r>
    </w:p>
    <w:p>
      <w:pPr>
        <w:spacing w:after="0" w:line="70" w:lineRule="exact"/>
        <w:rPr>
          <w:sz w:val="20"/>
          <w:szCs w:val="20"/>
          <w:color w:val="auto"/>
        </w:rPr>
      </w:pPr>
    </w:p>
    <w:p>
      <w:pPr>
        <w:jc w:val="right"/>
        <w:ind w:right="856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25" w:lineRule="exact"/>
        <w:rPr>
          <w:sz w:val="20"/>
          <w:szCs w:val="20"/>
          <w:color w:val="auto"/>
        </w:rPr>
      </w:pPr>
    </w:p>
    <w:p>
      <w:pPr>
        <w:jc w:val="right"/>
        <w:ind w:right="8560"/>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00"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this update enhance the transparency of the income tax disclosures by expanding on the disclosures required annually. The amendments require entities to disclose in their rate reconciliation table additional categories of information about federal, state, and foreign income taxes, in addition to providing details about the reconciling items in some categories if above a quantitative threshold. Additionally, the amendments require annual disclosure of income taxes paid (net of refunds received) disaggregated by jurisdiction based on a quantitative threshold. The Company plans to implement this update using the prospective method by enhancing our footnote disclosures as required by the update. The amendments in this update are effective for public business entities for annual periods beginning after December 15, 2024.</w:t>
      </w:r>
    </w:p>
    <w:p>
      <w:pPr>
        <w:spacing w:after="0" w:line="9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amendments in this update enhance transparency of certain expense captions by disclosing more granular information of specific expenses within those captions such as personnel costs, depreciation, and amortization. The amendments also require disclosure of qualitative description of amounts remaining in relevant expense captions that are not separately disaggregated. The amendments in this update are effective for all public companies for annual reporting periods beginning after December 15, 2026, and interim reporting periods beginning after December 15, 2027. Early adoption is permitted, and the amendments should be applied either prospectively to financial statements issued for reporting periods after the effective date or retrospectively to all prior periods presented in the financial statements. We do not expect to early adopt this standard and are in the process of assessing its impact on our disclosures upon adoption.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The amendments in this update refine capitalization thresholds by removing all references to project stages. The amendments require that an entity capitalize software costs when management has authorized and committed to funding the software project and when it is probable that the project will be completed and the software will be used to perform the function intended (“probable-to-complete recognition threshold”). Additionally, the amendments clarify the disclosure requirements for internal-use software costs. The amendments in this update are effective for all companies for annual and interim reporting periods beginning after December 15, 2027. Early adoption is permitted, and the amendments should be applied using a prospective, retrospective, or modified transition approach. We are still in the process of assessing this standard and its impact upon adoption.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Updated Significant Accounting Policies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Since our Annual Report on Form 10-K for the year ended December 31, 2024, we have updated the following significant accounting policies for Derivative Financial Instruments and Funds Withheld Arrangements, which have been followed in preparing the accompanying unaudited Condensed Consolidated Financial Statements, primarily as a result of executing certain derivative transactions.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Freestanding Derivatives</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economically hedge certain portions of our exposure to product related equity market risk by entering into derivative transactions (primarily equity options). We also utilize certain interest rate swaps to reduce market risks from interest rate changes on our earnings associated with our floating rate investments. All such derivative instruments are recognized as either assets or liabilities in the unaudited Condensed Consolidated Balance Sheets at fair value. The changes in fair value of derivatives not designated to hedge relationships are reported within Recognized gains and losses, net in the unaudited Condensed Consolidated Statements of Earnings. The change in the fair value of these derivative instruments is included in operating activities in the unaudited Consolidated Statements of Cash Flows.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Hedge Accounting</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designate certain derivatives to fair value or cash flow hedge relationships that hedge exposures to interest rates, foreign currency, or both, associated with changes in the fair value of a recognized asset or liability (“fair value hedge”) or a forecasted transaction or variability of cash flows to be received or paid related to a recognized asset or liability (“cash flow hedge”).</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When a derivative is designated as a fair value hedge and is determined to be highly effective, changes in the fair value of the derivative included in the assessment of effectiveness are reported in the same line on the unaudited Condensed Consolidated Statements of Earnings that is used to report the earnings effect of the hedged item.</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When a derivative is designated as a cash flow hedge and is determined to be highly effective, changes in the fair value of the derivative included in the assessment of effectiveness are recorded in Accumulated Other Comprehensive Income ("AOCI") until earnings are affected by the variability of cash flows being hedged. At the time the variability of cash flows being hedged impacts net earnings, the related portion of deferred gains or losses on the derivative instrument is reclassified and reported in net earnings in the same line item on the unaudited Condensed Consolidated Statements of Earnings that is used to report the earnings effect of the hedged item.</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Any portion of the change in fair value of a derivative designated to a fair value or cash flow hedge relationship that is excluded from the assessment of effectiveness will be recorded in AOCI and amortized into earnings over the life of the remaining term of the hedge relationship.</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To qualify for hedge accounting, at hedge inception we formally document our risk management objective and strategy for entering into hedging relationships, as well as the designation of the hedge. In our hedge documentation, we explain how the hedging instrument is expected to hedge the designated risks related to the hedged item and the method that will used to test for hedge effectiveness on both a prospective and retrospective basis. A derivative designated as a hedging instrument must be assessed as being highly effective in offsetting the designated risk of the hedged item. Effectiveness of the hedge is formally assessed at inception and at least quarterly throughout the life of the hedging relationship.</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prospectively discontinue hedge accounting when (1) the criteria to qualify for hedge accounting is no longer met; (2) the derivative expires, is sold, terminated or is exercised; or (3) we de-designate the derivative from being the hedging instrument for a fair value or cash flow hedge.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a fair value or cash flow hedge is discontinued, the derivative will continue to be carried at fair value on the unaudited Condensed Consolidated Balance Sheets, with changes in fair value recognized prospectively in Recognized gains and losses in the unaudited Condensed Consolidated Statements of Earnings.</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discontinued fair value hedges, the hedged item will no longer be adjusted for changes in the hedged risk and any existing basis adjustment will be amortized into the unaudited Condensed Consolidated Statements of Earnings within the same line item that is used to report other earnings effects of the hedged item. Any amounts remaining in AOCI associated with a component of the change in derivative fair value excluded from the assessment of effectiveness will be amortized into earnings in a manner consistent with how any basis adjustment associated with the hedged item would be amortized.</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component of AOCI related to discontinued cash flow hedges where it is probable the hedged forecasted transaction will not occur, will be immediately reclassified from AOCI into earnings. In all other cases any amounts remaining in AOCI will be amortized into earnings consistent with the earnings impacts expected from the original hedged cash flows.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We purchase financial instruments that may contain embedded derivative instruments. If it is determined that the embedded derivative possesses economic characteristics that are not clearly and closely related to the economic characteristics of the host contract, and a separate instrument with the same terms would qualify as a derivative instrument, the embedded derivative is bifurcated from the host contract for measurement purposes. For further information, refer to Note E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Funds Withheld Arrangements</w:t>
      </w:r>
    </w:p>
    <w:p>
      <w:pPr>
        <w:spacing w:after="0" w:line="115"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 xml:space="preserve">F&amp;G cedes certain business on a coinsurance funds withheld basis. Assets supporting the arrangements are reported within Funds withheld for reinsurance liabilities on our unaudited Condensed Consolidated Balance Sheets. All assets within Funds withheld for reinsurance liabilities are recorded in a manner consistent with each respective item of our accounting policies discussed in Note A </w:t>
      </w:r>
      <w:r>
        <w:rPr>
          <w:rFonts w:ascii="Times New Roman" w:cs="Times New Roman" w:eastAsia="Times New Roman" w:hAnsi="Times New Roman"/>
          <w:sz w:val="17"/>
          <w:szCs w:val="17"/>
          <w:i w:val="1"/>
          <w:iCs w:val="1"/>
          <w:color w:val="auto"/>
        </w:rPr>
        <w:t>Business and Summary of Significant Accounting Policies</w:t>
      </w:r>
      <w:r>
        <w:rPr>
          <w:rFonts w:ascii="Times New Roman" w:cs="Times New Roman" w:eastAsia="Times New Roman" w:hAnsi="Times New Roman"/>
          <w:sz w:val="17"/>
          <w:szCs w:val="17"/>
          <w:color w:val="auto"/>
        </w:rPr>
        <w:t xml:space="preserve">, of our Annual Report on Form 10-K for the year ended December 31, 2024. Investment results for the assets that support the coinsurance are segregated within the funds withheld account and are passed directly to the reinsurer pursuant to the contractual terms of the reinsurance agreement, which creates embedded derivatives considered to be total return swaps. These embedded derivatives are not clearly and closely related to the underlying reinsurance agreement and thus require bifurcation. The fair value of the total return swaps is based on the change in fair value of the underlying assets held in the funds withheld account. Beginning in the first quarter of 2025, these embedded derivatives are reported in Funds withheld for reinsurance liabilities, irrespective if in a net asset position or a net liability position, on the unaudited Condensed Consolidated Balance Sheets and prior periods have been reclassified from Prepaid expenses and other assets to conform with the current presentation. The related gains or losses are reported in Recognized gains and losses, net, on our unaudited Condensed Consolidated Statements of Earnings. Refer to Note C </w:t>
      </w:r>
      <w:r>
        <w:rPr>
          <w:rFonts w:ascii="Times New Roman" w:cs="Times New Roman" w:eastAsia="Times New Roman" w:hAnsi="Times New Roman"/>
          <w:sz w:val="17"/>
          <w:szCs w:val="17"/>
          <w:i w:val="1"/>
          <w:iCs w:val="1"/>
          <w:color w:val="auto"/>
        </w:rPr>
        <w:t>Fair Value of Financial Instruments</w:t>
      </w:r>
      <w:r>
        <w:rPr>
          <w:rFonts w:ascii="Times New Roman" w:cs="Times New Roman" w:eastAsia="Times New Roman" w:hAnsi="Times New Roman"/>
          <w:sz w:val="17"/>
          <w:szCs w:val="17"/>
          <w:color w:val="auto"/>
        </w:rPr>
        <w:t xml:space="preserve"> for descriptions of the fair value methodologies used for these and other derivative financial instruments and Note E </w:t>
      </w:r>
      <w:r>
        <w:rPr>
          <w:rFonts w:ascii="Times New Roman" w:cs="Times New Roman" w:eastAsia="Times New Roman" w:hAnsi="Times New Roman"/>
          <w:sz w:val="17"/>
          <w:szCs w:val="17"/>
          <w:i w:val="1"/>
          <w:iCs w:val="1"/>
          <w:color w:val="auto"/>
        </w:rPr>
        <w:t>Derivatives,</w:t>
      </w:r>
      <w:r>
        <w:rPr>
          <w:rFonts w:ascii="Times New Roman" w:cs="Times New Roman" w:eastAsia="Times New Roman" w:hAnsi="Times New Roman"/>
          <w:sz w:val="17"/>
          <w:szCs w:val="17"/>
          <w:color w:val="auto"/>
        </w:rPr>
        <w:t xml:space="preserve"> for additional information on these and other derivatives.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Reserve for Title Claim Losses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summary of the reserve for title claim losses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Pr>
          <w:p>
            <w:pPr>
              <w:spacing w:after="0"/>
              <w:rPr>
                <w:sz w:val="16"/>
                <w:szCs w:val="16"/>
                <w:color w:val="auto"/>
              </w:rPr>
            </w:pPr>
          </w:p>
        </w:tc>
      </w:tr>
      <w:tr>
        <w:trPr>
          <w:trHeight w:val="24"/>
        </w:trPr>
        <w:tc>
          <w:tcPr>
            <w:tcW w:w="7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r>
      <w:tr>
        <w:trPr>
          <w:trHeight w:val="192"/>
        </w:trPr>
        <w:tc>
          <w:tcPr>
            <w:tcW w:w="7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00" w:type="dxa"/>
            <w:vAlign w:val="bottom"/>
            <w:gridSpan w:val="3"/>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16"/>
                <w:szCs w:val="16"/>
                <w:color w:val="auto"/>
              </w:rPr>
            </w:pPr>
          </w:p>
        </w:tc>
      </w:tr>
      <w:tr>
        <w:trPr>
          <w:trHeight w:val="23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3"/>
              </w:rPr>
              <w:t>1,713</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3"/>
              </w:rPr>
              <w:t>1,770</w:t>
            </w: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insurance recoverable</w:t>
            </w:r>
          </w:p>
        </w:tc>
        <w:tc>
          <w:tcPr>
            <w:tcW w:w="960" w:type="dxa"/>
            <w:vAlign w:val="bottom"/>
          </w:tcPr>
          <w:p>
            <w:pPr>
              <w:spacing w:after="0"/>
              <w:rPr>
                <w:sz w:val="19"/>
                <w:szCs w:val="19"/>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 loss provision related to:</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5"/>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168</w:t>
            </w:r>
          </w:p>
        </w:tc>
      </w:tr>
      <w:tr>
        <w:trPr>
          <w:trHeight w:val="218"/>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title claim loss provision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168</w:t>
            </w: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Claims paid, net of recoupments related to:</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5"/>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(191)</w:t>
            </w:r>
          </w:p>
        </w:tc>
      </w:tr>
      <w:tr>
        <w:trPr>
          <w:trHeight w:val="218"/>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title claims paid, net of recoupments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(204)</w:t>
            </w:r>
          </w:p>
        </w:tc>
      </w:tr>
      <w:tr>
        <w:trPr>
          <w:trHeight w:val="21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of claim loss reserve for title insurance</w:t>
            </w:r>
          </w:p>
        </w:tc>
        <w:tc>
          <w:tcPr>
            <w:tcW w:w="9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w w:val="93"/>
              </w:rPr>
              <w:t>1,708</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93"/>
              </w:rPr>
              <w:t>1,720</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title insurance claim losses as a percentage of title insurance premiums</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Several lawsuits were filed by various parties against Chicago Title Company and Chicago Title Insurance Company as its principal (collectively, the “Named Companies”) by plaintiffs claiming they were investors who were solicited by Gina Champion-Cain through her former company, ANI Development LLC (“ANI”), or other affiliates to provide funds placed in an escrow account that purportedly were to be used for high-interest, short-term loans to parties seeking to acquire California alcoholic beverage licenses. Plaintiffs further alleged that employees of Chicago Title Company assisted Ms. Champion-Cain and her entities in diverting the funds placed into an escrow account maintained by Chicago Title Company into which some of the plaintiffs’ funds were deposited.</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connection with the alcoholic beverage license scheme, the SEC filed a civil enforcement proceeding asserting claims for securities fraud against</w:t>
      </w:r>
    </w:p>
    <w:p>
      <w:pPr>
        <w:spacing w:after="0" w:line="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Champion-Cain and ANI in a lawsuit styled, </w:t>
      </w:r>
      <w:r>
        <w:rPr>
          <w:rFonts w:ascii="Times New Roman" w:cs="Times New Roman" w:eastAsia="Times New Roman" w:hAnsi="Times New Roman"/>
          <w:sz w:val="18"/>
          <w:szCs w:val="18"/>
          <w:i w:val="1"/>
          <w:iCs w:val="1"/>
          <w:color w:val="auto"/>
        </w:rPr>
        <w:t>Securities and Exchange Commission v. Gina Champion-Cain and ANI Development, LLC</w:t>
      </w:r>
      <w:r>
        <w:rPr>
          <w:rFonts w:ascii="Times New Roman" w:cs="Times New Roman" w:eastAsia="Times New Roman" w:hAnsi="Times New Roman"/>
          <w:sz w:val="18"/>
          <w:szCs w:val="18"/>
          <w:color w:val="auto"/>
        </w:rPr>
        <w:t xml:space="preserve">, pending in the United States District Court for the Southern District of California. The receiver, who was appointed by the court to preserve the assets of the defendant affiliated entities, then filed a lawsuit in San Diego County Superior Court against the Named Companies seeking damages in a lawsuit styled, </w:t>
      </w:r>
      <w:r>
        <w:rPr>
          <w:rFonts w:ascii="Times New Roman" w:cs="Times New Roman" w:eastAsia="Times New Roman" w:hAnsi="Times New Roman"/>
          <w:sz w:val="18"/>
          <w:szCs w:val="18"/>
          <w:i w:val="1"/>
          <w:iCs w:val="1"/>
          <w:color w:val="auto"/>
        </w:rPr>
        <w:t>Krista Freitag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Chicago Title Co. and Chicago Title Ins. Co. </w:t>
      </w:r>
      <w:r>
        <w:rPr>
          <w:rFonts w:ascii="Times New Roman" w:cs="Times New Roman" w:eastAsia="Times New Roman" w:hAnsi="Times New Roman"/>
          <w:sz w:val="18"/>
          <w:szCs w:val="18"/>
          <w:color w:val="auto"/>
        </w:rPr>
        <w:t>The Named Companies reached a global settlement with the receiver and several other investor claimants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jointly sought court approval of the global settlement and entry of an order barring any claims against the Named Companies related to the alcoholic beverage license scheme. On November 23, 2022, the federal court overruled any objections by non-joining investors and entered an order approving the global settlement barring further claims against the Named Companies, among others (“Settlement and Bar Orders”). After her receipt of the settlement funds, the receiver dismissed the lawsuit against the Named Companies.</w:t>
      </w:r>
    </w:p>
    <w:p>
      <w:pPr>
        <w:spacing w:after="0" w:line="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Some of the investor claimants who objected to the entry of the Settlement and Bar Orders appealed the decision to the United States Court of Appeals for the Ninth Circuit (Cases 22-56206, 22-56208, and 23-55083). On February 20, 2025, the Ninth Circuit affirmed the district court’s Settlement and Bar Orders, barring all ongoing and future litigation against CTC, among others, stemming from the scheme operated by Ms. Champion-Cain. On April 10, 2025, the appellants filed a petition for rehearing or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requesting the Ninth Circuit to reconsider its decision, but the petition was denied.</w:t>
      </w:r>
    </w:p>
    <w:p>
      <w:pPr>
        <w:spacing w:after="0" w:line="61" w:lineRule="exact"/>
        <w:rPr>
          <w:sz w:val="20"/>
          <w:szCs w:val="20"/>
          <w:color w:val="auto"/>
        </w:rPr>
      </w:pPr>
    </w:p>
    <w:p>
      <w:pPr>
        <w:jc w:val="both"/>
        <w:ind w:firstLine="318"/>
        <w:spacing w:after="0" w:line="224" w:lineRule="auto"/>
        <w:rPr>
          <w:sz w:val="20"/>
          <w:szCs w:val="20"/>
          <w:color w:val="auto"/>
        </w:rPr>
      </w:pPr>
      <w:r>
        <w:rPr>
          <w:rFonts w:ascii="Times New Roman" w:cs="Times New Roman" w:eastAsia="Times New Roman" w:hAnsi="Times New Roman"/>
          <w:sz w:val="18"/>
          <w:szCs w:val="18"/>
          <w:color w:val="auto"/>
        </w:rPr>
        <w:t>The investor claimants who unsuccessfully appealed the entry of the Settlement and Bar Orders to the Ninth Circuit filed petitions for writ of certiorari requesting that the U.S. Supreme Court review the lower court decisions (U.S. Supreme Court Cases 24-1192 and 25-151). Their petitions argue that conflicting rulings among U.S. Circuit Courts of Appeal exist regarding the appropriateness of bar orders in equitable receiverships. The U.S. Supreme Court has directed CTC to file a brief in response to the petitions by December 3, 2025. The Court has not yet rendered a decision regarding whether it will grant certiorari and hear the cases. The remaining lawsuits pending in the Superior Court of San Diego County for the State of California involving claimants/investors who objected to the Settlement and Bar Orders are stayed pending the conclusion of the appellate process.</w:t>
      </w: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Chicago Title Company has also resolved a number of other pre-suit claims and previously disclosed lawsuits from both individual and groups of alleged investors under confidential terms. Based on the facts and circumstances of the remaining claims, including the settlements already reached, we have recorded reserves included in our Reserve for title claim losses, which we believe are adequate to cover losses related to this matter, and believe that our reserves for title claim losses are adequate.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additional reserve adjustments may be required in future periods to maintain our recorded reserve within a reasonable range of our actuary's central estimate.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Fair Value of Financial Instruments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along with net asset value. The three-level hierarchy for fair value measurement is defined as follows: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Values are unadjusted quoted prices for identical assets and liabilities in active markets accessible at the measurement date.</w:t>
      </w:r>
    </w:p>
    <w:p>
      <w:pPr>
        <w:spacing w:after="0" w:line="85"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or liabilities in active markets, quoted prices from those willing to trade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market data for the term of the instrument. Such inputs include market interest rates and volatilities, spreads, and yield curves.</w:t>
      </w:r>
    </w:p>
    <w:p>
      <w:pPr>
        <w:spacing w:after="0" w:line="40"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Certain inputs are unobservable (supported by little or no market activity) and significant to the fair value measurement. Unobservable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Company’s best estimate of what hypothetical market participants would use to determine a transaction price for the asset or liability at the reporting date based on the best information available in the circumstances.</w:t>
      </w:r>
    </w:p>
    <w:p>
      <w:pPr>
        <w:spacing w:after="0" w:line="40" w:lineRule="exact"/>
        <w:rPr>
          <w:sz w:val="20"/>
          <w:szCs w:val="20"/>
          <w:color w:val="auto"/>
        </w:rPr>
      </w:pPr>
    </w:p>
    <w:p>
      <w:pPr>
        <w:jc w:val="both"/>
        <w:ind w:left="44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Net Asset Value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NAV</w:t>
      </w:r>
      <w:r>
        <w:rPr>
          <w:rFonts w:ascii="Times New Roman" w:cs="Times New Roman" w:eastAsia="Times New Roman" w:hAnsi="Times New Roman"/>
          <w:sz w:val="18"/>
          <w:szCs w:val="18"/>
          <w:color w:val="auto"/>
        </w:rPr>
        <w:t>") - Certain equity investments are measured using NAV as a practical expedient in determining fair value. In addition,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affiliates (primarily limited partnerships) are primarily accounted for using the equity method of accounting with fair value determined using NAV as a practical expedient. Our carrying value reflects our pro rata ownership percentage as indicated by NAV in the unconsolidated affiliate's financial statements, which we may adjust if we determine NAV is not calculated consistent with investment company fair value principles. The underlying investments of the unconsolidated affiliates may have significant unobservable inputs, which may include, but are not limited to, comparable multiples and weighted average cost of capital rates applied in valuation models or a discounted cash flow model. Additionally, management inquires quarterly with the general partner to determine whether any credit or other market events have occurred since prior period financial statements to ensure any material events are properly included in current period valuation and investment income.</w:t>
      </w:r>
    </w:p>
    <w:p>
      <w:pPr>
        <w:spacing w:after="0" w:line="10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154"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The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3,494</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 ("ABS")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18,265</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Government</w:t>
            </w: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receivable, included in Prepaid expenses and other assets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servicing rights ("MSRs")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24"/>
        </w:trPr>
        <w:tc>
          <w:tcPr>
            <w:tcW w:w="55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Total financial assets at fair value</w:t>
            </w: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61,471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5500" w:type="dxa"/>
            <w:vAlign w:val="bottom"/>
          </w:tcPr>
          <w:p>
            <w:pPr>
              <w:ind w:left="220"/>
              <w:spacing w:after="0" w:line="133" w:lineRule="exact"/>
              <w:rPr>
                <w:sz w:val="20"/>
                <w:szCs w:val="20"/>
                <w:color w:val="auto"/>
              </w:rPr>
            </w:pPr>
            <w:r>
              <w:rPr>
                <w:rFonts w:ascii="Times New Roman" w:cs="Times New Roman" w:eastAsia="Times New Roman" w:hAnsi="Times New Roman"/>
                <w:sz w:val="14"/>
                <w:szCs w:val="14"/>
                <w:color w:val="auto"/>
              </w:rPr>
              <w:t>Indexed annuities/indexed universal life insurance ("IUL") embedded derivatives, included</w:t>
            </w: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100" w:type="dxa"/>
            <w:vAlign w:val="bottom"/>
          </w:tcPr>
          <w:p>
            <w:pPr>
              <w:spacing w:after="0"/>
              <w:rPr>
                <w:sz w:val="11"/>
                <w:szCs w:val="11"/>
                <w:color w:val="auto"/>
              </w:rPr>
            </w:pPr>
          </w:p>
        </w:tc>
        <w:tc>
          <w:tcPr>
            <w:tcW w:w="1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 Contractholder funds</w:t>
            </w:r>
          </w:p>
        </w:tc>
        <w:tc>
          <w:tcPr>
            <w:tcW w:w="22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5500" w:type="dxa"/>
            <w:vAlign w:val="bottom"/>
            <w:shd w:val="clear" w:color="auto" w:fill="CCEEFF"/>
          </w:tcPr>
          <w:p>
            <w:pPr>
              <w:ind w:left="220"/>
              <w:spacing w:after="0" w:line="140" w:lineRule="exact"/>
              <w:rPr>
                <w:sz w:val="20"/>
                <w:szCs w:val="20"/>
                <w:color w:val="auto"/>
              </w:rPr>
            </w:pPr>
            <w:r>
              <w:rPr>
                <w:rFonts w:ascii="Times New Roman" w:cs="Times New Roman" w:eastAsia="Times New Roman" w:hAnsi="Times New Roman"/>
                <w:sz w:val="14"/>
                <w:szCs w:val="14"/>
                <w:color w:val="auto"/>
              </w:rPr>
              <w:t>Interest rate and foreign currency swaps, included in Accounts payable and accrued</w:t>
            </w:r>
          </w:p>
        </w:tc>
        <w:tc>
          <w:tcPr>
            <w:tcW w:w="2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liabilities</w:t>
            </w:r>
          </w:p>
        </w:tc>
        <w:tc>
          <w:tcPr>
            <w:tcW w:w="2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5500" w:type="dxa"/>
            <w:vAlign w:val="bottom"/>
          </w:tcPr>
          <w:p>
            <w:pPr>
              <w:ind w:left="220"/>
              <w:spacing w:after="0" w:line="133" w:lineRule="exact"/>
              <w:rPr>
                <w:sz w:val="20"/>
                <w:szCs w:val="20"/>
                <w:color w:val="auto"/>
              </w:rPr>
            </w:pPr>
            <w:r>
              <w:rPr>
                <w:rFonts w:ascii="Times New Roman" w:cs="Times New Roman" w:eastAsia="Times New Roman" w:hAnsi="Times New Roman"/>
                <w:sz w:val="14"/>
                <w:szCs w:val="14"/>
                <w:color w:val="auto"/>
              </w:rPr>
              <w:t>Reinsurance related embedded derivatives, included in Funds withheld for reinsurance</w:t>
            </w:r>
          </w:p>
        </w:tc>
        <w:tc>
          <w:tcPr>
            <w:tcW w:w="2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liabilities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included in Accounts payable and accrued liabilities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224"/>
        </w:trPr>
        <w:tc>
          <w:tcPr>
            <w:tcW w:w="55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Total financial liabilities at fair value</w:t>
            </w: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Government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receivable, included in Prepaid expenses and other assets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MSRs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24"/>
        </w:trPr>
        <w:tc>
          <w:tcPr>
            <w:tcW w:w="55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Total financial assets at fair value</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57,195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Indexed annuities/IUL embedded derivatives, included in Contractholder funds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rate swaps, included in Accounts payable and accrued liabilities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options</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0"/>
        </w:trPr>
        <w:tc>
          <w:tcPr>
            <w:tcW w:w="5500" w:type="dxa"/>
            <w:vAlign w:val="bottom"/>
            <w:shd w:val="clear" w:color="auto" w:fill="CCEEFF"/>
          </w:tcPr>
          <w:p>
            <w:pPr>
              <w:ind w:left="220"/>
              <w:spacing w:after="0" w:line="140" w:lineRule="exact"/>
              <w:rPr>
                <w:sz w:val="20"/>
                <w:szCs w:val="20"/>
                <w:color w:val="auto"/>
              </w:rPr>
            </w:pPr>
            <w:r>
              <w:rPr>
                <w:rFonts w:ascii="Times New Roman" w:cs="Times New Roman" w:eastAsia="Times New Roman" w:hAnsi="Times New Roman"/>
                <w:sz w:val="14"/>
                <w:szCs w:val="14"/>
                <w:color w:val="auto"/>
              </w:rPr>
              <w:t>Reinsurance related embedded derivatives, included in Funds withheld for reinsurance</w:t>
            </w:r>
          </w:p>
        </w:tc>
        <w:tc>
          <w:tcPr>
            <w:tcW w:w="2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consideration, included in Accounts payable and accrued liabilities</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0" w:type="dxa"/>
            <w:vAlign w:val="bottom"/>
          </w:tcPr>
          <w:p>
            <w:pPr>
              <w:spacing w:after="0"/>
              <w:rPr>
                <w:sz w:val="1"/>
                <w:szCs w:val="1"/>
                <w:color w:val="auto"/>
              </w:rPr>
            </w:pPr>
          </w:p>
        </w:tc>
      </w:tr>
      <w:tr>
        <w:trPr>
          <w:trHeight w:val="192"/>
        </w:trPr>
        <w:tc>
          <w:tcPr>
            <w:tcW w:w="55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Total financial liabilities at fair value</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amounts reported in the unaudited Condensed Consolidated Balance Sheets for these instruments approximate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Maturity, Preferred and Equity Securities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measure the fair value of our securities based on assumptions used by market participants in pricing the security. The most appropriate valuation methodology is selected based on the specific characteristics of the fixed maturity, preferred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analyze the third-party valuation methodologies and related inputs to perform assessments to determine the appropriate level within the fair value hierarchy. However, we did not adjust prices received from third parties as of September 30, 2025 or December 31, 2024.</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equity investments are measured using NAV as a practical expedient in determining fair value.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Derivative contracts can either be exchange traded or traded over the counter. Exchange traded derivatives typically fall within Level 1 of the fair value hierarchy if there is active trading activity. Two methods are used to value over-the-counter derivatives. When required inputs are available, certain derivatives are valued using valuation pricing models, which represent what we would expect to receive or pay at the balance sheet date if we cancelled or exercised the derivative or entered into offsetting positions. Valuation models require a variety of inputs, which include the use of market-observable inputs, including interest rate, yield curve volatilities, foreign currency exchange rates, and other factors. These over-the-counter derivatives are typically classified within Level 2 of the fair value hierarchy as the majority trade in liquid markets, we can verify model inputs and model selection does not involve significant management judgment. When inputs are not available for valuation models, certain over-the-counter derivatives are valued using independent broker quotes, which are based on unobservable market data and classified within Level 3.</w:t>
      </w:r>
    </w:p>
    <w:p>
      <w:pPr>
        <w:spacing w:after="0" w:line="8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the reinsurance-related embedded derivatives in our funds withheld reinsurance agreements are estimated based upon the fair value of the assets supporting the funds withheld from reinsurance liabilities. The fair value of the assets is based on a quoted market price of similar assets (Level 2), and therefore the fair value of the embedded derivative is based on market-observable inputs and classified as Level 2.</w:t>
      </w:r>
    </w:p>
    <w:p>
      <w:pPr>
        <w:spacing w:after="0" w:line="7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fair value measurement of the indexed annuities/IUL embedded derivatives, representing the indexed crediting feature of the policies included in Contractholder funds, and the ceded portion, the reinsured indexed crediting feature embedded derivatives recorded as a component of the Reinsurance recoverable,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equity options in future periods to fund the equity indexed linked feature), surrender rates, mortality multiplier, and non-performance spread. The mortality multiplier at September 30, 2025 and December 31, 2024 was applied to the 2012 Individual Annuity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elected the fair value option (“FVO”) for certain investments in unconsolidated affiliates as we believe this better aligns them with other investments in unconsolidated affiliates that are measured using NAV as a practical expedient in determining fair value. Investments measured using the FVO are included in Level 3 and the fair values of these investments are determined using a multiple of the affiliates’ earnings before interest, taxes, depreciation and amortization ("EBITDA"). The EBITDA is based on the affiliates’ financial information. The multiple is derived from market analysis of transactions involving comparable companies. The inputs are considered unobservable, as not all market participants have access to this data.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2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hold a fund-linked note, which provides for an additional payment at maturity based on the value of an embedded derivative based on the actual return of a dedicated return fund. Fair value of the embedded derivative is based on an unobservable input, the NAV of the fund at the balance sheet date. The embedded derivative is similar to an equity option on the NAV of the fund with a strike price of zero since F&amp;G will not be required to make any additional payments at maturity of the fund-linked note in order to receive the NAV of the fund on the maturity date. A Black-Scholes model determines the NAV of the fund as the fair value of the equity option regardless of the values used for the other inputs to the option pricing model. The NAV of the fund is provided by the fund manager at the end of each calendar month and represents the value an investor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E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the credit-linked note is based on a weighted average of a broker quote and a discounted cash flow analysis. The discounted cash flow approach is based on the expected portfolio cash flows and amortization schedule reflecting investment expectations, adjusted for assumptions on the portfolio's default and recovery rates, and the note's discount rate. The fair value of the note is provided by the fund manager at the end of each quarter.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amounts reported in the unaudited Condensed Consolidated Balance Sheets for these instruments approximate fair value. Certain short-term investments are valued based on third-party pricing services or broker quotes and are classified as Level 2 or 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contingent consideration is measured at fair value using a discounted cash flow model applied using a Monte Carlo simulation of estimated EBITDA at each measurement period and for each simulated path relative to contractual EBITDA milestones. The Monte Carlo simulation utilizes a risk-adjusted discount rate, volatility assumption, and risk-free rates to assess the probability Roar, LLC's ("Roar") EBITDA trajectory reaches required milestones for the earn out payments to be made. The discounted cash flow approach applies a company-specific discount rate based on F&amp;G credit profile to future expected earn out payments to calculate the estimated fair value based on the average outcome from the simulation.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MSRs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MSRs are measured at fair value using a discounted cash flow analysis and calculated using a computer pricing model, which incorporates assumptions that market participants use in estimating future net servicing income cash flows. These assumptions include estimates of prepayment rates, discount rates, cost to service (including delinquency and foreclosure costs), escrow account earnings, contractual servicing fee income, and ancillary income. The assumptions that are significant in the determination of fair value of MSRs include the conditional prepayment rates and discount rates. MSRs are included in Prepaid expenses and other assets in the accompanying unaudited Condensed Consolidated Balance Sheets. Realized gains and losses related to MSRs are a result of changes in fair value due to changes in assumptions during the period, which are included in Recognized gains and losses, net in the accompanying unaudited Condensed Consolidated Statements of Earnings.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 Benefits ("MRBs")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MRBs (inclusive of reinsured MRBs) are measured at fair value using an attributed fee measurement approach where attributed fees are explicit rider charges collectible from the policyholder (or paid to the reinsurer) used to cover the excess benefits. The fair value is calculated using a risk neutral valuation method and is based on current net amounts at risk, market data, internal and industry experience, and other factors. The balances are computed using assumptions including mortality, full and partial surrender, rider benefit utilization, risk-free rates including non-performance spread and risk margin, market value of options, and economic scenarios. Policyholder behavior assumptions are reviewed at least annually, typically in the third quarter, for any revisions. Reinsured MRBs are valued using a methodology consistent with direct MRBs, with the exception of the non-performance spread, which reflects the credit of the reinsurer. See further discussion on MRBs in Note O </w:t>
      </w:r>
      <w:r>
        <w:rPr>
          <w:rFonts w:ascii="Times New Roman" w:cs="Times New Roman" w:eastAsia="Times New Roman" w:hAnsi="Times New Roman"/>
          <w:sz w:val="18"/>
          <w:szCs w:val="18"/>
          <w:i w:val="1"/>
          <w:iCs w:val="1"/>
          <w:color w:val="auto"/>
        </w:rPr>
        <w:t>Market Risk Benefits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Quantitative information regarding significant unobservable inputs used for recurring Level 3 fair value measurements of financial instruments carried at fair value as of September 30, 2025 and December 31, 2024, excluding assets and liabilities for which significant quantitative unobservable inputs are not developed internally and not readily available to the Company (primarily those valued using broker quotes and certain third-party pricing services), are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8"/>
              </w:rPr>
              <w:t>Fair Value as of</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6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80" w:type="dxa"/>
            <w:vAlign w:val="bottom"/>
          </w:tcPr>
          <w:p>
            <w:pPr>
              <w:spacing w:after="0"/>
              <w:rPr>
                <w:sz w:val="18"/>
                <w:szCs w:val="18"/>
                <w:color w:val="auto"/>
              </w:rPr>
            </w:pPr>
          </w:p>
        </w:tc>
        <w:tc>
          <w:tcPr>
            <w:tcW w:w="19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2760" w:type="dxa"/>
            <w:vAlign w:val="bottom"/>
            <w:tcBorders>
              <w:bottom w:val="single" w:sz="8" w:color="CCEEFF"/>
            </w:tcBorders>
            <w:gridSpan w:val="2"/>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9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Asset-backed securities</w:t>
            </w:r>
          </w:p>
        </w:tc>
        <w:tc>
          <w:tcPr>
            <w:tcW w:w="1360" w:type="dxa"/>
            <w:vAlign w:val="bottom"/>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4.50%</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- 7.15% (6.04%)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Corporates</w:t>
            </w: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13.33% - 100.00% (97.22%)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Corporates</w:t>
            </w:r>
          </w:p>
        </w:tc>
        <w:tc>
          <w:tcPr>
            <w:tcW w:w="13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2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3.44%</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- 22.03% (5.98%)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Municipals</w:t>
            </w: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5.06%</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- 5.06% (5.06%)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3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5.49%</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- 5.49% (5.49%)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Governments</w:t>
            </w: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7.04%</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- 7.04% (7.04%)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3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100.00% - 100.00% (100.00%)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8.20%</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- 13.00% (11.20%)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Market Comparable Company</w:t>
            </w: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4.7x - 6.8x (5.5x)</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Analysis</w:t>
            </w:r>
          </w:p>
        </w:tc>
        <w:tc>
          <w:tcPr>
            <w:tcW w:w="1920" w:type="dxa"/>
            <w:vAlign w:val="bottom"/>
            <w:gridSpan w:val="2"/>
            <w:vMerge w:val="continue"/>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1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36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Market Comparable Company</w:t>
            </w: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2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7.3x - 15.2x (11.1x)</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40" w:type="dxa"/>
            <w:vAlign w:val="bottom"/>
            <w:gridSpan w:val="3"/>
            <w:vMerge w:val="continue"/>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Analysis</w:t>
            </w:r>
          </w:p>
        </w:tc>
        <w:tc>
          <w:tcPr>
            <w:tcW w:w="1920" w:type="dxa"/>
            <w:vAlign w:val="bottom"/>
            <w:gridSpan w:val="2"/>
            <w:vMerge w:val="continue"/>
            <w:shd w:val="clear" w:color="auto" w:fill="CCEEFF"/>
          </w:tcPr>
          <w:p>
            <w:pPr>
              <w:spacing w:after="0"/>
              <w:rPr>
                <w:sz w:val="17"/>
                <w:szCs w:val="17"/>
                <w:color w:val="auto"/>
              </w:rPr>
            </w:pPr>
          </w:p>
        </w:tc>
        <w:tc>
          <w:tcPr>
            <w:tcW w:w="23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14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Available-for-sale embedded derivative</w:t>
            </w:r>
          </w:p>
        </w:tc>
        <w:tc>
          <w:tcPr>
            <w:tcW w:w="136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2"/>
                <w:szCs w:val="12"/>
                <w:color w:val="auto"/>
              </w:rPr>
            </w:pPr>
          </w:p>
        </w:tc>
        <w:tc>
          <w:tcPr>
            <w:tcW w:w="1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Black Scholes Model</w:t>
            </w:r>
          </w:p>
        </w:tc>
        <w:tc>
          <w:tcPr>
            <w:tcW w:w="192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Market Value of AnchorPath</w:t>
            </w:r>
          </w:p>
        </w:tc>
        <w:tc>
          <w:tcPr>
            <w:tcW w:w="2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40" w:type="dxa"/>
            <w:vAlign w:val="bottom"/>
            <w:gridSpan w:val="3"/>
            <w:vMerge w:val="continue"/>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40" w:type="dxa"/>
            <w:vAlign w:val="bottom"/>
            <w:gridSpan w:val="2"/>
            <w:vMerge w:val="continue"/>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w:t>
            </w:r>
          </w:p>
        </w:tc>
        <w:tc>
          <w:tcPr>
            <w:tcW w:w="23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Loan receivable</w:t>
            </w: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6.96%</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- 6.96% (6.96%)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Collateral Volatility</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35.00% - 35.00% (35.00%)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MSRs</w:t>
            </w: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6.65%</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- 11.91% (8.81%)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Conditional Prepayment Rate</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5.91%</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-13.95% (7.94%)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 - 115.00% (100.00%)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0.25%</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- 30.00% (5.41%)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Partial Withdrawal Rates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2.00%</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- 25.64% (2.48%)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0.48%</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- 0.95% (0.75%)</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- 75.00% (62.68%)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Total financial assets at fair value (a)</w:t>
            </w:r>
          </w:p>
        </w:tc>
        <w:tc>
          <w:tcPr>
            <w:tcW w:w="136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1,585</w:t>
            </w: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shd w:val="clear" w:color="auto" w:fill="CCEEFF"/>
          </w:tcPr>
          <w:p>
            <w:pPr>
              <w:spacing w:after="0"/>
              <w:rPr>
                <w:sz w:val="9"/>
                <w:szCs w:val="9"/>
                <w:color w:val="auto"/>
              </w:rPr>
            </w:pPr>
          </w:p>
        </w:tc>
        <w:tc>
          <w:tcPr>
            <w:tcW w:w="3140" w:type="dxa"/>
            <w:vAlign w:val="bottom"/>
            <w:gridSpan w:val="3"/>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3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25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140" w:type="dxa"/>
            <w:vAlign w:val="bottom"/>
            <w:gridSpan w:val="3"/>
            <w:shd w:val="clear" w:color="auto" w:fill="CCEEFF"/>
          </w:tcPr>
          <w:p>
            <w:pPr>
              <w:ind w:left="200"/>
              <w:spacing w:after="0" w:line="140" w:lineRule="exact"/>
              <w:rPr>
                <w:sz w:val="20"/>
                <w:szCs w:val="20"/>
                <w:color w:val="auto"/>
              </w:rPr>
            </w:pPr>
            <w:r>
              <w:rPr>
                <w:rFonts w:ascii="Times New Roman" w:cs="Times New Roman" w:eastAsia="Times New Roman" w:hAnsi="Times New Roman"/>
                <w:sz w:val="14"/>
                <w:szCs w:val="14"/>
                <w:color w:val="auto"/>
              </w:rPr>
              <w:t>Indexed annuities/ IUL embedded derivatives,</w:t>
            </w:r>
          </w:p>
        </w:tc>
        <w:tc>
          <w:tcPr>
            <w:tcW w:w="1360" w:type="dxa"/>
            <w:vAlign w:val="bottom"/>
            <w:vMerge w:val="restart"/>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6,083</w:t>
            </w:r>
          </w:p>
        </w:tc>
        <w:tc>
          <w:tcPr>
            <w:tcW w:w="120" w:type="dxa"/>
            <w:vAlign w:val="bottom"/>
            <w:shd w:val="clear" w:color="auto" w:fill="CCEEFF"/>
          </w:tcPr>
          <w:p>
            <w:pPr>
              <w:spacing w:after="0"/>
              <w:rPr>
                <w:sz w:val="12"/>
                <w:szCs w:val="12"/>
                <w:color w:val="auto"/>
              </w:rPr>
            </w:pPr>
          </w:p>
        </w:tc>
        <w:tc>
          <w:tcPr>
            <w:tcW w:w="1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Value of Option</w:t>
            </w:r>
          </w:p>
        </w:tc>
        <w:tc>
          <w:tcPr>
            <w:tcW w:w="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0.00%</w:t>
            </w:r>
          </w:p>
        </w:tc>
        <w:tc>
          <w:tcPr>
            <w:tcW w:w="19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- 50.92% (3.85%)</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included in Contractholder funds</w:t>
            </w:r>
          </w:p>
        </w:tc>
        <w:tc>
          <w:tcPr>
            <w:tcW w:w="136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40" w:type="dxa"/>
            <w:vAlign w:val="bottom"/>
            <w:gridSpan w:val="2"/>
            <w:vMerge w:val="continue"/>
            <w:shd w:val="clear" w:color="auto" w:fill="CCEEFF"/>
          </w:tcPr>
          <w:p>
            <w:pPr>
              <w:spacing w:after="0"/>
              <w:rPr>
                <w:sz w:val="17"/>
                <w:szCs w:val="17"/>
                <w:color w:val="auto"/>
              </w:rPr>
            </w:pPr>
          </w:p>
        </w:tc>
        <w:tc>
          <w:tcPr>
            <w:tcW w:w="1920" w:type="dxa"/>
            <w:vAlign w:val="bottom"/>
            <w:gridSpan w:val="2"/>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80.00% - 115.00% (100.00%)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0.25%</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- 50.00% (6.93%)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Partial Withdrawals</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2.00%</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- 37.04% (2.70%)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0.48%</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- 0.95% (0.75%)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 Cost</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0.50%</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- 6.09% (2.75%)</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140" w:type="dxa"/>
            <w:vAlign w:val="bottom"/>
            <w:gridSpan w:val="3"/>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Contingent consideration, included in Accounts</w:t>
            </w:r>
          </w:p>
        </w:tc>
        <w:tc>
          <w:tcPr>
            <w:tcW w:w="136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2"/>
                <w:szCs w:val="12"/>
                <w:color w:val="auto"/>
              </w:rPr>
            </w:pPr>
          </w:p>
        </w:tc>
        <w:tc>
          <w:tcPr>
            <w:tcW w:w="1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2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12.00% - 12.00% (12.00%)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payable and accrued liabilities</w:t>
            </w:r>
          </w:p>
        </w:tc>
        <w:tc>
          <w:tcPr>
            <w:tcW w:w="136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40" w:type="dxa"/>
            <w:vAlign w:val="bottom"/>
            <w:gridSpan w:val="2"/>
            <w:vMerge w:val="continue"/>
            <w:shd w:val="clear" w:color="auto" w:fill="CCEEFF"/>
          </w:tcPr>
          <w:p>
            <w:pPr>
              <w:spacing w:after="0"/>
              <w:rPr>
                <w:sz w:val="17"/>
                <w:szCs w:val="17"/>
                <w:color w:val="auto"/>
              </w:rPr>
            </w:pPr>
          </w:p>
        </w:tc>
        <w:tc>
          <w:tcPr>
            <w:tcW w:w="1920" w:type="dxa"/>
            <w:vAlign w:val="bottom"/>
            <w:gridSpan w:val="2"/>
            <w:vMerge w:val="continue"/>
            <w:shd w:val="clear" w:color="auto" w:fill="CCEEFF"/>
          </w:tcPr>
          <w:p>
            <w:pPr>
              <w:spacing w:after="0"/>
              <w:rPr>
                <w:sz w:val="17"/>
                <w:szCs w:val="17"/>
                <w:color w:val="auto"/>
              </w:rPr>
            </w:pPr>
          </w:p>
        </w:tc>
        <w:tc>
          <w:tcPr>
            <w:tcW w:w="23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 Volatility</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35.00% - 35.00% (35.00%)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Counterparty Discount Rate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6.00%</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- 6.00% (6.00%)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13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2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Mortality</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80.00% - 115.00% (100.00%)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0.25%</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- 30.00% (5.41%)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Partial Withdrawal Rates</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2.00%</w:t>
            </w:r>
          </w:p>
        </w:tc>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- 25.64% (2.48%)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3"/>
              </w:rPr>
              <w:t>0.48%</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- 0.95% (0.75%)</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5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2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50.00% - 75.00% (62.68%)</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6,985</w:t>
            </w:r>
          </w:p>
        </w:tc>
        <w:tc>
          <w:tcPr>
            <w:tcW w:w="1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firstLine="6"/>
        <w:spacing w:after="0" w:line="290" w:lineRule="auto"/>
        <w:tabs>
          <w:tab w:leader="none" w:pos="19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of $12,017 million and liabilities of $6 million for which significant quantitative unobservable inputs are not developed internally and not readily available to the Company (primarily those valued using broker quotes and certain third-party pricing services) are excluded from the respective totals in the table above.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Fair Value as of</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8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0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2840" w:type="dxa"/>
            <w:vAlign w:val="bottom"/>
            <w:tcBorders>
              <w:bottom w:val="single" w:sz="8" w:color="CCEEFF"/>
            </w:tcBorders>
            <w:gridSpan w:val="2"/>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9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Asset-backed securities</w:t>
            </w:r>
          </w:p>
        </w:tc>
        <w:tc>
          <w:tcPr>
            <w:tcW w:w="118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4.83%</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- 7.15% (6.33%)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2.00%</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- 22.53% (6.76%)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Corporates</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13.33%</w:t>
            </w: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- 100.00% (96.45%)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5.89%</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- 5.89% (5.89%)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Foreign Governments</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12.14%</w:t>
            </w: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- 12.14% (12.14%)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100.00% - 100.00% (100.00%)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4.80%</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- 14.10% (9.40%)</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Market Comparable</w:t>
            </w:r>
          </w:p>
        </w:tc>
        <w:tc>
          <w:tcPr>
            <w:tcW w:w="20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24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5.8x - 7.5x (7.0x)</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Analysis</w:t>
            </w:r>
          </w:p>
        </w:tc>
        <w:tc>
          <w:tcPr>
            <w:tcW w:w="2060" w:type="dxa"/>
            <w:vAlign w:val="bottom"/>
            <w:gridSpan w:val="2"/>
            <w:vMerge w:val="continue"/>
            <w:shd w:val="clear" w:color="auto" w:fill="CCEEFF"/>
          </w:tcPr>
          <w:p>
            <w:pPr>
              <w:spacing w:after="0"/>
              <w:rPr>
                <w:sz w:val="16"/>
                <w:szCs w:val="16"/>
                <w:color w:val="auto"/>
              </w:rPr>
            </w:pPr>
          </w:p>
        </w:tc>
        <w:tc>
          <w:tcPr>
            <w:tcW w:w="240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1"/>
                <w:szCs w:val="11"/>
                <w:color w:val="auto"/>
              </w:rPr>
            </w:pPr>
          </w:p>
        </w:tc>
        <w:tc>
          <w:tcPr>
            <w:tcW w:w="18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color w:val="auto"/>
              </w:rPr>
              <w:t>Market Comparable</w:t>
            </w: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2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8.7x - 23.6x (14.6x)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Analysis</w:t>
            </w:r>
          </w:p>
        </w:tc>
        <w:tc>
          <w:tcPr>
            <w:tcW w:w="2060" w:type="dxa"/>
            <w:vAlign w:val="bottom"/>
            <w:gridSpan w:val="2"/>
            <w:vMerge w:val="continue"/>
          </w:tcPr>
          <w:p>
            <w:pPr>
              <w:spacing w:after="0"/>
              <w:rPr>
                <w:sz w:val="16"/>
                <w:szCs w:val="16"/>
                <w:color w:val="auto"/>
              </w:rPr>
            </w:pPr>
          </w:p>
        </w:tc>
        <w:tc>
          <w:tcPr>
            <w:tcW w:w="24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MSRs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10.60%</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- 12.00% (11.30%)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Conditional Prepayment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6.24%</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- 11.99% (9.12%)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color w:val="auto"/>
              </w:rPr>
              <w:t>Available-for-sale embedded derivative</w:t>
            </w:r>
          </w:p>
        </w:tc>
        <w:tc>
          <w:tcPr>
            <w:tcW w:w="1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1"/>
                <w:szCs w:val="11"/>
                <w:color w:val="auto"/>
              </w:rPr>
            </w:pP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Black Scholes Model</w:t>
            </w:r>
          </w:p>
        </w:tc>
        <w:tc>
          <w:tcPr>
            <w:tcW w:w="20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color w:val="auto"/>
              </w:rPr>
              <w:t>Market Value of AnchorPath</w:t>
            </w:r>
          </w:p>
        </w:tc>
        <w:tc>
          <w:tcPr>
            <w:tcW w:w="2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Fund</w:t>
            </w:r>
          </w:p>
        </w:tc>
        <w:tc>
          <w:tcPr>
            <w:tcW w:w="24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Loan receivable</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7.22%</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- 7.22% (7.22%)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Volatility</w:t>
            </w: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35.00%</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- 35.00% (35.00%)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Mortality</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80.00%</w:t>
            </w: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- 115.00% (100.00%)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0.25%</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- 30.00% (5.05%)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Partial Withdrawal Rates</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2.00%</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-24.39% (2.48%)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0.48%</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- 0.95% (0.75%)</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50.00%</w:t>
            </w:r>
          </w:p>
        </w:tc>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-75.00% (61.77%)</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financial assets at fair value (a)</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20" w:type="dxa"/>
            <w:vAlign w:val="bottom"/>
            <w:tcBorders>
              <w:top w:val="single" w:sz="8" w:color="CCEEFF"/>
              <w:bottom w:val="single" w:sz="8" w:color="CCEEFF"/>
            </w:tcBorders>
            <w:gridSpan w:val="3"/>
            <w:vMerge w:val="restart"/>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vMerge w:val="continue"/>
          </w:tcPr>
          <w:p>
            <w:pPr>
              <w:spacing w:after="0"/>
              <w:rPr>
                <w:sz w:val="8"/>
                <w:szCs w:val="8"/>
                <w:color w:val="auto"/>
              </w:rPr>
            </w:pPr>
          </w:p>
        </w:tc>
        <w:tc>
          <w:tcPr>
            <w:tcW w:w="3220" w:type="dxa"/>
            <w:vAlign w:val="bottom"/>
            <w:gridSpan w:val="3"/>
            <w:vMerge w:val="continue"/>
          </w:tcPr>
          <w:p>
            <w:pPr>
              <w:spacing w:after="0"/>
              <w:rPr>
                <w:sz w:val="8"/>
                <w:szCs w:val="8"/>
                <w:color w:val="auto"/>
              </w:rPr>
            </w:pPr>
          </w:p>
        </w:tc>
        <w:tc>
          <w:tcPr>
            <w:tcW w:w="1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gridSpan w:val="3"/>
          </w:tcPr>
          <w:p>
            <w:pPr>
              <w:ind w:left="220"/>
              <w:spacing w:after="0" w:line="137" w:lineRule="exact"/>
              <w:rPr>
                <w:sz w:val="20"/>
                <w:szCs w:val="20"/>
                <w:color w:val="auto"/>
              </w:rPr>
            </w:pPr>
            <w:r>
              <w:rPr>
                <w:rFonts w:ascii="Times New Roman" w:cs="Times New Roman" w:eastAsia="Times New Roman" w:hAnsi="Times New Roman"/>
                <w:sz w:val="14"/>
                <w:szCs w:val="14"/>
                <w:color w:val="auto"/>
              </w:rPr>
              <w:t>Indexed annuities/ IUL embedded derivatives,</w:t>
            </w:r>
          </w:p>
        </w:tc>
        <w:tc>
          <w:tcPr>
            <w:tcW w:w="1180" w:type="dxa"/>
            <w:vAlign w:val="bottom"/>
            <w:vMerge w:val="restart"/>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100" w:type="dxa"/>
            <w:vAlign w:val="bottom"/>
          </w:tcPr>
          <w:p>
            <w:pPr>
              <w:spacing w:after="0"/>
              <w:rPr>
                <w:sz w:val="11"/>
                <w:szCs w:val="11"/>
                <w:color w:val="auto"/>
              </w:rPr>
            </w:pP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Market Value of Option</w:t>
            </w: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9"/>
              </w:rPr>
              <w:t>0.00%</w:t>
            </w:r>
          </w:p>
        </w:tc>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- 20.81% (2.92%)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included in Contractholder funds</w:t>
            </w:r>
          </w:p>
        </w:tc>
        <w:tc>
          <w:tcPr>
            <w:tcW w:w="118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- 115.00% (100.00%)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0.25%</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- 50.00% (6.94%)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Partial Withdrawals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2.00%</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- 35.71% (2.72%)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0.48%</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- 0.95% (0.75%)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Cost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0.07%</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- 5.70% (2.68%)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gridSpan w:val="3"/>
          </w:tcPr>
          <w:p>
            <w:pPr>
              <w:spacing w:after="0" w:line="137" w:lineRule="exact"/>
              <w:rPr>
                <w:sz w:val="20"/>
                <w:szCs w:val="20"/>
                <w:color w:val="auto"/>
              </w:rPr>
            </w:pPr>
            <w:r>
              <w:rPr>
                <w:rFonts w:ascii="Times New Roman" w:cs="Times New Roman" w:eastAsia="Times New Roman" w:hAnsi="Times New Roman"/>
                <w:sz w:val="14"/>
                <w:szCs w:val="14"/>
                <w:color w:val="auto"/>
              </w:rPr>
              <w:t>Contingent consideration, included in Accounts payable</w:t>
            </w:r>
          </w:p>
        </w:tc>
        <w:tc>
          <w:tcPr>
            <w:tcW w:w="1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1"/>
                <w:szCs w:val="11"/>
                <w:color w:val="auto"/>
              </w:rPr>
            </w:pP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13.50%</w:t>
            </w:r>
          </w:p>
        </w:tc>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- 13.50% (13.50%)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and accrued liabilities</w:t>
            </w:r>
          </w:p>
        </w:tc>
        <w:tc>
          <w:tcPr>
            <w:tcW w:w="11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 Volatility</w:t>
            </w: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35.00%</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- 35.00% (35.00%)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Counterparty 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6.50%</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- 6.50% (6.50%)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w:t>
            </w: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- 115.00% (100.00%)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0.25%</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- 30.00% (5.05%)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Partial Withdrawal Rates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2.00%</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- 24.39% (2.48%)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0.48%</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- 0.95% (0.75%)</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- 75.00% (61.77%)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118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firstLine="6"/>
        <w:spacing w:after="0" w:line="271" w:lineRule="auto"/>
        <w:tabs>
          <w:tab w:leader="none" w:pos="1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of $10,301 million for which significant quantitative unobservable inputs are not developed internally and not readily available to the Company (primarily those valued using broker quotes and certain third-party pricing services) are excluded from the respective totals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4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tables summarize changes to the Company’s financial instruments carried at fair value and classified within Level 3 of the fair value hierarchy for the three and nine months ended September 30, 2025 and 2024. The gains and losses below may include changes in fair value due in part to observable inputs that are a component of the valuation methodology.</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100" w:type="dxa"/>
            <w:vAlign w:val="bottom"/>
          </w:tcPr>
          <w:p>
            <w:pPr>
              <w:spacing w:after="0"/>
              <w:rPr>
                <w:sz w:val="4"/>
                <w:szCs w:val="4"/>
                <w:color w:val="auto"/>
              </w:rPr>
            </w:pPr>
          </w:p>
        </w:tc>
        <w:tc>
          <w:tcPr>
            <w:tcW w:w="7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100" w:type="dxa"/>
            <w:vAlign w:val="bottom"/>
          </w:tcPr>
          <w:p>
            <w:pPr>
              <w:spacing w:after="0"/>
              <w:rPr>
                <w:sz w:val="12"/>
                <w:szCs w:val="12"/>
                <w:color w:val="auto"/>
              </w:rPr>
            </w:pPr>
          </w:p>
        </w:tc>
        <w:tc>
          <w:tcPr>
            <w:tcW w:w="840" w:type="dxa"/>
            <w:vAlign w:val="bottom"/>
            <w:gridSpan w:val="2"/>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100" w:type="dxa"/>
            <w:vAlign w:val="bottom"/>
          </w:tcPr>
          <w:p>
            <w:pPr>
              <w:spacing w:after="0"/>
              <w:rPr>
                <w:sz w:val="12"/>
                <w:szCs w:val="12"/>
                <w:color w:val="auto"/>
              </w:rPr>
            </w:pPr>
          </w:p>
        </w:tc>
        <w:tc>
          <w:tcPr>
            <w:tcW w:w="720" w:type="dxa"/>
            <w:vAlign w:val="bottom"/>
          </w:tcPr>
          <w:p>
            <w:pPr>
              <w:jc w:val="right"/>
              <w:ind w:right="129"/>
              <w:spacing w:after="0" w:line="146"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w w:val="99"/>
              </w:rPr>
              <w:t>Included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8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38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Fixed maturity securities available-for-</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8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9,361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ind w:left="200"/>
              <w:spacing w:after="0" w:line="140" w:lineRule="exact"/>
              <w:rPr>
                <w:sz w:val="20"/>
                <w:szCs w:val="20"/>
                <w:color w:val="auto"/>
              </w:rPr>
            </w:pPr>
            <w:r>
              <w:rPr>
                <w:rFonts w:ascii="Times New Roman" w:cs="Times New Roman" w:eastAsia="Times New Roman" w:hAnsi="Times New Roman"/>
                <w:sz w:val="14"/>
                <w:szCs w:val="14"/>
                <w:color w:val="auto"/>
              </w:rPr>
              <w:t>Commercial mortgage-backed</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8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2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8"/>
              </w:rPr>
              <w:t>(112)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Hybrids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8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12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ind w:left="200"/>
              <w:spacing w:after="0" w:line="140" w:lineRule="exact"/>
              <w:rPr>
                <w:sz w:val="20"/>
                <w:szCs w:val="20"/>
                <w:color w:val="auto"/>
              </w:rPr>
            </w:pPr>
            <w:r>
              <w:rPr>
                <w:rFonts w:ascii="Times New Roman" w:cs="Times New Roman" w:eastAsia="Times New Roman" w:hAnsi="Times New Roman"/>
                <w:sz w:val="14"/>
                <w:szCs w:val="14"/>
                <w:color w:val="auto"/>
              </w:rPr>
              <w:t>Residential mortgage-backed</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8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2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Short term investments</w:t>
            </w:r>
          </w:p>
        </w:tc>
        <w:tc>
          <w:tcPr>
            <w:tcW w:w="12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gridSpan w:val="3"/>
          </w:tcPr>
          <w:p>
            <w:pPr>
              <w:ind w:left="200"/>
              <w:spacing w:after="0" w:line="133" w:lineRule="exact"/>
              <w:rPr>
                <w:sz w:val="20"/>
                <w:szCs w:val="20"/>
                <w:color w:val="auto"/>
              </w:rPr>
            </w:pPr>
            <w:r>
              <w:rPr>
                <w:rFonts w:ascii="Times New Roman" w:cs="Times New Roman" w:eastAsia="Times New Roman" w:hAnsi="Times New Roman"/>
                <w:sz w:val="14"/>
                <w:szCs w:val="14"/>
                <w:color w:val="auto"/>
              </w:rPr>
              <w:t>Available-for-sale embedded</w:t>
            </w:r>
          </w:p>
        </w:tc>
        <w:tc>
          <w:tcPr>
            <w:tcW w:w="120" w:type="dxa"/>
            <w:vAlign w:val="bottom"/>
          </w:tcPr>
          <w:p>
            <w:pPr>
              <w:spacing w:after="0"/>
              <w:rPr>
                <w:sz w:val="11"/>
                <w:szCs w:val="11"/>
                <w:color w:val="auto"/>
              </w:rPr>
            </w:pP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8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derivative</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Credit linked note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Loan receivable (b)</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MSRs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20" w:type="dxa"/>
            <w:vAlign w:val="bottom"/>
            <w:shd w:val="clear" w:color="auto" w:fill="CCEEFF"/>
          </w:tcPr>
          <w:p>
            <w:pPr>
              <w:spacing w:after="0"/>
              <w:rPr>
                <w:sz w:val="10"/>
                <w:szCs w:val="10"/>
                <w:color w:val="auto"/>
              </w:rPr>
            </w:pPr>
          </w:p>
        </w:tc>
        <w:tc>
          <w:tcPr>
            <w:tcW w:w="2380" w:type="dxa"/>
            <w:vAlign w:val="bottom"/>
            <w:gridSpan w:val="3"/>
            <w:shd w:val="clear" w:color="auto" w:fill="CCEEFF"/>
          </w:tcPr>
          <w:p>
            <w:pPr>
              <w:ind w:left="320"/>
              <w:spacing w:after="0" w:line="119" w:lineRule="exact"/>
              <w:rPr>
                <w:sz w:val="20"/>
                <w:szCs w:val="20"/>
                <w:color w:val="auto"/>
              </w:rPr>
            </w:pPr>
            <w:r>
              <w:rPr>
                <w:rFonts w:ascii="Times New Roman" w:cs="Times New Roman" w:eastAsia="Times New Roman" w:hAnsi="Times New Roman"/>
                <w:sz w:val="13"/>
                <w:szCs w:val="13"/>
                <w:b w:val="1"/>
                <w:bCs w:val="1"/>
                <w:color w:val="auto"/>
              </w:rPr>
              <w:t>Subtotal Level 3 assets at fair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13,059</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13,360</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3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Market risk benefits asset (c)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13,272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380" w:type="dxa"/>
            <w:vAlign w:val="bottom"/>
            <w:tcBorders>
              <w:top w:val="single" w:sz="8" w:color="CCEEFF"/>
              <w:bottom w:val="single" w:sz="8" w:color="CCEEFF"/>
            </w:tcBorders>
            <w:gridSpan w:val="3"/>
            <w:vMerge w:val="restart"/>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vMerge w:val="continue"/>
          </w:tcPr>
          <w:p>
            <w:pPr>
              <w:spacing w:after="0"/>
              <w:rPr>
                <w:sz w:val="8"/>
                <w:szCs w:val="8"/>
                <w:color w:val="auto"/>
              </w:rPr>
            </w:pPr>
          </w:p>
        </w:tc>
        <w:tc>
          <w:tcPr>
            <w:tcW w:w="23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gridSpan w:val="3"/>
          </w:tcPr>
          <w:p>
            <w:pPr>
              <w:ind w:left="80"/>
              <w:spacing w:after="0" w:line="133" w:lineRule="exact"/>
              <w:rPr>
                <w:sz w:val="20"/>
                <w:szCs w:val="20"/>
                <w:color w:val="auto"/>
              </w:rPr>
            </w:pPr>
            <w:r>
              <w:rPr>
                <w:rFonts w:ascii="Times New Roman" w:cs="Times New Roman" w:eastAsia="Times New Roman" w:hAnsi="Times New Roman"/>
                <w:sz w:val="14"/>
                <w:szCs w:val="14"/>
                <w:color w:val="auto"/>
              </w:rPr>
              <w:t>Indexed annuities/ IUL embedded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8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color w:val="auto"/>
              </w:rPr>
              <w:t>derivatives, included in Contractholder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5,727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3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funds</w:t>
            </w:r>
          </w:p>
        </w:tc>
        <w:tc>
          <w:tcPr>
            <w:tcW w:w="1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380" w:type="dxa"/>
            <w:vAlign w:val="bottom"/>
            <w:gridSpan w:val="3"/>
            <w:shd w:val="clear" w:color="auto" w:fill="CCEEFF"/>
          </w:tcPr>
          <w:p>
            <w:pPr>
              <w:ind w:left="80"/>
              <w:spacing w:after="0" w:line="133" w:lineRule="exact"/>
              <w:rPr>
                <w:sz w:val="20"/>
                <w:szCs w:val="20"/>
                <w:color w:val="auto"/>
              </w:rPr>
            </w:pPr>
            <w:r>
              <w:rPr>
                <w:rFonts w:ascii="Times New Roman" w:cs="Times New Roman" w:eastAsia="Times New Roman" w:hAnsi="Times New Roman"/>
                <w:sz w:val="14"/>
                <w:szCs w:val="14"/>
                <w:color w:val="auto"/>
              </w:rPr>
              <w:t>Foreign currency swaps, included in</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gridSpan w:val="3"/>
          </w:tcPr>
          <w:p>
            <w:pPr>
              <w:spacing w:after="0" w:line="133" w:lineRule="exact"/>
              <w:rPr>
                <w:sz w:val="20"/>
                <w:szCs w:val="20"/>
                <w:color w:val="auto"/>
              </w:rPr>
            </w:pPr>
            <w:r>
              <w:rPr>
                <w:rFonts w:ascii="Times New Roman" w:cs="Times New Roman" w:eastAsia="Times New Roman" w:hAnsi="Times New Roman"/>
                <w:sz w:val="14"/>
                <w:szCs w:val="14"/>
                <w:color w:val="auto"/>
              </w:rPr>
              <w:t>Contingent consideration, included in</w:t>
            </w:r>
          </w:p>
        </w:tc>
        <w:tc>
          <w:tcPr>
            <w:tcW w:w="120" w:type="dxa"/>
            <w:vAlign w:val="bottom"/>
          </w:tcPr>
          <w:p>
            <w:pPr>
              <w:spacing w:after="0"/>
              <w:rPr>
                <w:sz w:val="11"/>
                <w:szCs w:val="11"/>
                <w:color w:val="auto"/>
              </w:rPr>
            </w:pP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shd w:val="clear" w:color="auto" w:fill="CCEEFF"/>
          </w:tcPr>
          <w:p>
            <w:pPr>
              <w:spacing w:after="0"/>
              <w:rPr>
                <w:sz w:val="10"/>
                <w:szCs w:val="10"/>
                <w:color w:val="auto"/>
              </w:rPr>
            </w:pPr>
          </w:p>
        </w:tc>
        <w:tc>
          <w:tcPr>
            <w:tcW w:w="2380" w:type="dxa"/>
            <w:vAlign w:val="bottom"/>
            <w:gridSpan w:val="3"/>
            <w:shd w:val="clear" w:color="auto" w:fill="CCEEFF"/>
          </w:tcPr>
          <w:p>
            <w:pPr>
              <w:ind w:left="320"/>
              <w:spacing w:after="0" w:line="119" w:lineRule="exact"/>
              <w:rPr>
                <w:sz w:val="20"/>
                <w:szCs w:val="20"/>
                <w:color w:val="auto"/>
              </w:rPr>
            </w:pPr>
            <w:r>
              <w:rPr>
                <w:rFonts w:ascii="Times New Roman" w:cs="Times New Roman" w:eastAsia="Times New Roman" w:hAnsi="Times New Roman"/>
                <w:sz w:val="13"/>
                <w:szCs w:val="13"/>
                <w:b w:val="1"/>
                <w:bCs w:val="1"/>
                <w:color w:val="auto"/>
              </w:rPr>
              <w:t>Subtotal Level 3 liabilities at fair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5,799</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6,161</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3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Market risk benefits liability (c)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shd w:val="clear" w:color="auto" w:fill="CCEEFF"/>
          </w:tcPr>
          <w:p>
            <w:pPr>
              <w:spacing w:after="0"/>
              <w:rPr>
                <w:sz w:val="10"/>
                <w:szCs w:val="10"/>
                <w:color w:val="auto"/>
              </w:rPr>
            </w:pPr>
          </w:p>
        </w:tc>
        <w:tc>
          <w:tcPr>
            <w:tcW w:w="2380" w:type="dxa"/>
            <w:vAlign w:val="bottom"/>
            <w:gridSpan w:val="3"/>
            <w:shd w:val="clear" w:color="auto" w:fill="CCEEFF"/>
          </w:tcPr>
          <w:p>
            <w:pPr>
              <w:ind w:left="320"/>
              <w:spacing w:after="0" w:line="119" w:lineRule="exact"/>
              <w:rPr>
                <w:sz w:val="20"/>
                <w:szCs w:val="20"/>
                <w:color w:val="auto"/>
              </w:rPr>
            </w:pPr>
            <w:r>
              <w:rPr>
                <w:rFonts w:ascii="Times New Roman" w:cs="Times New Roman" w:eastAsia="Times New Roman" w:hAnsi="Times New Roman"/>
                <w:sz w:val="13"/>
                <w:szCs w:val="13"/>
                <w:b w:val="1"/>
                <w:bCs w:val="1"/>
                <w:color w:val="auto"/>
              </w:rPr>
              <w:t>Total Level 3 liabilities at fair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6,510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3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00" w:hanging="194"/>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transfers out of Level 3 during the three months ended September 30, 2025 were exclusively into Level 2.</w:t>
      </w:r>
    </w:p>
    <w:p>
      <w:pPr>
        <w:spacing w:after="0" w:line="62"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Purchases represent advances on the loan commitment to Roar. Refer to Note F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for further details.</w:t>
      </w:r>
    </w:p>
    <w:p>
      <w:pPr>
        <w:spacing w:after="0" w:line="6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O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for roll forward activity of the net Market Risk Benefits Asset and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80" w:type="dxa"/>
            <w:vAlign w:val="bottom"/>
          </w:tcPr>
          <w:p>
            <w:pPr>
              <w:spacing w:after="0"/>
              <w:rPr>
                <w:sz w:val="13"/>
                <w:szCs w:val="13"/>
                <w:color w:val="auto"/>
              </w:rPr>
            </w:pP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9"/>
              <w:spacing w:after="0" w:line="15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80" w:type="dxa"/>
            <w:vAlign w:val="bottom"/>
          </w:tcPr>
          <w:p>
            <w:pPr>
              <w:spacing w:after="0"/>
              <w:rPr>
                <w:sz w:val="12"/>
                <w:szCs w:val="12"/>
                <w:color w:val="auto"/>
              </w:rPr>
            </w:pPr>
          </w:p>
        </w:tc>
        <w:tc>
          <w:tcPr>
            <w:tcW w:w="860" w:type="dxa"/>
            <w:vAlign w:val="bottom"/>
            <w:gridSpan w:val="2"/>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80" w:type="dxa"/>
            <w:vAlign w:val="bottom"/>
          </w:tcPr>
          <w:p>
            <w:pPr>
              <w:spacing w:after="0"/>
              <w:rPr>
                <w:sz w:val="12"/>
                <w:szCs w:val="12"/>
                <w:color w:val="auto"/>
              </w:rPr>
            </w:pPr>
          </w:p>
        </w:tc>
        <w:tc>
          <w:tcPr>
            <w:tcW w:w="740" w:type="dxa"/>
            <w:vAlign w:val="bottom"/>
          </w:tcPr>
          <w:p>
            <w:pPr>
              <w:jc w:val="right"/>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2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Fixed maturity securities available-for-</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Commercial mortgage-backed</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Residential mortgage-backed</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 unconsolidated affiliates (b)</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Short term investments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 investments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MSRs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20" w:type="dxa"/>
            <w:vAlign w:val="bottom"/>
            <w:gridSpan w:val="3"/>
          </w:tcPr>
          <w:p>
            <w:pPr>
              <w:ind w:left="200"/>
              <w:spacing w:after="0" w:line="137" w:lineRule="exact"/>
              <w:rPr>
                <w:sz w:val="20"/>
                <w:szCs w:val="20"/>
                <w:color w:val="auto"/>
              </w:rPr>
            </w:pPr>
            <w:r>
              <w:rPr>
                <w:rFonts w:ascii="Times New Roman" w:cs="Times New Roman" w:eastAsia="Times New Roman" w:hAnsi="Times New Roman"/>
                <w:sz w:val="14"/>
                <w:szCs w:val="14"/>
                <w:color w:val="auto"/>
              </w:rPr>
              <w:t>Available-for-sale embedded</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center"/>
              <w:ind w:left="2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derivative</w:t>
            </w: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Credit linked note</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20" w:type="dxa"/>
            <w:vAlign w:val="bottom"/>
            <w:gridSpan w:val="3"/>
          </w:tcPr>
          <w:p>
            <w:pPr>
              <w:ind w:left="320"/>
              <w:spacing w:after="0" w:line="114" w:lineRule="exact"/>
              <w:rPr>
                <w:sz w:val="20"/>
                <w:szCs w:val="20"/>
                <w:color w:val="auto"/>
              </w:rPr>
            </w:pPr>
            <w:r>
              <w:rPr>
                <w:rFonts w:ascii="Times New Roman" w:cs="Times New Roman" w:eastAsia="Times New Roman" w:hAnsi="Times New Roman"/>
                <w:sz w:val="13"/>
                <w:szCs w:val="13"/>
                <w:b w:val="1"/>
                <w:bCs w:val="1"/>
                <w:color w:val="auto"/>
              </w:rPr>
              <w:t>Subtotal Level 3 assets at fair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10,965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9"/>
                <w:szCs w:val="9"/>
                <w:color w:val="auto"/>
              </w:rPr>
            </w:pP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center"/>
              <w:ind w:left="329"/>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11,462</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asset (c)</w:t>
            </w: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shd w:val="clear" w:color="auto" w:fill="CCEEFF"/>
          </w:tcPr>
          <w:p>
            <w:pPr>
              <w:spacing w:after="0"/>
              <w:rPr>
                <w:sz w:val="9"/>
                <w:szCs w:val="9"/>
                <w:color w:val="auto"/>
              </w:rPr>
            </w:pPr>
          </w:p>
        </w:tc>
        <w:tc>
          <w:tcPr>
            <w:tcW w:w="2420" w:type="dxa"/>
            <w:vAlign w:val="bottom"/>
            <w:gridSpan w:val="3"/>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184"/>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Derivatives:</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260" w:type="dxa"/>
            <w:vAlign w:val="bottom"/>
          </w:tcPr>
          <w:p>
            <w:pPr>
              <w:ind w:left="220"/>
              <w:spacing w:after="0" w:line="151" w:lineRule="exact"/>
              <w:rPr>
                <w:sz w:val="20"/>
                <w:szCs w:val="20"/>
                <w:color w:val="auto"/>
              </w:rPr>
            </w:pPr>
            <w:r>
              <w:rPr>
                <w:rFonts w:ascii="Times New Roman" w:cs="Times New Roman" w:eastAsia="Times New Roman" w:hAnsi="Times New Roman"/>
                <w:sz w:val="14"/>
                <w:szCs w:val="14"/>
                <w:color w:val="auto"/>
              </w:rPr>
              <w:t>Indexed annuities/IUL embedded</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6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derivatives, included in</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2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contractholder funds</w:t>
            </w: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100" w:right="140"/>
        <w:spacing w:after="0" w:line="246" w:lineRule="auto"/>
        <w:rPr>
          <w:sz w:val="20"/>
          <w:szCs w:val="20"/>
          <w:color w:val="auto"/>
        </w:rPr>
      </w:pPr>
      <w:r>
        <w:rPr>
          <w:rFonts w:ascii="Times New Roman" w:cs="Times New Roman" w:eastAsia="Times New Roman" w:hAnsi="Times New Roman"/>
          <w:sz w:val="14"/>
          <w:szCs w:val="14"/>
          <w:color w:val="auto"/>
        </w:rPr>
        <w:t>Interest rate swaps, included in Accounts payable and accrued liabilities</w:t>
      </w:r>
    </w:p>
    <w:p>
      <w:pPr>
        <w:spacing w:after="0" w:line="1" w:lineRule="exact"/>
        <w:rPr>
          <w:sz w:val="20"/>
          <w:szCs w:val="20"/>
          <w:color w:val="auto"/>
        </w:rPr>
      </w:pPr>
    </w:p>
    <w:p>
      <w:pPr>
        <w:ind w:left="20" w:right="220"/>
        <w:spacing w:after="0" w:line="251" w:lineRule="auto"/>
        <w:rPr>
          <w:sz w:val="20"/>
          <w:szCs w:val="20"/>
          <w:color w:val="auto"/>
        </w:rPr>
      </w:pPr>
      <w:r>
        <w:rPr>
          <w:rFonts w:ascii="Times New Roman" w:cs="Times New Roman" w:eastAsia="Times New Roman" w:hAnsi="Times New Roman"/>
          <w:sz w:val="14"/>
          <w:szCs w:val="14"/>
          <w:color w:val="auto"/>
        </w:rPr>
        <w:t>Contingent consideration, included in Accounts payable and accrued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5"/>
              </w:rPr>
              <w:t>4,848</w:t>
            </w:r>
          </w:p>
        </w:tc>
        <w:tc>
          <w:tcPr>
            <w:tcW w:w="3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308</w:t>
            </w:r>
          </w:p>
        </w:tc>
        <w:tc>
          <w:tcPr>
            <w:tcW w:w="4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390</w:t>
            </w:r>
          </w:p>
        </w:tc>
        <w:tc>
          <w:tcPr>
            <w:tcW w:w="4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(135)</w:t>
            </w:r>
          </w:p>
        </w:tc>
        <w:tc>
          <w:tcPr>
            <w:tcW w:w="3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5,411</w:t>
            </w:r>
          </w:p>
        </w:tc>
        <w:tc>
          <w:tcPr>
            <w:tcW w:w="5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w:t>
            </w:r>
          </w:p>
        </w:tc>
      </w:tr>
      <w:tr>
        <w:trPr>
          <w:trHeight w:val="331"/>
        </w:trPr>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w:t>
            </w:r>
          </w:p>
        </w:tc>
        <w:tc>
          <w:tcPr>
            <w:tcW w:w="380" w:type="dxa"/>
            <w:vAlign w:val="bottom"/>
          </w:tcPr>
          <w:p>
            <w:pPr>
              <w:spacing w:after="0"/>
              <w:rPr>
                <w:sz w:val="24"/>
                <w:szCs w:val="24"/>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880" w:type="dxa"/>
            <w:vAlign w:val="bottom"/>
            <w:gridSpan w:val="2"/>
          </w:tcPr>
          <w:p>
            <w:pPr>
              <w:jc w:val="right"/>
              <w:ind w:right="329"/>
              <w:spacing w:after="0"/>
              <w:rPr>
                <w:sz w:val="20"/>
                <w:szCs w:val="20"/>
                <w:color w:val="auto"/>
              </w:rPr>
            </w:pPr>
            <w:r>
              <w:rPr>
                <w:rFonts w:ascii="Times New Roman" w:cs="Times New Roman" w:eastAsia="Times New Roman" w:hAnsi="Times New Roman"/>
                <w:sz w:val="14"/>
                <w:szCs w:val="14"/>
                <w:color w:val="auto"/>
              </w:rPr>
              <w:t>(28)</w:t>
            </w: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31"/>
        </w:trPr>
        <w:tc>
          <w:tcPr>
            <w:tcW w:w="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63</w:t>
            </w:r>
          </w:p>
        </w:tc>
        <w:tc>
          <w:tcPr>
            <w:tcW w:w="380" w:type="dxa"/>
            <w:vAlign w:val="bottom"/>
          </w:tcPr>
          <w:p>
            <w:pPr>
              <w:spacing w:after="0"/>
              <w:rPr>
                <w:sz w:val="24"/>
                <w:szCs w:val="24"/>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44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69</w:t>
            </w:r>
          </w:p>
        </w:tc>
        <w:tc>
          <w:tcPr>
            <w:tcW w:w="540" w:type="dxa"/>
            <w:vAlign w:val="bottom"/>
          </w:tcPr>
          <w:p>
            <w:pPr>
              <w:spacing w:after="0"/>
              <w:rPr>
                <w:sz w:val="24"/>
                <w:szCs w:val="24"/>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-707390</wp:posOffset>
            </wp:positionV>
            <wp:extent cx="7134860" cy="302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302895"/>
                    </a:xfrm>
                    <a:prstGeom prst="rect">
                      <a:avLst/>
                    </a:prstGeom>
                    <a:noFill/>
                  </pic:spPr>
                </pic:pic>
              </a:graphicData>
            </a:graphic>
          </wp:anchor>
        </w:drawing>
        <w:drawing>
          <wp:anchor simplePos="0" relativeHeight="251657728" behindDoc="1" locked="0" layoutInCell="0" allowOverlap="1">
            <wp:simplePos x="0" y="0"/>
            <wp:positionH relativeFrom="column">
              <wp:posOffset>-1875155</wp:posOffset>
            </wp:positionH>
            <wp:positionV relativeFrom="paragraph">
              <wp:posOffset>-194310</wp:posOffset>
            </wp:positionV>
            <wp:extent cx="7134860" cy="2101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21018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2520" w:space="440"/>
            <w:col w:w="82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44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4"/>
                <w:szCs w:val="14"/>
                <w:b w:val="1"/>
                <w:bCs w:val="1"/>
                <w:color w:val="auto"/>
              </w:rPr>
              <w:t>Subtotal Level 3 liabilities at fair</w:t>
            </w: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440" w:type="dxa"/>
            <w:vAlign w:val="bottom"/>
            <w:vMerge w:val="continue"/>
          </w:tcPr>
          <w:p>
            <w:pPr>
              <w:spacing w:after="0"/>
              <w:rPr>
                <w:sz w:val="9"/>
                <w:szCs w:val="9"/>
                <w:color w:val="auto"/>
              </w:rPr>
            </w:pPr>
          </w:p>
        </w:tc>
        <w:tc>
          <w:tcPr>
            <w:tcW w:w="3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4,939</w:t>
            </w:r>
          </w:p>
        </w:tc>
        <w:tc>
          <w:tcPr>
            <w:tcW w:w="120" w:type="dxa"/>
            <w:vAlign w:val="bottom"/>
            <w:vMerge w:val="restart"/>
          </w:tcPr>
          <w:p>
            <w:pPr>
              <w:spacing w:after="0"/>
              <w:rPr>
                <w:sz w:val="9"/>
                <w:szCs w:val="9"/>
                <w:color w:val="auto"/>
              </w:rPr>
            </w:pPr>
          </w:p>
        </w:tc>
        <w:tc>
          <w:tcPr>
            <w:tcW w:w="3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9"/>
                <w:szCs w:val="9"/>
                <w:color w:val="auto"/>
              </w:rPr>
            </w:pPr>
          </w:p>
        </w:tc>
        <w:tc>
          <w:tcPr>
            <w:tcW w:w="3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9"/>
                <w:szCs w:val="9"/>
                <w:color w:val="auto"/>
              </w:rPr>
            </w:pPr>
          </w:p>
        </w:tc>
        <w:tc>
          <w:tcPr>
            <w:tcW w:w="3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9"/>
                <w:szCs w:val="9"/>
                <w:color w:val="auto"/>
              </w:rPr>
            </w:pPr>
          </w:p>
        </w:tc>
        <w:tc>
          <w:tcPr>
            <w:tcW w:w="32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9"/>
                <w:szCs w:val="9"/>
                <w:color w:val="auto"/>
              </w:rPr>
            </w:pPr>
          </w:p>
        </w:tc>
        <w:tc>
          <w:tcPr>
            <w:tcW w:w="2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5,480</w:t>
            </w:r>
          </w:p>
        </w:tc>
        <w:tc>
          <w:tcPr>
            <w:tcW w:w="5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4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liability (c)</w:t>
            </w:r>
          </w:p>
        </w:tc>
        <w:tc>
          <w:tcPr>
            <w:tcW w:w="3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440" w:type="dxa"/>
            <w:vAlign w:val="bottom"/>
          </w:tcPr>
          <w:p>
            <w:pPr>
              <w:ind w:left="340"/>
              <w:spacing w:after="0" w:line="114" w:lineRule="exact"/>
              <w:rPr>
                <w:sz w:val="20"/>
                <w:szCs w:val="20"/>
                <w:color w:val="auto"/>
              </w:rPr>
            </w:pPr>
            <w:r>
              <w:rPr>
                <w:rFonts w:ascii="Times New Roman" w:cs="Times New Roman" w:eastAsia="Times New Roman" w:hAnsi="Times New Roman"/>
                <w:sz w:val="13"/>
                <w:szCs w:val="13"/>
                <w:b w:val="1"/>
                <w:bCs w:val="1"/>
                <w:color w:val="auto"/>
              </w:rPr>
              <w:t>Total Level 3 liabilities at fair</w:t>
            </w:r>
          </w:p>
        </w:tc>
        <w:tc>
          <w:tcPr>
            <w:tcW w:w="3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5,398</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200" w:hanging="194"/>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transfers out of Level 3 during the three months ended September 30, 2024 were exclusively to Level 2.</w:t>
      </w:r>
    </w:p>
    <w:p>
      <w:pPr>
        <w:spacing w:after="0" w:line="1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out of investments in unconsolidated affiliates represents F&amp;G’s 30% ownership of PALH LLC prior to the acquisition on July 18, 2024.</w:t>
      </w:r>
    </w:p>
    <w:p>
      <w:pPr>
        <w:spacing w:after="0" w:line="46"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O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for roll forward activity of the net Market risk benefits asset and liability.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Net transfer</w:t>
            </w:r>
          </w:p>
        </w:tc>
        <w:tc>
          <w:tcPr>
            <w:tcW w:w="100" w:type="dxa"/>
            <w:vAlign w:val="bottom"/>
          </w:tcPr>
          <w:p>
            <w:pPr>
              <w:spacing w:after="0"/>
              <w:rPr>
                <w:sz w:val="24"/>
                <w:szCs w:val="24"/>
                <w:color w:val="auto"/>
              </w:rPr>
            </w:pPr>
          </w:p>
        </w:tc>
        <w:tc>
          <w:tcPr>
            <w:tcW w:w="7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9"/>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100" w:type="dxa"/>
            <w:vAlign w:val="bottom"/>
          </w:tcPr>
          <w:p>
            <w:pPr>
              <w:spacing w:after="0"/>
              <w:rPr>
                <w:sz w:val="12"/>
                <w:szCs w:val="12"/>
                <w:color w:val="auto"/>
              </w:rPr>
            </w:pPr>
          </w:p>
        </w:tc>
        <w:tc>
          <w:tcPr>
            <w:tcW w:w="720" w:type="dxa"/>
            <w:vAlign w:val="bottom"/>
          </w:tcPr>
          <w:p>
            <w:pPr>
              <w:jc w:val="right"/>
              <w:ind w:right="129"/>
              <w:spacing w:after="0" w:line="146"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w w:val="99"/>
              </w:rPr>
              <w:t>Included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OCI</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4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Hybrids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 investments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 term investments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MSRs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Loan receivable (b)</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Available-for-sale embedded derivative</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540" w:type="dxa"/>
            <w:vAlign w:val="bottom"/>
            <w:tcBorders>
              <w:top w:val="single" w:sz="8" w:color="CCEEFF"/>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Subtotal Level 3 assets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Market risk benefits asset (c)</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540" w:type="dxa"/>
            <w:vAlign w:val="bottom"/>
            <w:tcBorders>
              <w:top w:val="single" w:sz="8" w:color="CCEEFF"/>
              <w:bottom w:val="single" w:sz="8" w:color="CCEEFF"/>
            </w:tcBorders>
            <w:gridSpan w:val="3"/>
            <w:vMerge w:val="restart"/>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vMerge w:val="continue"/>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540" w:type="dxa"/>
            <w:vAlign w:val="bottom"/>
            <w:gridSpan w:val="3"/>
            <w:shd w:val="clear" w:color="auto" w:fill="CCEEFF"/>
          </w:tcPr>
          <w:p>
            <w:pPr>
              <w:ind w:left="200"/>
              <w:spacing w:after="0" w:line="137" w:lineRule="exact"/>
              <w:rPr>
                <w:sz w:val="20"/>
                <w:szCs w:val="20"/>
                <w:color w:val="auto"/>
              </w:rPr>
            </w:pPr>
            <w:r>
              <w:rPr>
                <w:rFonts w:ascii="Times New Roman" w:cs="Times New Roman" w:eastAsia="Times New Roman" w:hAnsi="Times New Roman"/>
                <w:sz w:val="14"/>
                <w:szCs w:val="14"/>
                <w:color w:val="auto"/>
              </w:rPr>
              <w:t>Indexed annuity/ IUL embedded</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40" w:type="dxa"/>
            <w:vAlign w:val="bottom"/>
            <w:gridSpan w:val="3"/>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derivatives, included in contractholder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funds</w:t>
            </w: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40" w:type="dxa"/>
            <w:vAlign w:val="bottom"/>
            <w:gridSpan w:val="3"/>
          </w:tcPr>
          <w:p>
            <w:pPr>
              <w:ind w:left="200"/>
              <w:spacing w:after="0" w:line="137" w:lineRule="exact"/>
              <w:rPr>
                <w:sz w:val="20"/>
                <w:szCs w:val="20"/>
                <w:color w:val="auto"/>
              </w:rPr>
            </w:pPr>
            <w:r>
              <w:rPr>
                <w:rFonts w:ascii="Times New Roman" w:cs="Times New Roman" w:eastAsia="Times New Roman" w:hAnsi="Times New Roman"/>
                <w:sz w:val="14"/>
                <w:szCs w:val="14"/>
                <w:color w:val="auto"/>
              </w:rPr>
              <w:t>Foreign currency swaps and other</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derivative instruments</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4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Contingent consideration, included in</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40" w:type="dxa"/>
            <w:vAlign w:val="bottom"/>
            <w:gridSpan w:val="3"/>
          </w:tcPr>
          <w:p>
            <w:pPr>
              <w:ind w:left="320"/>
              <w:spacing w:after="0" w:line="114" w:lineRule="exact"/>
              <w:rPr>
                <w:sz w:val="20"/>
                <w:szCs w:val="20"/>
                <w:color w:val="auto"/>
              </w:rPr>
            </w:pPr>
            <w:r>
              <w:rPr>
                <w:rFonts w:ascii="Times New Roman" w:cs="Times New Roman" w:eastAsia="Times New Roman" w:hAnsi="Times New Roman"/>
                <w:sz w:val="13"/>
                <w:szCs w:val="13"/>
                <w:b w:val="1"/>
                <w:bCs w:val="1"/>
                <w:color w:val="auto"/>
              </w:rPr>
              <w:t>Subtotal Level 3 liabilities at fair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6,161</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liability (c)</w:t>
            </w: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liabilities at fair value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200" w:hanging="194"/>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transfers out of Level 3 during the nine months ended September 30, 2025 were exclusively into Level 2.</w:t>
      </w:r>
    </w:p>
    <w:p>
      <w:pPr>
        <w:spacing w:after="0" w:line="49"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Purchases represent advances on the loan commitment to Roar. Refer to Note F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for further details.</w:t>
      </w:r>
    </w:p>
    <w:p>
      <w:pPr>
        <w:spacing w:after="0" w:line="6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O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for roll forward activity of the net Market Risk Benefits Asset and Liability.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80" w:type="dxa"/>
            <w:vAlign w:val="bottom"/>
          </w:tcPr>
          <w:p>
            <w:pPr>
              <w:spacing w:after="0"/>
              <w:rPr>
                <w:sz w:val="4"/>
                <w:szCs w:val="4"/>
                <w:color w:val="auto"/>
              </w:rPr>
            </w:pP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80" w:type="dxa"/>
            <w:vAlign w:val="bottom"/>
          </w:tcPr>
          <w:p>
            <w:pPr>
              <w:spacing w:after="0"/>
              <w:rPr>
                <w:sz w:val="12"/>
                <w:szCs w:val="12"/>
                <w:color w:val="auto"/>
              </w:rPr>
            </w:pPr>
          </w:p>
        </w:tc>
        <w:tc>
          <w:tcPr>
            <w:tcW w:w="860" w:type="dxa"/>
            <w:vAlign w:val="bottom"/>
            <w:gridSpan w:val="2"/>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80" w:type="dxa"/>
            <w:vAlign w:val="bottom"/>
          </w:tcPr>
          <w:p>
            <w:pPr>
              <w:spacing w:after="0"/>
              <w:rPr>
                <w:sz w:val="12"/>
                <w:szCs w:val="12"/>
                <w:color w:val="auto"/>
              </w:rPr>
            </w:pPr>
          </w:p>
        </w:tc>
        <w:tc>
          <w:tcPr>
            <w:tcW w:w="740" w:type="dxa"/>
            <w:vAlign w:val="bottom"/>
          </w:tcPr>
          <w:p>
            <w:pPr>
              <w:jc w:val="right"/>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0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Fixed maturity securities available-for-</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Commercial mortgage-backed</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gridSpan w:val="3"/>
          </w:tcPr>
          <w:p>
            <w:pPr>
              <w:ind w:left="200"/>
              <w:spacing w:after="0" w:line="137" w:lineRule="exact"/>
              <w:rPr>
                <w:sz w:val="20"/>
                <w:szCs w:val="20"/>
                <w:color w:val="auto"/>
              </w:rPr>
            </w:pPr>
            <w:r>
              <w:rPr>
                <w:rFonts w:ascii="Times New Roman" w:cs="Times New Roman" w:eastAsia="Times New Roman" w:hAnsi="Times New Roman"/>
                <w:sz w:val="14"/>
                <w:szCs w:val="14"/>
                <w:color w:val="auto"/>
              </w:rPr>
              <w:t>Residential mortgage-backed</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gridSpan w:val="3"/>
          </w:tcPr>
          <w:p>
            <w:pPr>
              <w:spacing w:after="0" w:line="137" w:lineRule="exact"/>
              <w:rPr>
                <w:sz w:val="20"/>
                <w:szCs w:val="20"/>
                <w:color w:val="auto"/>
              </w:rPr>
            </w:pPr>
            <w:r>
              <w:rPr>
                <w:rFonts w:ascii="Times New Roman" w:cs="Times New Roman" w:eastAsia="Times New Roman" w:hAnsi="Times New Roman"/>
                <w:sz w:val="14"/>
                <w:szCs w:val="14"/>
                <w:color w:val="auto"/>
              </w:rPr>
              <w:t>Investment in unconsolidated affiliates</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 term investments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Derivative investments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MSRs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Available-for-sale embedded</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derivative</w:t>
            </w: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4"/>
                <w:szCs w:val="14"/>
                <w:color w:val="auto"/>
              </w:rPr>
              <w:t>Credit linked note</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2400" w:type="dxa"/>
            <w:vAlign w:val="bottom"/>
            <w:gridSpan w:val="3"/>
            <w:shd w:val="clear" w:color="auto" w:fill="CCEEFF"/>
          </w:tcPr>
          <w:p>
            <w:pPr>
              <w:ind w:left="320"/>
              <w:spacing w:after="0" w:line="121" w:lineRule="exact"/>
              <w:rPr>
                <w:sz w:val="20"/>
                <w:szCs w:val="20"/>
                <w:color w:val="auto"/>
              </w:rPr>
            </w:pPr>
            <w:r>
              <w:rPr>
                <w:rFonts w:ascii="Times New Roman" w:cs="Times New Roman" w:eastAsia="Times New Roman" w:hAnsi="Times New Roman"/>
                <w:sz w:val="14"/>
                <w:szCs w:val="14"/>
                <w:b w:val="1"/>
                <w:bCs w:val="1"/>
                <w:color w:val="auto"/>
              </w:rPr>
              <w:t>Subtotal Level 3 assets at fair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9,589</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11,462</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Market risk benefits asset (c)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0" w:type="dxa"/>
            <w:vAlign w:val="bottom"/>
            <w:tcBorders>
              <w:top w:val="single" w:sz="8" w:color="CCEEFF"/>
              <w:bottom w:val="single" w:sz="8" w:color="CCEEFF"/>
            </w:tcBorders>
            <w:gridSpan w:val="3"/>
            <w:vMerge w:val="restart"/>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vMerge w:val="continue"/>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0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Indexed annuity/IUL embedded</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derivatives, included in contractholder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funds</w:t>
            </w: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gridSpan w:val="3"/>
          </w:tcPr>
          <w:p>
            <w:pPr>
              <w:spacing w:after="0" w:line="137" w:lineRule="exact"/>
              <w:rPr>
                <w:sz w:val="20"/>
                <w:szCs w:val="20"/>
                <w:color w:val="auto"/>
              </w:rPr>
            </w:pPr>
            <w:r>
              <w:rPr>
                <w:rFonts w:ascii="Times New Roman" w:cs="Times New Roman" w:eastAsia="Times New Roman" w:hAnsi="Times New Roman"/>
                <w:sz w:val="14"/>
                <w:szCs w:val="14"/>
                <w:color w:val="auto"/>
              </w:rPr>
              <w:t>Interest rate swaps, included in Accounts</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payable and accrued liabilities</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Contingent consideration obligation,</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included in Accounts payable and</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liabilities (d)</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3"/>
          </w:tcPr>
          <w:p>
            <w:pPr>
              <w:ind w:left="320"/>
              <w:spacing w:after="0" w:line="114" w:lineRule="exact"/>
              <w:rPr>
                <w:sz w:val="20"/>
                <w:szCs w:val="20"/>
                <w:color w:val="auto"/>
              </w:rPr>
            </w:pPr>
            <w:r>
              <w:rPr>
                <w:rFonts w:ascii="Times New Roman" w:cs="Times New Roman" w:eastAsia="Times New Roman" w:hAnsi="Times New Roman"/>
                <w:sz w:val="13"/>
                <w:szCs w:val="13"/>
                <w:b w:val="1"/>
                <w:bCs w:val="1"/>
                <w:color w:val="auto"/>
              </w:rPr>
              <w:t>Subtotal Level 3 liabilities at fair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9"/>
                <w:szCs w:val="9"/>
                <w:color w:val="auto"/>
              </w:rPr>
            </w:pP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5,480</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liability (c)</w:t>
            </w: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3"/>
          </w:tcPr>
          <w:p>
            <w:pPr>
              <w:ind w:left="320"/>
              <w:spacing w:after="0" w:line="114" w:lineRule="exact"/>
              <w:rPr>
                <w:sz w:val="20"/>
                <w:szCs w:val="20"/>
                <w:color w:val="auto"/>
              </w:rPr>
            </w:pPr>
            <w:r>
              <w:rPr>
                <w:rFonts w:ascii="Times New Roman" w:cs="Times New Roman" w:eastAsia="Times New Roman" w:hAnsi="Times New Roman"/>
                <w:sz w:val="13"/>
                <w:szCs w:val="13"/>
                <w:b w:val="1"/>
                <w:bCs w:val="1"/>
                <w:color w:val="auto"/>
              </w:rPr>
              <w:t>Total Level 3 liabilities at fair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4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transfers out of Level 3 during the nine months ended September 30, 2024 were exclusively to Level 2.</w:t>
      </w:r>
    </w:p>
    <w:p>
      <w:pPr>
        <w:spacing w:after="0" w:line="1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out of investments in unconsolidated affiliates represents F&amp;G’s 30% ownership of PALH prior to the majority acquisition on July 18, 2024.</w:t>
      </w:r>
    </w:p>
    <w:p>
      <w:pPr>
        <w:spacing w:after="0" w:line="6"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O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for roll forward activity of the net Market risk benefits asset and liability.</w:t>
      </w:r>
    </w:p>
    <w:p>
      <w:pPr>
        <w:spacing w:after="0" w:line="1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contingent consideration recorded in the Roar transaction is included in purchases in the table above.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Methodologies and Associated Inputs for Financial Instruments Not Carried at Fair Value</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fair value of mortgage loans is established using a discounted cash flow method based on internal credit rating, maturity, and future income. This yield-based approach is sourced from our third-party vendor. The internal ratings for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our F&amp;G segment, the carrying value of Investments in unconsolidated affiliates is primarily determined using NAV as a practical expedient and are included in the NAV column in the table below. Recognition of income and adjustments to the carrying amount are delayed due to the availability of the related financial statements, which are obtained from the general partner generally on a one to three-month delay. In our title segment, Investments in unconsolidated affiliates accounted for under the equity method of accounting were $193 million and $166 million as of September 30, 2025 and December 31, 2024,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Policy Loans (included within Other long-term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Policy loans are reported at the unpaid principal balance and are fully collateralized by the cash surrender value of underlying insurance policies. The carrying value of the policy loans approximates the fair value and are classified as Level 3 in the fair value hierarchy.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Owned Life Insurance (included within Other long-term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Invested Assets (included within Other long-term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fair value of bank loans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Bank loans are classified as Level 3 within the fair value hierarchy. For cost method investments, our carrying value approximates fair value. Cost method investments are classified as Level 1 within the fair value hierarchy.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Contracts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Investment contracts include deferred annuities (indexed annuities and fixed rate annuities), IUL policies, funding agreements and pension risk transfers ("PRT"), and immediate annuity contracts without life contingencies. The indexed annuities/IUL embedded derivatives, included in contractholder funds, are excluded as they are carried at fair value. The fair value of the deferred annuities (indexed annuities and fixed rate annuities) and IUL contracts is based on their cash surrender value (i.e., the cost the Company would incur to extinguish the liability) as these contracts are generally issued without an annuitization date. The fair value of funding agreements and PRT and immediate annuity contracts without life contingencies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Federal Home Loan Bank of Atlanta (“FHLB”) common stock is carried at cost, which approximates fair value. The carrying amount of FHLB common stock represents the value it can be sold back to the FHLB and is classified as Level 2 within the hierarchy.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debt, with the exception of the F&amp;G Credit Agreement is based on quoted market prices. The carrying value of the F&amp;G Credit</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Agreement would approximate fair value as the rates would be comparable to those at which we could currently borrow under similar terms. As of September 30, 2025 and December 31, 2024, there were no outstanding balances under the F&amp;G Credit Agreement. The inputs used to measure the fair value of our outstanding debt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The following tables provide the carrying value and estimated fair value of our financial instruments that are carried on the unaudited Condensed Consolidated Balance Sheets at amounts other than fair value, summarized according to the fair value hierarchy previously described.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7"/>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2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100" w:type="dxa"/>
            <w:vAlign w:val="bottom"/>
          </w:tcPr>
          <w:p>
            <w:pPr>
              <w:spacing w:after="0"/>
              <w:rPr>
                <w:sz w:val="11"/>
                <w:szCs w:val="11"/>
                <w:color w:val="auto"/>
              </w:rPr>
            </w:pPr>
          </w:p>
        </w:tc>
        <w:tc>
          <w:tcPr>
            <w:tcW w:w="12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Carrying Amount</w:t>
            </w:r>
          </w:p>
        </w:tc>
        <w:tc>
          <w:tcPr>
            <w:tcW w:w="0" w:type="dxa"/>
            <w:vAlign w:val="bottom"/>
          </w:tcPr>
          <w:p>
            <w:pPr>
              <w:spacing w:after="0"/>
              <w:rPr>
                <w:sz w:val="1"/>
                <w:szCs w:val="1"/>
                <w:color w:val="auto"/>
              </w:rPr>
            </w:pPr>
          </w:p>
        </w:tc>
      </w:tr>
      <w:tr>
        <w:trPr>
          <w:trHeight w:val="191"/>
        </w:trPr>
        <w:tc>
          <w:tcPr>
            <w:tcW w:w="40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gridSpan w:val="7"/>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840" w:type="dxa"/>
            <w:vAlign w:val="bottom"/>
            <w:gridSpan w:val="2"/>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Company-owned life insurance</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199"/>
        </w:trPr>
        <w:tc>
          <w:tcPr>
            <w:tcW w:w="4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top w:val="single" w:sz="8" w:color="auto"/>
              <w:bottom w:val="single" w:sz="8" w:color="auto"/>
            </w:tcBorders>
            <w:gridSpan w:val="2"/>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4,512</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13,575</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contracts, included in contractholder funds</w:t>
            </w:r>
          </w:p>
        </w:tc>
        <w:tc>
          <w:tcPr>
            <w:tcW w:w="840" w:type="dxa"/>
            <w:vAlign w:val="bottom"/>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50,316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55,715</w:t>
            </w:r>
          </w:p>
        </w:tc>
        <w:tc>
          <w:tcPr>
            <w:tcW w:w="0" w:type="dxa"/>
            <w:vAlign w:val="bottom"/>
          </w:tcPr>
          <w:p>
            <w:pPr>
              <w:spacing w:after="0"/>
              <w:rPr>
                <w:sz w:val="1"/>
                <w:szCs w:val="1"/>
                <w:color w:val="auto"/>
              </w:rPr>
            </w:pPr>
          </w:p>
        </w:tc>
      </w:tr>
      <w:tr>
        <w:trPr>
          <w:trHeight w:val="19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4,398</w:t>
            </w:r>
          </w:p>
        </w:tc>
        <w:tc>
          <w:tcPr>
            <w:tcW w:w="0" w:type="dxa"/>
            <w:vAlign w:val="bottom"/>
          </w:tcPr>
          <w:p>
            <w:pPr>
              <w:spacing w:after="0"/>
              <w:rPr>
                <w:sz w:val="1"/>
                <w:szCs w:val="1"/>
                <w:color w:val="auto"/>
              </w:rPr>
            </w:pPr>
          </w:p>
        </w:tc>
      </w:tr>
      <w:tr>
        <w:trPr>
          <w:trHeight w:val="224"/>
        </w:trPr>
        <w:tc>
          <w:tcPr>
            <w:tcW w:w="40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top w:val="single" w:sz="8" w:color="auto"/>
              <w:bottom w:val="single" w:sz="8" w:color="auto"/>
            </w:tcBorders>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50,316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60,113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7"/>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2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100" w:type="dxa"/>
            <w:vAlign w:val="bottom"/>
          </w:tcPr>
          <w:p>
            <w:pPr>
              <w:spacing w:after="0"/>
              <w:rPr>
                <w:sz w:val="11"/>
                <w:szCs w:val="11"/>
                <w:color w:val="auto"/>
              </w:rPr>
            </w:pPr>
          </w:p>
        </w:tc>
        <w:tc>
          <w:tcPr>
            <w:tcW w:w="12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Carrying Amount</w:t>
            </w:r>
          </w:p>
        </w:tc>
        <w:tc>
          <w:tcPr>
            <w:tcW w:w="0" w:type="dxa"/>
            <w:vAlign w:val="bottom"/>
          </w:tcPr>
          <w:p>
            <w:pPr>
              <w:spacing w:after="0"/>
              <w:rPr>
                <w:sz w:val="1"/>
                <w:szCs w:val="1"/>
                <w:color w:val="auto"/>
              </w:rPr>
            </w:pPr>
          </w:p>
        </w:tc>
      </w:tr>
      <w:tr>
        <w:trPr>
          <w:trHeight w:val="191"/>
        </w:trPr>
        <w:tc>
          <w:tcPr>
            <w:tcW w:w="40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gridSpan w:val="7"/>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840" w:type="dxa"/>
            <w:vAlign w:val="bottom"/>
            <w:gridSpan w:val="2"/>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Company-owned life insurance</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192"/>
        </w:trPr>
        <w:tc>
          <w:tcPr>
            <w:tcW w:w="4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4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6,331</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10,468</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contracts, included in contractholder funds</w:t>
            </w:r>
          </w:p>
        </w:tc>
        <w:tc>
          <w:tcPr>
            <w:tcW w:w="840" w:type="dxa"/>
            <w:vAlign w:val="bottom"/>
            <w:gridSpan w:val="2"/>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46,339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46,339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51,184</w:t>
            </w:r>
          </w:p>
        </w:tc>
        <w:tc>
          <w:tcPr>
            <w:tcW w:w="0" w:type="dxa"/>
            <w:vAlign w:val="bottom"/>
          </w:tcPr>
          <w:p>
            <w:pPr>
              <w:spacing w:after="0"/>
              <w:rPr>
                <w:sz w:val="1"/>
                <w:szCs w:val="1"/>
                <w:color w:val="auto"/>
              </w:rPr>
            </w:pPr>
          </w:p>
        </w:tc>
      </w:tr>
      <w:tr>
        <w:trPr>
          <w:trHeight w:val="19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w:t>
            </w:r>
          </w:p>
        </w:tc>
        <w:tc>
          <w:tcPr>
            <w:tcW w:w="0" w:type="dxa"/>
            <w:vAlign w:val="bottom"/>
          </w:tcPr>
          <w:p>
            <w:pPr>
              <w:spacing w:after="0"/>
              <w:rPr>
                <w:sz w:val="1"/>
                <w:szCs w:val="1"/>
                <w:color w:val="auto"/>
              </w:rPr>
            </w:pPr>
          </w:p>
        </w:tc>
      </w:tr>
      <w:tr>
        <w:trPr>
          <w:trHeight w:val="224"/>
        </w:trPr>
        <w:tc>
          <w:tcPr>
            <w:tcW w:w="40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3,781</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46,339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55,505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investments for which NAV is used as a practical expedient for fair value, we do not have any significant restrictions in our ability to liquidate our positions in these investments, other than obtaining general partner approval, nor do we believe it is probable that a price less than NAV would be received in the event of a liquidation.</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Investments</w:t>
      </w:r>
    </w:p>
    <w:p>
      <w:pPr>
        <w:spacing w:after="0" w:line="179"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Our fixed maturity securities investments have been designated as available-for-sale ("AFS"), and are carried at fair value, net of allowance for expected credit losses, with unrealized gains and losses included within AOCI, net of deferred income taxes. Our preferred and equity securities investments are carried at fair value with unrealized gains and losses included in net earnings. The Company’s consolidated investments as of September 30, 2025 and December 31, 2024 are summarized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80" w:type="dxa"/>
            <w:vAlign w:val="bottom"/>
          </w:tcPr>
          <w:p>
            <w:pPr>
              <w:spacing w:after="0"/>
              <w:rPr>
                <w:sz w:val="10"/>
                <w:szCs w:val="10"/>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0"/>
                <w:szCs w:val="10"/>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18,265</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5,388</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23,636</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2,971</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19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80" w:type="dxa"/>
            <w:vAlign w:val="bottom"/>
          </w:tcPr>
          <w:p>
            <w:pPr>
              <w:spacing w:after="0"/>
              <w:rPr>
                <w:sz w:val="10"/>
                <w:szCs w:val="10"/>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0"/>
                <w:szCs w:val="10"/>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15,656</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mortgage-backed/asset-backed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5,182</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21,696</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19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Securities held on deposit with various state regulatory authorities had a fair value of $154 million and $997 million as of September 30, 2025 and December 31, 2024, respectively.</w:t>
      </w:r>
    </w:p>
    <w:p>
      <w:pPr>
        <w:spacing w:after="0" w:line="8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September 30, 2025 and December 31, 2024, the Company held $33 million and $32 million, respectively, of investments that were non-income producing for a period greater than twelve months.</w:t>
      </w:r>
    </w:p>
    <w:p>
      <w:pPr>
        <w:spacing w:after="0" w:line="7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2025 and December 31, 2024, the Company's accrued interest receivable balance, excluding accrued interest receivable balances related to mortgage loans discussed below under "Mortgage Loans," was $522 million and $476 million, respectively. Accrued interest receivable is classified within Prepaid expenses and other assets within the unaudited Condensed Consolidated Balance Sheets.</w:t>
      </w:r>
    </w:p>
    <w:p>
      <w:pPr>
        <w:spacing w:after="0" w:line="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accordance with our FHLB agreements, the investments supporting the funding agreement liabilities are pledged as collateral to secure the FHLB funding agreement liabilities and are not available to us for general purposes. The collateral investments had a fair value of $4,475 million and $4,289 million as of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amortized cost and fair value of fixed maturity securities by contractual maturities, as applicable, are shown below. Actual maturities may differ from contractual maturities because issuers may have the right to call or prepay obligations.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2780" w:type="dxa"/>
            <w:vAlign w:val="bottom"/>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9"/>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r>
      <w:tr>
        <w:trPr>
          <w:trHeight w:val="24"/>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6"/>
        </w:trPr>
        <w:tc>
          <w:tcPr>
            <w:tcW w:w="5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Corporates, Non-structured Hybrids, Municipal and Government securities:</w:t>
            </w: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1"/>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in one year or less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r>
      <w:tr>
        <w:trPr>
          <w:trHeight w:val="206"/>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5,193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4,544</w:t>
            </w:r>
          </w:p>
        </w:tc>
      </w:tr>
      <w:tr>
        <w:trPr>
          <w:trHeight w:val="191"/>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6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5,532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5,126</w:t>
            </w:r>
          </w:p>
        </w:tc>
      </w:tr>
      <w:tr>
        <w:trPr>
          <w:trHeight w:val="206"/>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ten years</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17,482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13,959</w:t>
            </w:r>
          </w:p>
        </w:tc>
      </w:tr>
      <w:tr>
        <w:trPr>
          <w:trHeight w:val="185"/>
        </w:trPr>
        <w:tc>
          <w:tcPr>
            <w:tcW w:w="52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6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29,067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26,877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24,584</w:t>
            </w:r>
          </w:p>
        </w:tc>
      </w:tr>
      <w:tr>
        <w:trPr>
          <w:trHeight w:val="20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securities, which provide for periodic payments: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1"/>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18,346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15,656</w:t>
            </w:r>
          </w:p>
        </w:tc>
      </w:tr>
      <w:tr>
        <w:trPr>
          <w:trHeight w:val="206"/>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5,525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w:t>
            </w:r>
          </w:p>
        </w:tc>
      </w:tr>
      <w:tr>
        <w:trPr>
          <w:trHeight w:val="192"/>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2,975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2,796</w:t>
            </w:r>
          </w:p>
        </w:tc>
      </w:tr>
      <w:tr>
        <w:trPr>
          <w:trHeight w:val="192"/>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26,846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26,624</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23,634</w:t>
            </w:r>
          </w:p>
        </w:tc>
      </w:tr>
      <w:tr>
        <w:trPr>
          <w:trHeight w:val="199"/>
        </w:trPr>
        <w:tc>
          <w:tcPr>
            <w:tcW w:w="52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fixed maturity available-for-sale securities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55,913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53,501</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51,681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48,218</w:t>
            </w: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w:t>
      </w:r>
    </w:p>
    <w:p>
      <w:pPr>
        <w:spacing w:after="0" w:line="14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regularly review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71" w:lineRule="exact"/>
        <w:rPr>
          <w:sz w:val="20"/>
          <w:szCs w:val="20"/>
          <w:color w:val="auto"/>
        </w:rPr>
      </w:pPr>
    </w:p>
    <w:p>
      <w:pPr>
        <w:ind w:left="720" w:hanging="31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fair value is less than the amortized cost basis;</w:t>
      </w:r>
    </w:p>
    <w:p>
      <w:pPr>
        <w:spacing w:after="0" w:line="124"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the decline in value (credit event, foreign currency or interest-rate related, including general credit spread widening);</w:t>
      </w:r>
    </w:p>
    <w:p>
      <w:pPr>
        <w:spacing w:after="0" w:line="137" w:lineRule="exact"/>
        <w:rPr>
          <w:rFonts w:ascii="Times New Roman" w:cs="Times New Roman" w:eastAsia="Times New Roman" w:hAnsi="Times New Roman"/>
          <w:sz w:val="18"/>
          <w:szCs w:val="18"/>
          <w:color w:val="auto"/>
        </w:rPr>
      </w:pPr>
    </w:p>
    <w:p>
      <w:pPr>
        <w:ind w:left="720" w:hanging="317"/>
        <w:spacing w:after="0" w:line="274" w:lineRule="auto"/>
        <w:tabs>
          <w:tab w:leader="none" w:pos="7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near-term prospects of the issuer (including issuer's current credit rating and the probability of full recovery of principal based upon the issuer's financial strength);</w:t>
      </w:r>
    </w:p>
    <w:p>
      <w:pPr>
        <w:spacing w:after="0" w:line="70"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delinquencies and non-performing assets of underlying collateral;</w:t>
      </w:r>
    </w:p>
    <w:p>
      <w:pPr>
        <w:spacing w:after="0" w:line="124"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default rates;</w:t>
      </w:r>
    </w:p>
    <w:p>
      <w:pPr>
        <w:spacing w:after="0" w:line="137"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value by vintage, geographic region, industry concentration or property type;</w:t>
      </w:r>
    </w:p>
    <w:p>
      <w:pPr>
        <w:spacing w:after="0" w:line="124"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Subordination levels or other credit enhancements as of the balance sheet date as compared to origination; and</w:t>
      </w:r>
    </w:p>
    <w:p>
      <w:pPr>
        <w:spacing w:after="0" w:line="124" w:lineRule="exact"/>
        <w:rPr>
          <w:rFonts w:ascii="Times New Roman" w:cs="Times New Roman" w:eastAsia="Times New Roman" w:hAnsi="Times New Roman"/>
          <w:sz w:val="18"/>
          <w:szCs w:val="18"/>
          <w:color w:val="auto"/>
        </w:rPr>
      </w:pPr>
    </w:p>
    <w:p>
      <w:pPr>
        <w:ind w:left="720" w:hanging="317"/>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and regulatory cash obligations and the issuer's plans to meet such obligations.</w:t>
      </w:r>
    </w:p>
    <w:p>
      <w:pPr>
        <w:spacing w:after="0" w:line="13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recognize an allowance for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mortgage-backed securities as well as variable rate securities. We recognize the expected credit losses in Recognized gains and losses, net in the unaudited Condensed Consolidated Statements of Earnings, with an offset for the amount of non-credit impairments recognized in AOCI. We do not measure a credit loss allowance on accrued investment income because we write-off accrued interest through Interest and investment income when collectability concerns arise.</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consider the following in determining whether write-offs of a security’s amortized cost are necessary:</w:t>
      </w:r>
    </w:p>
    <w:p>
      <w:pPr>
        <w:spacing w:after="0" w:line="124" w:lineRule="exact"/>
        <w:rPr>
          <w:sz w:val="20"/>
          <w:szCs w:val="20"/>
          <w:color w:val="auto"/>
        </w:rPr>
      </w:pPr>
    </w:p>
    <w:p>
      <w:pPr>
        <w:ind w:left="640" w:hanging="23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amounts related to securities have become uncollectible;</w:t>
      </w:r>
    </w:p>
    <w:p>
      <w:pPr>
        <w:spacing w:after="0" w:line="137"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sell a security; or</w:t>
      </w:r>
    </w:p>
    <w:p>
      <w:pPr>
        <w:spacing w:after="0" w:line="124"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more likely than not that we will be required to sell a security prior to recovery.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Recognized gains and losses, net in the accompanying unaudited Condensed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an impairment is deemed to have occurred and the amortized cost is written down to the estimated recovery value with a corresponding charge, net of any amount previously recognized as an allowance for expected credit loss, to Recognized gains and losses, net in the accompanying unaudited Condensed Consolidated Statements of Earnings. The remainder of unrealized loss is held in AOCI. As of September 30, 2025 and December 31, 2024, our allowance for expected credit losses for AFS securities was $102 million and $67 million, respectively.</w:t>
      </w:r>
    </w:p>
    <w:p>
      <w:pPr>
        <w:spacing w:after="0" w:line="21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The fair value and gross unrealized losses of AFS securities, excluding securities in an unrealized loss position with an allowance for expected credit loss, aggregated by investment category and duration of fair value below amortized cost as of September 30, 2025 and December 31, 2024 were as follows:</w:t>
      </w: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12 months or longer</w:t>
            </w:r>
          </w:p>
        </w:tc>
        <w:tc>
          <w:tcPr>
            <w:tcW w:w="160" w:type="dxa"/>
            <w:vAlign w:val="bottom"/>
          </w:tcPr>
          <w:p>
            <w:pPr>
              <w:spacing w:after="0"/>
              <w:rPr>
                <w:sz w:val="16"/>
                <w:szCs w:val="16"/>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w:t>
            </w:r>
          </w:p>
        </w:tc>
        <w:tc>
          <w:tcPr>
            <w:tcW w:w="1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9"/>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8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5,367</w:t>
            </w:r>
          </w:p>
        </w:tc>
        <w:tc>
          <w:tcPr>
            <w:tcW w:w="100" w:type="dxa"/>
            <w:vAlign w:val="bottom"/>
          </w:tcPr>
          <w:p>
            <w:pPr>
              <w:spacing w:after="0"/>
              <w:rPr>
                <w:sz w:val="17"/>
                <w:szCs w:val="17"/>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15,245</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20,612</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12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0" w:type="dxa"/>
            <w:vAlign w:val="bottom"/>
          </w:tcPr>
          <w:p>
            <w:pPr>
              <w:spacing w:after="0"/>
              <w:rPr>
                <w:sz w:val="1"/>
                <w:szCs w:val="1"/>
                <w:color w:val="auto"/>
              </w:rPr>
            </w:pPr>
          </w:p>
        </w:tc>
      </w:tr>
      <w:tr>
        <w:trPr>
          <w:trHeight w:val="18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 less than twelve months</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line="123" w:lineRule="exact"/>
              <w:rPr>
                <w:sz w:val="20"/>
                <w:szCs w:val="20"/>
                <w:color w:val="auto"/>
              </w:rPr>
            </w:pPr>
            <w:r>
              <w:rPr>
                <w:rFonts w:ascii="Times New Roman" w:cs="Times New Roman" w:eastAsia="Times New Roman" w:hAnsi="Times New Roman"/>
                <w:sz w:val="14"/>
                <w:szCs w:val="14"/>
                <w:color w:val="auto"/>
              </w:rPr>
              <w:t>Total number of available-for-sale securities in an unrealized loss</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41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0" w:type="dxa"/>
            <w:vAlign w:val="bottom"/>
          </w:tcPr>
          <w:p>
            <w:pPr>
              <w:spacing w:after="0"/>
              <w:rPr>
                <w:sz w:val="1"/>
                <w:szCs w:val="1"/>
                <w:color w:val="auto"/>
              </w:rPr>
            </w:pPr>
          </w:p>
        </w:tc>
      </w:tr>
      <w:tr>
        <w:trPr>
          <w:trHeight w:val="16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position twelve months or longer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12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3,941</w:t>
            </w:r>
          </w:p>
        </w:tc>
        <w:tc>
          <w:tcPr>
            <w:tcW w:w="0" w:type="dxa"/>
            <w:vAlign w:val="bottom"/>
          </w:tcPr>
          <w:p>
            <w:pPr>
              <w:spacing w:after="0"/>
              <w:rPr>
                <w:sz w:val="1"/>
                <w:szCs w:val="1"/>
                <w:color w:val="auto"/>
              </w:rPr>
            </w:pPr>
          </w:p>
        </w:tc>
      </w:tr>
      <w:tr>
        <w:trPr>
          <w:trHeight w:val="18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40" w:type="dxa"/>
            <w:vAlign w:val="bottom"/>
            <w:gridSpan w:val="5"/>
            <w:vMerge w:val="continue"/>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60" w:type="dxa"/>
            <w:vAlign w:val="bottom"/>
          </w:tcPr>
          <w:p>
            <w:pPr>
              <w:spacing w:after="0"/>
              <w:rPr>
                <w:sz w:val="16"/>
                <w:szCs w:val="16"/>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1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91"/>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2"/>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2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(290)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16,141</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26,561</w:t>
            </w:r>
          </w:p>
        </w:tc>
        <w:tc>
          <w:tcPr>
            <w:tcW w:w="100" w:type="dxa"/>
            <w:vAlign w:val="bottom"/>
          </w:tcPr>
          <w:p>
            <w:pPr>
              <w:spacing w:after="0"/>
              <w:rPr>
                <w:sz w:val="16"/>
                <w:szCs w:val="16"/>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12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0" w:type="dxa"/>
            <w:vAlign w:val="bottom"/>
          </w:tcPr>
          <w:p>
            <w:pPr>
              <w:spacing w:after="0"/>
              <w:rPr>
                <w:sz w:val="1"/>
                <w:szCs w:val="1"/>
                <w:color w:val="auto"/>
              </w:rPr>
            </w:pPr>
          </w:p>
        </w:tc>
      </w:tr>
      <w:tr>
        <w:trPr>
          <w:trHeight w:val="18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 less than twelve months</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line="123" w:lineRule="exact"/>
              <w:rPr>
                <w:sz w:val="20"/>
                <w:szCs w:val="20"/>
                <w:color w:val="auto"/>
              </w:rPr>
            </w:pPr>
            <w:r>
              <w:rPr>
                <w:rFonts w:ascii="Times New Roman" w:cs="Times New Roman" w:eastAsia="Times New Roman" w:hAnsi="Times New Roman"/>
                <w:sz w:val="14"/>
                <w:szCs w:val="14"/>
                <w:color w:val="auto"/>
              </w:rPr>
              <w:t>Total number of available-for-sale securities in an unrealized loss</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41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0" w:type="dxa"/>
            <w:vAlign w:val="bottom"/>
          </w:tcPr>
          <w:p>
            <w:pPr>
              <w:spacing w:after="0"/>
              <w:rPr>
                <w:sz w:val="1"/>
                <w:szCs w:val="1"/>
                <w:color w:val="auto"/>
              </w:rPr>
            </w:pPr>
          </w:p>
        </w:tc>
      </w:tr>
      <w:tr>
        <w:trPr>
          <w:trHeight w:val="16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position twelve months or longer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12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4,310</w:t>
            </w:r>
          </w:p>
        </w:tc>
        <w:tc>
          <w:tcPr>
            <w:tcW w:w="0" w:type="dxa"/>
            <w:vAlign w:val="bottom"/>
          </w:tcPr>
          <w:p>
            <w:pPr>
              <w:spacing w:after="0"/>
              <w:rPr>
                <w:sz w:val="1"/>
                <w:szCs w:val="1"/>
                <w:color w:val="auto"/>
              </w:rPr>
            </w:pPr>
          </w:p>
        </w:tc>
      </w:tr>
      <w:tr>
        <w:trPr>
          <w:trHeight w:val="18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unrealized losses as of September 30, 2025 and December 31, 2024 were caused by higher treasury rates compared to those at the time of the F&amp;G acquisition or the purchase of the security if later. We believe the unrealized loss position for which we have not recorded an allowance for expected credit loss as of September 30, 2025 was primarily attributable to interest rate increases, near-term illiquidity, and other macroeconomic uncertainties as opposed to issuer specific credit concerns.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mortgage loans are collateralized by commercial and residential properties.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Mortgage Loans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Commercial mortgage loans (“CMLs”) represented approximately 5% and 4% of our total investments reported on the unaudited Condensed Consolidated Balance Sheets for September 30, 2025 and December 31, 2024, respectively. The mortgage loans in our investment portfolio are generally comprised of high quality commercial first lien and mezzanine real estate loans. Mortgage loans are primarily on income producing properties including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3"/>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00" w:type="dxa"/>
            <w:vAlign w:val="bottom"/>
          </w:tcPr>
          <w:p>
            <w:pPr>
              <w:spacing w:after="0"/>
              <w:rPr>
                <w:sz w:val="16"/>
                <w:szCs w:val="16"/>
                <w:color w:val="auto"/>
              </w:rPr>
            </w:pP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200" w:type="dxa"/>
            <w:vAlign w:val="bottom"/>
          </w:tcPr>
          <w:p>
            <w:pPr>
              <w:spacing w:after="0"/>
              <w:rPr>
                <w:sz w:val="16"/>
                <w:szCs w:val="16"/>
                <w:color w:val="auto"/>
              </w:rPr>
            </w:pPr>
          </w:p>
        </w:tc>
        <w:tc>
          <w:tcPr>
            <w:tcW w:w="12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Hotel</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Mixed Use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Student Housing</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24"/>
        </w:trPr>
        <w:tc>
          <w:tcPr>
            <w:tcW w:w="5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CMLs, gross of valuation allowance</w:t>
            </w:r>
          </w:p>
        </w:tc>
        <w:tc>
          <w:tcPr>
            <w:tcW w:w="20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14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CMLs, net of valuation allowance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Region:</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East North Central</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East South Central</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Middle Atlantic</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Mountain</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England</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Pacific</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South Atlantic</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North Central</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 South Central</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24"/>
        </w:trPr>
        <w:tc>
          <w:tcPr>
            <w:tcW w:w="5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CMLs, gross of valuation allowance</w:t>
            </w:r>
          </w:p>
        </w:tc>
        <w:tc>
          <w:tcPr>
            <w:tcW w:w="20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14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CMLs, net of valuation allowance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individual loan, or a portion thereof, is charged off when it is determined to be uncollectible. There were no charge offs for CMLs during the nine months ended September 30, 2025 and for the year ended December 31, 2024. CMLs segregated by aging of the loans (by year of origination) as of September 30, 2025 and December 31, 2024 were as follows, gross of valuation allowances: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gridSpan w:val="8"/>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46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6"/>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46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11"/>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588</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3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w:t>
            </w:r>
          </w:p>
        </w:tc>
      </w:tr>
      <w:tr>
        <w:trPr>
          <w:trHeight w:val="20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5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5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24"/>
        </w:trPr>
        <w:tc>
          <w:tcPr>
            <w:tcW w:w="4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58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333"/>
        </w:trPr>
        <w:tc>
          <w:tcPr>
            <w:tcW w:w="4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8"/>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
        </w:trPr>
        <w:tc>
          <w:tcPr>
            <w:tcW w:w="46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11"/>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46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11"/>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273</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3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w:t>
            </w:r>
          </w:p>
        </w:tc>
      </w:tr>
      <w:tr>
        <w:trPr>
          <w:trHeight w:val="20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5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5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24"/>
        </w:trPr>
        <w:tc>
          <w:tcPr>
            <w:tcW w:w="4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58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Loan-to-value (“LTV”)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 year amortization period for purposes of our general loan allowance evaluation.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present the recorded investment in CMLs by LTV and DSC ratio categories and estimated fair value by the indicated LTV ratios, gross of valuation allowances at September 30, 2025 and December 31, 2024</w:t>
      </w:r>
      <w:r>
        <w:rPr>
          <w:rFonts w:ascii="Times New Roman" w:cs="Times New Roman" w:eastAsia="Times New Roman" w:hAnsi="Times New Roman"/>
          <w:sz w:val="15"/>
          <w:szCs w:val="15"/>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10"/>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Debt-Service Coverage Ratios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&gt;1.25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1.00 - 1.25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92"/>
              </w:rPr>
              <w:t>&lt;1.00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8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6"/>
                <w:szCs w:val="16"/>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6"/>
                <w:szCs w:val="16"/>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11"/>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1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5"/>
              </w:rPr>
              <w:t>110</w:t>
            </w:r>
          </w:p>
        </w:tc>
        <w:tc>
          <w:tcPr>
            <w:tcW w:w="3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274</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2"/>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238</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1,253</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DSC Ratios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1.25x</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141</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226</w:t>
            </w:r>
          </w:p>
        </w:tc>
        <w:tc>
          <w:tcPr>
            <w:tcW w:w="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279</w:t>
            </w:r>
          </w:p>
        </w:tc>
        <w:tc>
          <w:tcPr>
            <w:tcW w:w="300" w:type="dxa"/>
            <w:vAlign w:val="bottom"/>
            <w:gridSpan w:val="4"/>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1,241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627</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1.00x - 1.25x</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1.00x</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2"/>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238</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1,253</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10"/>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16"/>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1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Amortized Cost by Origination Year</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74</w:t>
            </w:r>
          </w:p>
        </w:tc>
        <w:tc>
          <w:tcPr>
            <w:tcW w:w="300" w:type="dxa"/>
            <w:vAlign w:val="bottom"/>
            <w:gridSpan w:val="4"/>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77</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149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5"/>
              </w:rPr>
              <w:t>113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858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2"/>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227</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290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1,253</w:t>
            </w:r>
          </w:p>
        </w:tc>
        <w:tc>
          <w:tcPr>
            <w:tcW w:w="20" w:type="dxa"/>
            <w:vAlign w:val="bottom"/>
            <w:tcBorders>
              <w:bottom w:val="single" w:sz="8" w:color="auto"/>
            </w:tcBorders>
          </w:tcPr>
          <w:p>
            <w:pPr>
              <w:spacing w:after="0"/>
              <w:rPr>
                <w:sz w:val="16"/>
                <w:szCs w:val="16"/>
                <w:color w:val="auto"/>
              </w:rPr>
            </w:pPr>
          </w:p>
        </w:tc>
        <w:tc>
          <w:tcPr>
            <w:tcW w:w="100" w:type="dxa"/>
            <w:vAlign w:val="bottom"/>
            <w:gridSpan w:val="2"/>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469</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DSC Ratios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1.25x</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215</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278</w:t>
            </w:r>
          </w:p>
        </w:tc>
        <w:tc>
          <w:tcPr>
            <w:tcW w:w="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1,241</w:t>
            </w:r>
          </w:p>
        </w:tc>
        <w:tc>
          <w:tcPr>
            <w:tcW w:w="300" w:type="dxa"/>
            <w:vAlign w:val="bottom"/>
            <w:gridSpan w:val="4"/>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192</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0" w:type="dxa"/>
            <w:vAlign w:val="bottom"/>
          </w:tcPr>
          <w:p>
            <w:pPr>
              <w:spacing w:after="0"/>
              <w:rPr>
                <w:sz w:val="1"/>
                <w:szCs w:val="1"/>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1.00x - 1.25x</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1.00x</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2"/>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CMLs</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227</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290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1,253</w:t>
            </w:r>
          </w:p>
        </w:tc>
        <w:tc>
          <w:tcPr>
            <w:tcW w:w="20" w:type="dxa"/>
            <w:vAlign w:val="bottom"/>
            <w:tcBorders>
              <w:bottom w:val="single" w:sz="8" w:color="auto"/>
            </w:tcBorders>
          </w:tcPr>
          <w:p>
            <w:pPr>
              <w:spacing w:after="0"/>
              <w:rPr>
                <w:sz w:val="16"/>
                <w:szCs w:val="16"/>
                <w:color w:val="auto"/>
              </w:rPr>
            </w:pPr>
          </w:p>
        </w:tc>
        <w:tc>
          <w:tcPr>
            <w:tcW w:w="100" w:type="dxa"/>
            <w:vAlign w:val="bottom"/>
            <w:gridSpan w:val="2"/>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469</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recognize a mortgage loan as delinquent when payments on the loan are greater than 30 days past due. As of September 30, 2025 and December 31, 2024, we had one CML that was delinquent in principal or interest payments as shown in the tables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Mortgage Loans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Residential mortgage loans (“RMLs”) represented approximately 6% and 5% of our total investments reported on the unaudited Condensed Consolidated Balance Sheets as of September 30, 2025 and December 31, 2024, respectively. Our RMLs are primarily closed end, amortizing loans and 100% of the properties are located in the United States. We diversify our RML portfolio by state to attempt to reduce concentration risk. The distribution of RMLs by state with highest-to-lowest concentration are reflected in the following tables, gross of valuation allowances: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3"/>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6"/>
                <w:szCs w:val="16"/>
                <w:color w:val="auto"/>
              </w:rPr>
            </w:pPr>
          </w:p>
        </w:tc>
        <w:tc>
          <w:tcPr>
            <w:tcW w:w="1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States:</w:t>
            </w:r>
          </w:p>
        </w:tc>
        <w:tc>
          <w:tcPr>
            <w:tcW w:w="160" w:type="dxa"/>
            <w:vAlign w:val="bottom"/>
          </w:tcPr>
          <w:p>
            <w:pPr>
              <w:spacing w:after="0"/>
              <w:rPr>
                <w:sz w:val="16"/>
                <w:szCs w:val="16"/>
                <w:color w:val="auto"/>
              </w:rPr>
            </w:pPr>
          </w:p>
        </w:tc>
        <w:tc>
          <w:tcPr>
            <w:tcW w:w="12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6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6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states (a)</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16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24"/>
        </w:trPr>
        <w:tc>
          <w:tcPr>
            <w:tcW w:w="81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gross of valuation allowance</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18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net of valuation allowance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340" w:hanging="334"/>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individual concentration of each state is less than 5% as of September 30,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3"/>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6"/>
                <w:szCs w:val="16"/>
                <w:color w:val="auto"/>
              </w:rPr>
            </w:pPr>
          </w:p>
        </w:tc>
        <w:tc>
          <w:tcPr>
            <w:tcW w:w="1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States:</w:t>
            </w:r>
          </w:p>
        </w:tc>
        <w:tc>
          <w:tcPr>
            <w:tcW w:w="160" w:type="dxa"/>
            <w:vAlign w:val="bottom"/>
          </w:tcPr>
          <w:p>
            <w:pPr>
              <w:spacing w:after="0"/>
              <w:rPr>
                <w:sz w:val="16"/>
                <w:szCs w:val="16"/>
                <w:color w:val="auto"/>
              </w:rPr>
            </w:pPr>
          </w:p>
        </w:tc>
        <w:tc>
          <w:tcPr>
            <w:tcW w:w="12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states (a)</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16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24"/>
        </w:trPr>
        <w:tc>
          <w:tcPr>
            <w:tcW w:w="81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gross of valuation allowance</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18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net of valuation allowance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40" w:hanging="334"/>
        <w:spacing w:after="0"/>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individual concentration of each state is less than 5% as of December 31, 2024.</w:t>
      </w:r>
    </w:p>
    <w:p>
      <w:pPr>
        <w:spacing w:after="0" w:line="1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RMLs have a primary credit quality indicator of either a performing or non-performing loan. We define non-performing RMLs as those that are 90 or more days past due or in non-accrual status, which is assessed monthly. The credit quality of RMLs as of September 30, 2025 and December 31, 2024, was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3"/>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indicators:</w:t>
            </w:r>
          </w:p>
        </w:tc>
        <w:tc>
          <w:tcPr>
            <w:tcW w:w="160" w:type="dxa"/>
            <w:vAlign w:val="bottom"/>
          </w:tcPr>
          <w:p>
            <w:pPr>
              <w:spacing w:after="0"/>
              <w:rPr>
                <w:sz w:val="16"/>
                <w:szCs w:val="16"/>
                <w:color w:val="auto"/>
              </w:rPr>
            </w:pPr>
          </w:p>
        </w:tc>
        <w:tc>
          <w:tcPr>
            <w:tcW w:w="12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Performing</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98 %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Non-performing</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4"/>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 gross of valuation allowance</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Allowance for expected loan loss</w:t>
            </w: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14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 net of valuation allowance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individual loan, or a portion thereof, is charged off when it is determined to be uncollectible. There were no charge offs recorded by RMLs during the nine months ended September 30, 2025 or during the year ended December 31, 2024. RMLs segregated by aging of the loans (by year of origination) as of September 30, 2025 and December 31, 2024, were as follows, gross of valuation allowances: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gridSpan w:val="6"/>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4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9"/>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2"/>
        </w:trPr>
        <w:tc>
          <w:tcPr>
            <w:tcW w:w="464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RMLs</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931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34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w:t>
            </w: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580" w:type="dxa"/>
            <w:vAlign w:val="bottom"/>
          </w:tcPr>
          <w:p>
            <w:pPr>
              <w:spacing w:after="0"/>
              <w:rPr>
                <w:sz w:val="16"/>
                <w:szCs w:val="16"/>
                <w:color w:val="auto"/>
              </w:rPr>
            </w:pP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5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92"/>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w:t>
            </w:r>
          </w:p>
        </w:tc>
        <w:tc>
          <w:tcPr>
            <w:tcW w:w="5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937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4,165</w:t>
            </w:r>
          </w:p>
        </w:tc>
      </w:tr>
      <w:tr>
        <w:trPr>
          <w:trHeight w:val="20"/>
        </w:trPr>
        <w:tc>
          <w:tcPr>
            <w:tcW w:w="4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66"/>
        </w:trPr>
        <w:tc>
          <w:tcPr>
            <w:tcW w:w="4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6"/>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
        </w:trPr>
        <w:tc>
          <w:tcPr>
            <w:tcW w:w="4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9"/>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2"/>
        </w:trPr>
        <w:tc>
          <w:tcPr>
            <w:tcW w:w="464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RMLs</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610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34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w:t>
            </w: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580" w:type="dxa"/>
            <w:vAlign w:val="bottom"/>
          </w:tcPr>
          <w:p>
            <w:pPr>
              <w:spacing w:after="0"/>
              <w:rPr>
                <w:sz w:val="16"/>
                <w:szCs w:val="16"/>
                <w:color w:val="auto"/>
              </w:rPr>
            </w:pP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5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92"/>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w:t>
            </w: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614</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3,274</w:t>
            </w:r>
          </w:p>
        </w:tc>
      </w:tr>
      <w:tr>
        <w:trPr>
          <w:trHeight w:val="20"/>
        </w:trPr>
        <w:tc>
          <w:tcPr>
            <w:tcW w:w="4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accrual loans by amortized cost as of September 30, 2025 and December 31, 2024, were as follows:</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ind w:right="386"/>
              <w:spacing w:after="0"/>
              <w:rPr>
                <w:sz w:val="20"/>
                <w:szCs w:val="20"/>
                <w:color w:val="auto"/>
              </w:rPr>
            </w:pPr>
            <w:r>
              <w:rPr>
                <w:rFonts w:ascii="Times New Roman" w:cs="Times New Roman" w:eastAsia="Times New Roman" w:hAnsi="Times New Roman"/>
                <w:sz w:val="18"/>
                <w:szCs w:val="18"/>
                <w:color w:val="auto"/>
              </w:rPr>
              <w:t>Non-</w:t>
            </w:r>
          </w:p>
        </w:tc>
        <w:tc>
          <w:tcPr>
            <w:tcW w:w="0" w:type="dxa"/>
            <w:vAlign w:val="bottom"/>
          </w:tcPr>
          <w:p>
            <w:pPr>
              <w:spacing w:after="0"/>
              <w:rPr>
                <w:sz w:val="1"/>
                <w:szCs w:val="1"/>
                <w:color w:val="auto"/>
              </w:rPr>
            </w:pPr>
          </w:p>
        </w:tc>
      </w:tr>
      <w:tr>
        <w:trPr>
          <w:trHeight w:val="212"/>
        </w:trPr>
        <w:tc>
          <w:tcPr>
            <w:tcW w:w="7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7"/>
                <w:szCs w:val="17"/>
                <w:color w:val="auto"/>
              </w:rPr>
            </w:pPr>
          </w:p>
        </w:tc>
        <w:tc>
          <w:tcPr>
            <w:tcW w:w="1580" w:type="dxa"/>
            <w:vAlign w:val="bottom"/>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of loans on non-accrual</w:t>
            </w:r>
          </w:p>
        </w:tc>
        <w:tc>
          <w:tcPr>
            <w:tcW w:w="1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3440" w:type="dxa"/>
            <w:vAlign w:val="bottom"/>
            <w:gridSpan w:val="4"/>
          </w:tcPr>
          <w:p>
            <w:pPr>
              <w:jc w:val="right"/>
              <w:ind w:right="136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2"/>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Commercial mortgage:</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2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non-accrual mortgages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Immaterial interest income was recognized on non-accrual financing receivables for the three and nine months ended September 30, 2025 and 2024.</w:t>
      </w:r>
    </w:p>
    <w:p>
      <w:pPr>
        <w:spacing w:after="0" w:line="151"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It is our policy to cease to accrue interest on loans that are delinquent for 90 days or more. For loans less than 90 days delinquent, interest is accrued unless it is determined that the accrued interest is not collectible. If a loan becomes 90 days or more delinquent, it is our general policy to initiate foreclosure proceedings unless a workout arrangement to bring the loan current is in place. As of September 30, 2025 and December 31, 2024, we had $82 million and $94 million, respectively, of mortgage loans that were over 90 days past due.</w:t>
      </w:r>
    </w:p>
    <w:p>
      <w:pPr>
        <w:spacing w:after="0" w:line="12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As of September 30, 2025 and December 31, 2024, we had $72 million and $81 million, respectively, of residential mortgage loans that were in the process of foreclosure.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Expected Credit Loss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estimate expected credit losses for our commercial and residential mortgage loan portfolios using a probability of default/loss given default model. Significant inputs to this model include, where applicable, the loans' current performance, underlying collateral type, location, contractual life, LTV, DSC, and Debt to Income or FICO. The model projects losses using a two year reasonable and supportable forecast and then reverts over a three-year period to market-wide historical loss experience. Changes in our allowance for expected credit losses on mortgage loans are recognized in Recognized gains and losses, net in the accompanying unaudited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allowances for our mortgage loan portfolio are summarized as follows:</w:t>
      </w:r>
    </w:p>
    <w:p>
      <w:pPr>
        <w:spacing w:after="0" w:line="39" w:lineRule="exact"/>
        <w:rPr>
          <w:sz w:val="20"/>
          <w:szCs w:val="20"/>
          <w:color w:val="auto"/>
        </w:rPr>
      </w:pPr>
    </w:p>
    <w:p>
      <w:pPr>
        <w:jc w:val="right"/>
        <w:ind w:right="540"/>
        <w:spacing w:after="0"/>
        <w:tabs>
          <w:tab w:leader="none" w:pos="2360" w:val="left"/>
        </w:tabs>
        <w:rPr>
          <w:sz w:val="20"/>
          <w:szCs w:val="20"/>
          <w:color w:val="auto"/>
        </w:rPr>
      </w:pPr>
      <w:r>
        <w:rPr>
          <w:rFonts w:ascii="Times New Roman" w:cs="Times New Roman" w:eastAsia="Times New Roman" w:hAnsi="Times New Roman"/>
          <w:sz w:val="14"/>
          <w:szCs w:val="14"/>
          <w:b w:val="1"/>
          <w:bCs w:val="1"/>
          <w:color w:val="auto"/>
        </w:rPr>
        <w:t>Three months ended September 30, 2025</w:t>
      </w:r>
      <w:r>
        <w:rPr>
          <w:sz w:val="20"/>
          <w:szCs w:val="20"/>
          <w:color w:val="auto"/>
        </w:rPr>
        <w:tab/>
      </w:r>
      <w:r>
        <w:rPr>
          <w:rFonts w:ascii="Times New Roman" w:cs="Times New Roman" w:eastAsia="Times New Roman" w:hAnsi="Times New Roman"/>
          <w:sz w:val="14"/>
          <w:szCs w:val="14"/>
          <w:b w:val="1"/>
          <w:b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31115</wp:posOffset>
            </wp:positionV>
            <wp:extent cx="44926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926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31115</wp:posOffset>
            </wp:positionV>
            <wp:extent cx="22294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21" w:lineRule="exact"/>
        <w:rPr>
          <w:sz w:val="20"/>
          <w:szCs w:val="20"/>
          <w:color w:val="auto"/>
        </w:rPr>
      </w:pPr>
    </w:p>
    <w:p>
      <w:pPr>
        <w:ind w:left="4380"/>
        <w:spacing w:after="0"/>
        <w:tabs>
          <w:tab w:leader="none" w:pos="5520" w:val="left"/>
        </w:tabs>
        <w:rPr>
          <w:sz w:val="20"/>
          <w:szCs w:val="20"/>
          <w:color w:val="auto"/>
        </w:rPr>
      </w:pPr>
      <w:r>
        <w:rPr>
          <w:rFonts w:ascii="Times New Roman" w:cs="Times New Roman" w:eastAsia="Times New Roman" w:hAnsi="Times New Roman"/>
          <w:sz w:val="14"/>
          <w:szCs w:val="14"/>
          <w:b w:val="1"/>
          <w:bCs w:val="1"/>
          <w:color w:val="auto"/>
        </w:rPr>
        <w:t>Residential</w:t>
      </w:r>
      <w:r>
        <w:rPr>
          <w:sz w:val="20"/>
          <w:szCs w:val="20"/>
          <w:color w:val="auto"/>
        </w:rPr>
        <w:tab/>
      </w:r>
      <w:r>
        <w:rPr>
          <w:rFonts w:ascii="Times New Roman" w:cs="Times New Roman" w:eastAsia="Times New Roman" w:hAnsi="Times New Roman"/>
          <w:sz w:val="14"/>
          <w:szCs w:val="14"/>
          <w:b w:val="1"/>
          <w:bCs w:val="1"/>
          <w:color w:val="auto"/>
        </w:rPr>
        <w:t>Commercial</w:t>
      </w:r>
    </w:p>
    <w:p>
      <w:pPr>
        <w:ind w:left="4420"/>
        <w:spacing w:after="0"/>
        <w:tabs>
          <w:tab w:leader="none" w:pos="5600" w:val="left"/>
          <w:tab w:leader="none" w:pos="6940" w:val="left"/>
        </w:tabs>
        <w:rPr>
          <w:sz w:val="20"/>
          <w:szCs w:val="20"/>
          <w:color w:val="auto"/>
        </w:rPr>
      </w:pP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31115</wp:posOffset>
            </wp:positionV>
            <wp:extent cx="22040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Residential</w:t>
      </w:r>
      <w:r>
        <w:rPr>
          <w:sz w:val="20"/>
          <w:szCs w:val="20"/>
          <w:color w:val="auto"/>
        </w:rPr>
        <w:tab/>
      </w:r>
      <w:r>
        <w:rPr>
          <w:rFonts w:ascii="Times New Roman" w:cs="Times New Roman" w:eastAsia="Times New Roman" w:hAnsi="Times New Roman"/>
          <w:sz w:val="14"/>
          <w:szCs w:val="14"/>
          <w:b w:val="1"/>
          <w:bCs w:val="1"/>
          <w:color w:val="auto"/>
        </w:rPr>
        <w:t>Commercial</w:t>
      </w:r>
    </w:p>
    <w:p>
      <w:pPr>
        <w:ind w:left="40"/>
        <w:spacing w:after="0"/>
        <w:tabs>
          <w:tab w:leader="none" w:pos="1220" w:val="left"/>
          <w:tab w:leader="none" w:pos="2540" w:val="left"/>
        </w:tabs>
        <w:rPr>
          <w:sz w:val="20"/>
          <w:szCs w:val="20"/>
          <w:color w:val="auto"/>
        </w:rPr>
      </w:pP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p>
    <w:p>
      <w:pPr>
        <w:sectPr>
          <w:pgSz w:w="11900" w:h="16838" w:orient="portrait"/>
          <w:cols w:equalWidth="0" w:num="2">
            <w:col w:w="7260" w:space="720"/>
            <w:col w:w="32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92"/>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expense for loan losses</w:t>
            </w:r>
          </w:p>
        </w:tc>
        <w:tc>
          <w:tcPr>
            <w:tcW w:w="320" w:type="dxa"/>
            <w:vAlign w:val="bottom"/>
          </w:tcPr>
          <w:p>
            <w:pPr>
              <w:spacing w:after="0"/>
              <w:rPr>
                <w:sz w:val="16"/>
                <w:szCs w:val="16"/>
                <w:color w:val="auto"/>
              </w:rPr>
            </w:pPr>
          </w:p>
        </w:tc>
        <w:tc>
          <w:tcPr>
            <w:tcW w:w="880" w:type="dxa"/>
            <w:vAlign w:val="bottom"/>
            <w:gridSpan w:val="2"/>
          </w:tcPr>
          <w:p>
            <w:pPr>
              <w:jc w:val="center"/>
              <w:ind w:left="349"/>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24"/>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center"/>
              <w:ind w:left="429"/>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373"/>
        </w:trPr>
        <w:tc>
          <w:tcPr>
            <w:tcW w:w="4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6"/>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6"/>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4467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6786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31115</wp:posOffset>
            </wp:positionV>
            <wp:extent cx="22040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21" w:lineRule="exact"/>
        <w:rPr>
          <w:sz w:val="20"/>
          <w:szCs w:val="20"/>
          <w:color w:val="auto"/>
        </w:rPr>
      </w:pPr>
    </w:p>
    <w:p>
      <w:pPr>
        <w:ind w:left="4420"/>
        <w:spacing w:after="0"/>
        <w:tabs>
          <w:tab w:leader="none" w:pos="5560" w:val="left"/>
        </w:tabs>
        <w:rPr>
          <w:sz w:val="20"/>
          <w:szCs w:val="20"/>
          <w:color w:val="auto"/>
        </w:rPr>
      </w:pPr>
      <w:r>
        <w:rPr>
          <w:rFonts w:ascii="Times New Roman" w:cs="Times New Roman" w:eastAsia="Times New Roman" w:hAnsi="Times New Roman"/>
          <w:sz w:val="14"/>
          <w:szCs w:val="14"/>
          <w:b w:val="1"/>
          <w:bCs w:val="1"/>
          <w:color w:val="auto"/>
        </w:rPr>
        <w:t>Residential</w:t>
      </w:r>
      <w:r>
        <w:rPr>
          <w:sz w:val="20"/>
          <w:szCs w:val="20"/>
          <w:color w:val="auto"/>
        </w:rPr>
        <w:tab/>
      </w:r>
      <w:r>
        <w:rPr>
          <w:rFonts w:ascii="Times New Roman" w:cs="Times New Roman" w:eastAsia="Times New Roman" w:hAnsi="Times New Roman"/>
          <w:sz w:val="14"/>
          <w:szCs w:val="14"/>
          <w:b w:val="1"/>
          <w:bCs w:val="1"/>
          <w:color w:val="auto"/>
        </w:rPr>
        <w:t>Commercial</w:t>
      </w:r>
    </w:p>
    <w:p>
      <w:pPr>
        <w:ind w:left="4460"/>
        <w:spacing w:after="0"/>
        <w:tabs>
          <w:tab w:leader="none" w:pos="5640" w:val="left"/>
          <w:tab w:leader="none" w:pos="6960" w:val="left"/>
        </w:tabs>
        <w:rPr>
          <w:sz w:val="20"/>
          <w:szCs w:val="20"/>
          <w:color w:val="auto"/>
        </w:rPr>
      </w:pP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31115</wp:posOffset>
            </wp:positionV>
            <wp:extent cx="22040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Residential</w:t>
      </w:r>
      <w:r>
        <w:rPr>
          <w:sz w:val="20"/>
          <w:szCs w:val="20"/>
          <w:color w:val="auto"/>
        </w:rPr>
        <w:tab/>
      </w:r>
      <w:r>
        <w:rPr>
          <w:rFonts w:ascii="Times New Roman" w:cs="Times New Roman" w:eastAsia="Times New Roman" w:hAnsi="Times New Roman"/>
          <w:sz w:val="14"/>
          <w:szCs w:val="14"/>
          <w:b w:val="1"/>
          <w:bCs w:val="1"/>
          <w:color w:val="auto"/>
        </w:rPr>
        <w:t>Commercial</w:t>
      </w:r>
    </w:p>
    <w:p>
      <w:pPr>
        <w:ind w:left="40"/>
        <w:spacing w:after="0"/>
        <w:tabs>
          <w:tab w:leader="none" w:pos="1220" w:val="left"/>
          <w:tab w:leader="none" w:pos="2540" w:val="left"/>
        </w:tabs>
        <w:rPr>
          <w:sz w:val="20"/>
          <w:szCs w:val="20"/>
          <w:color w:val="auto"/>
        </w:rPr>
      </w:pP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Mortgage</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11" w:lineRule="exact"/>
        <w:rPr>
          <w:sz w:val="20"/>
          <w:szCs w:val="20"/>
          <w:color w:val="auto"/>
        </w:rPr>
      </w:pPr>
    </w:p>
    <w:p>
      <w:pPr>
        <w:sectPr>
          <w:pgSz w:w="11900" w:h="16838" w:orient="portrait"/>
          <w:cols w:equalWidth="0" w:num="2">
            <w:col w:w="7280" w:space="700"/>
            <w:col w:w="32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92"/>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(expense) benefit for loan losses</w:t>
            </w:r>
          </w:p>
        </w:tc>
        <w:tc>
          <w:tcPr>
            <w:tcW w:w="4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24"/>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allowance for expected credit loss is not measured on accrued interest income for CMLs as we have a process to write-off interest on loans that enter into non-accrual status (90 days or more past due). Allowances for expected credit losses are measured on accrued interest income for RMLs and were immaterial for the nine months ended September 30, 2025 and 2024.</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2025 and December 31, 2024, the accrued interest receivable balance on CMLs totaled $11 million and $8 million, respectively, and the accrued interest receivable on RMLs totaled $36 million and $28 million, respectively. Accrued interest receivable is classified within Prepaid expenses and other assets within the unaudited Condensed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major sources of Interest and investment income reported on the accompanying unaudited Condensed Consolidated Statements of Earnings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64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4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420" w:type="dxa"/>
            <w:vAlign w:val="bottom"/>
          </w:tcPr>
          <w:p>
            <w:pPr>
              <w:spacing w:after="0"/>
              <w:rPr>
                <w:sz w:val="16"/>
                <w:szCs w:val="16"/>
                <w:color w:val="auto"/>
              </w:rPr>
            </w:pPr>
          </w:p>
        </w:tc>
        <w:tc>
          <w:tcPr>
            <w:tcW w:w="9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60" w:type="dxa"/>
            <w:vAlign w:val="bottom"/>
            <w:gridSpan w:val="3"/>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6"/>
                <w:szCs w:val="16"/>
                <w:color w:val="auto"/>
              </w:rPr>
            </w:pPr>
          </w:p>
        </w:tc>
      </w:tr>
      <w:tr>
        <w:trPr>
          <w:trHeight w:val="20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Invested cash and short-term investments</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deferred property exchange income</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92"/>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99"/>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investment income</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w:t>
            </w:r>
          </w:p>
        </w:tc>
      </w:tr>
      <w:tr>
        <w:trPr>
          <w:trHeight w:val="192"/>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Investment expense</w:t>
            </w: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22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$219 million and $77 million for the three months ended September 30, 2025 and 2024, respectively, and $592 million and $463 million for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Recognized Gains and Losses, Net</w:t>
      </w:r>
    </w:p>
    <w:p>
      <w:pPr>
        <w:spacing w:after="0" w:line="115"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8"/>
          <w:szCs w:val="18"/>
          <w:color w:val="auto"/>
        </w:rPr>
        <w:t>Details underlying Recognized gains and losses, net reported on the accompanying unaudited Condensed Consolidated Statements of Earnings were as follows:</w:t>
      </w: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5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540" w:type="dxa"/>
            <w:vAlign w:val="bottom"/>
          </w:tcPr>
          <w:p>
            <w:pPr>
              <w:spacing w:after="0"/>
              <w:rPr>
                <w:sz w:val="16"/>
                <w:szCs w:val="16"/>
                <w:color w:val="auto"/>
              </w:rPr>
            </w:pP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gridSpan w:val="3"/>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6"/>
                <w:szCs w:val="16"/>
                <w:color w:val="auto"/>
              </w:rPr>
            </w:pPr>
          </w:p>
        </w:tc>
      </w:tr>
      <w:tr>
        <w:trPr>
          <w:trHeight w:val="20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(losses) gains on fixed maturity available-for-sale securities</w:t>
            </w: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gains on equity securities (1)</w:t>
            </w: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realized/unrealized gains on preferred securities (2)</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realized/unrealized (losses) gains on other invested assets</w:t>
            </w: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0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and embedded derivatives:</w:t>
            </w: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Realized (losses) gains on certain derivative instruments</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91"/>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gains on certain derivative instruments</w:t>
            </w: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r>
      <w:tr>
        <w:trPr>
          <w:trHeight w:val="20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 (3)</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(178)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192"/>
        </w:trPr>
        <w:tc>
          <w:tcPr>
            <w:tcW w:w="5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realized/unrealized gains on derivatives and embedded derivatives</w:t>
            </w:r>
          </w:p>
        </w:tc>
        <w:tc>
          <w:tcPr>
            <w:tcW w:w="9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r>
      <w:tr>
        <w:trPr>
          <w:trHeight w:val="199"/>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tc>
        <w:tc>
          <w:tcPr>
            <w:tcW w:w="94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w:t>
            </w:r>
          </w:p>
        </w:tc>
      </w:tr>
      <w:tr>
        <w:trPr>
          <w:trHeight w:val="20"/>
        </w:trPr>
        <w:tc>
          <w:tcPr>
            <w:tcW w:w="5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firstLine="6"/>
        <w:spacing w:after="0" w:line="265" w:lineRule="auto"/>
        <w:tabs>
          <w:tab w:leader="none" w:pos="20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valuation (losses) gains of $(43) million and $31 million for the three months ended September 30, 2025 and 2024, respectively, and $(121) million and $(42) million for the nine months ended September 30, 2025 and 2024, respectively.</w:t>
      </w:r>
    </w:p>
    <w:p>
      <w:pPr>
        <w:ind w:firstLine="6"/>
        <w:spacing w:after="0" w:line="246" w:lineRule="auto"/>
        <w:tabs>
          <w:tab w:leader="none" w:pos="21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valuation gains of $10 million and $18 million for the three months ended September 30, 2025 and 2024, respectively, and $7 million and $30 million for the nine months ended September 30, 2025 and 2024, respectively.</w:t>
      </w:r>
    </w:p>
    <w:p>
      <w:pPr>
        <w:spacing w:after="0" w:line="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reinsurance related embedded derivatives is due to activity related to the reinsurance treaties.</w:t>
      </w:r>
    </w:p>
    <w:p>
      <w:pPr>
        <w:spacing w:after="0" w:line="12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Recognized gains and losses, net is shown net of amounts attributable to certain funds withheld reinsurance agreements, which are passed along to the reinsurer in accordance with the terms of these agreements. Recognized (losses) and gains attributable to these agreements, and thus excluded from the totals in the table above, were $(77) million and $(176) million for the three and nine months ended September 30, 2025, respectively, and $177 million and $(186) million for the three and nine months ended September 30, 2024, respectively.</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proceeds from the sale of fixed-maturity securities and the gross gains and losses associated with those transactions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9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254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9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5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7"/>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925</w:t>
            </w:r>
          </w:p>
        </w:tc>
        <w:tc>
          <w:tcPr>
            <w:tcW w:w="3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0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3,628</w:t>
            </w:r>
          </w:p>
        </w:tc>
        <w:tc>
          <w:tcPr>
            <w:tcW w:w="3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2,638</w:t>
            </w:r>
          </w:p>
        </w:tc>
      </w:tr>
      <w:tr>
        <w:trPr>
          <w:trHeight w:val="24"/>
        </w:trPr>
        <w:tc>
          <w:tcPr>
            <w:tcW w:w="5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gains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4"/>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losses</w:t>
            </w:r>
          </w:p>
        </w:tc>
        <w:tc>
          <w:tcPr>
            <w:tcW w:w="96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Variable Interest Entities</w:t>
      </w:r>
    </w:p>
    <w:p>
      <w:pPr>
        <w:spacing w:after="0" w:line="11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own investments in variable interest entities ("VIEs") that are not consolidated within our financial statements. A VIE is an entity that does not have sufficient equity to finance its own activities without additional financial support, where investors lack certain characteristics of a controlling financial interest, or where the entity is structured with non-substantive voting rights. VIEs are consolidated by their ‘primary beneficiary,’ a designation given to an entity that receives both the benefits from the VIE as well as the substantive power to make its key economic decisions. While we participate in the benefits from VIEs in which we invest, but do not consolidate, the substantive power to make the key economic decisions for each respective VIE resides with entities not under our common control. It is for this reason that we are not considered the primary beneficiary for the VIE investments that are not consolidated.</w:t>
      </w:r>
    </w:p>
    <w:p>
      <w:pPr>
        <w:spacing w:after="0" w:line="6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invest in various limited partnerships and limited liability companies primarily as a passive investor. These investments are primarily in credit funds with a bias towards current income, real assets, or private equity. Limited partnership and limited liability company interests are accounted for under the equity method and are included in Investments in unconsolidated affiliates on our unaudited Condensed Consolidated Balance Sheets. In addition, we invest in structured investments, which may be VIEs, but for which we are not the primary beneficiary. These structured investments typically invest in fixed income investments and are managed by third parties and include asset-backed securities, commercial mortgage-backed securities, and residential mortgage-backed securities included in Fixed maturity securities available for sale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For limited partnerships, our maximum loss exposure with respect to these VIEs is limited to the investment carry amounts reported in our unaudited Condensed Consolidated Balance Sheets in addition to any required unfunded commitments. For fixed maturity securities, our maximum loss exposure with respect to these VIEs is limited to the amortized cost in addition to any required unfunded commitments (also refer to Note F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carrying value and the maximum loss exposure of our unconsolidated VIEs as of September 30, 2025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2440" w:type="dxa"/>
            <w:vAlign w:val="bottom"/>
            <w:gridSpan w:val="4"/>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0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440" w:type="dxa"/>
            <w:vAlign w:val="bottom"/>
            <w:tcBorders>
              <w:top w:val="single" w:sz="8" w:color="auto"/>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440" w:type="dxa"/>
            <w:vAlign w:val="bottom"/>
            <w:tcBorders>
              <w:top w:val="single" w:sz="8" w:color="auto"/>
              <w:bottom w:val="single" w:sz="8" w:color="auto"/>
            </w:tcBorders>
            <w:gridSpan w:val="4"/>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34"/>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1"/>
                <w:szCs w:val="11"/>
                <w:color w:val="auto"/>
              </w:rPr>
            </w:pPr>
          </w:p>
        </w:tc>
        <w:tc>
          <w:tcPr>
            <w:tcW w:w="1100" w:type="dxa"/>
            <w:vAlign w:val="bottom"/>
          </w:tcPr>
          <w:p>
            <w:pPr>
              <w:jc w:val="center"/>
              <w:ind w:right="49"/>
              <w:spacing w:after="0" w:line="134" w:lineRule="exact"/>
              <w:rPr>
                <w:sz w:val="20"/>
                <w:szCs w:val="20"/>
                <w:color w:val="auto"/>
              </w:rPr>
            </w:pPr>
            <w:r>
              <w:rPr>
                <w:rFonts w:ascii="Times New Roman" w:cs="Times New Roman" w:eastAsia="Times New Roman" w:hAnsi="Times New Roman"/>
                <w:sz w:val="14"/>
                <w:szCs w:val="14"/>
                <w:b w:val="1"/>
                <w:bCs w:val="1"/>
                <w:color w:val="auto"/>
              </w:rPr>
              <w:t>Maximum Loss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1"/>
                <w:szCs w:val="11"/>
                <w:color w:val="auto"/>
              </w:rPr>
            </w:pPr>
          </w:p>
        </w:tc>
        <w:tc>
          <w:tcPr>
            <w:tcW w:w="1120" w:type="dxa"/>
            <w:vAlign w:val="bottom"/>
          </w:tcPr>
          <w:p>
            <w:pPr>
              <w:jc w:val="right"/>
              <w:ind w:right="69"/>
              <w:spacing w:after="0" w:line="134" w:lineRule="exact"/>
              <w:rPr>
                <w:sz w:val="20"/>
                <w:szCs w:val="20"/>
                <w:color w:val="auto"/>
              </w:rPr>
            </w:pPr>
            <w:r>
              <w:rPr>
                <w:rFonts w:ascii="Times New Roman" w:cs="Times New Roman" w:eastAsia="Times New Roman" w:hAnsi="Times New Roman"/>
                <w:sz w:val="14"/>
                <w:szCs w:val="14"/>
                <w:b w:val="1"/>
                <w:bCs w:val="1"/>
                <w:color w:val="auto"/>
              </w:rPr>
              <w:t>Maximum Loss</w:t>
            </w:r>
          </w:p>
        </w:tc>
        <w:tc>
          <w:tcPr>
            <w:tcW w:w="0" w:type="dxa"/>
            <w:vAlign w:val="bottom"/>
          </w:tcPr>
          <w:p>
            <w:pPr>
              <w:spacing w:after="0"/>
              <w:rPr>
                <w:sz w:val="1"/>
                <w:szCs w:val="1"/>
                <w:color w:val="auto"/>
              </w:rPr>
            </w:pPr>
          </w:p>
        </w:tc>
      </w:tr>
      <w:tr>
        <w:trPr>
          <w:trHeight w:val="191"/>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r>
        <w:trPr>
          <w:trHeight w:val="198"/>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0" w:type="dxa"/>
            <w:vAlign w:val="bottom"/>
          </w:tcPr>
          <w:p>
            <w:pPr>
              <w:spacing w:after="0"/>
              <w:rPr>
                <w:sz w:val="1"/>
                <w:szCs w:val="1"/>
                <w:color w:val="auto"/>
              </w:rPr>
            </w:pPr>
          </w:p>
        </w:tc>
      </w:tr>
      <w:tr>
        <w:trPr>
          <w:trHeight w:val="192"/>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26,250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27,136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23,242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24,242</w:t>
            </w: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unconsolidated VIE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Derivative Financial Instruments</w:t>
      </w:r>
    </w:p>
    <w:p>
      <w:pPr>
        <w:spacing w:after="0" w:line="13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Note A </w:t>
      </w:r>
      <w:r>
        <w:rPr>
          <w:rFonts w:ascii="Times New Roman" w:cs="Times New Roman" w:eastAsia="Times New Roman" w:hAnsi="Times New Roman"/>
          <w:sz w:val="18"/>
          <w:szCs w:val="18"/>
          <w:i w:val="1"/>
          <w:iCs w:val="1"/>
          <w:color w:val="auto"/>
        </w:rPr>
        <w:t>Basis of Financial Statements</w:t>
      </w:r>
      <w:r>
        <w:rPr>
          <w:rFonts w:ascii="Times New Roman" w:cs="Times New Roman" w:eastAsia="Times New Roman" w:hAnsi="Times New Roman"/>
          <w:sz w:val="18"/>
          <w:szCs w:val="18"/>
          <w:color w:val="auto"/>
        </w:rPr>
        <w:t xml:space="preserve">, for a description of the Company’s accounting policies for derivative financial instruments and Note C </w:t>
      </w:r>
      <w:r>
        <w:rPr>
          <w:rFonts w:ascii="Times New Roman" w:cs="Times New Roman" w:eastAsia="Times New Roman" w:hAnsi="Times New Roman"/>
          <w:sz w:val="18"/>
          <w:szCs w:val="18"/>
          <w:i w:val="1"/>
          <w:iCs w:val="1"/>
          <w:color w:val="auto"/>
        </w:rPr>
        <w:t xml:space="preserve">Fair Value of Financial Instruments for </w:t>
      </w:r>
      <w:r>
        <w:rPr>
          <w:rFonts w:ascii="Times New Roman" w:cs="Times New Roman" w:eastAsia="Times New Roman" w:hAnsi="Times New Roman"/>
          <w:sz w:val="18"/>
          <w:szCs w:val="18"/>
          <w:color w:val="auto"/>
        </w:rPr>
        <w:t>descriptions of the fair value methodologies used for derivative financial instruments.</w:t>
      </w:r>
    </w:p>
    <w:p>
      <w:pPr>
        <w:spacing w:after="0" w:line="2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notional and carrying amounts of derivative financial instruments, including derivative instruments embedded in indexed annuities and IUL contracts, and reinsurance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
        </w:trPr>
        <w:tc>
          <w:tcPr>
            <w:tcW w:w="5140" w:type="dxa"/>
            <w:vAlign w:val="bottom"/>
          </w:tcPr>
          <w:p>
            <w:pPr>
              <w:spacing w:after="0"/>
              <w:rPr>
                <w:sz w:val="2"/>
                <w:szCs w:val="2"/>
                <w:color w:val="auto"/>
              </w:rPr>
            </w:pPr>
          </w:p>
        </w:tc>
        <w:tc>
          <w:tcPr>
            <w:tcW w:w="1220" w:type="dxa"/>
            <w:vAlign w:val="bottom"/>
            <w:gridSpan w:val="5"/>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5"/>
        </w:trPr>
        <w:tc>
          <w:tcPr>
            <w:tcW w:w="5140" w:type="dxa"/>
            <w:vAlign w:val="bottom"/>
          </w:tcPr>
          <w:p>
            <w:pPr>
              <w:spacing w:after="0"/>
              <w:rPr>
                <w:sz w:val="16"/>
                <w:szCs w:val="16"/>
                <w:color w:val="auto"/>
              </w:rPr>
            </w:pPr>
          </w:p>
        </w:tc>
        <w:tc>
          <w:tcPr>
            <w:tcW w:w="1220" w:type="dxa"/>
            <w:vAlign w:val="bottom"/>
            <w:tcBorders>
              <w:top w:val="single" w:sz="8" w:color="auto"/>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Gross Notional</w:t>
            </w:r>
          </w:p>
        </w:tc>
        <w:tc>
          <w:tcPr>
            <w:tcW w:w="840" w:type="dxa"/>
            <w:vAlign w:val="bottom"/>
            <w:tcBorders>
              <w:top w:val="single" w:sz="8" w:color="auto"/>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Gross Notional</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(a)</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32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 (a)</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1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derivatives designated as hedging instruments</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2"/>
        </w:trPr>
        <w:tc>
          <w:tcPr>
            <w:tcW w:w="5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9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options (a)</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(a)</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 (a)</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Futures contracts (a)</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derivative investments (a)</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embedded derivatives (b)</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Indexed annuities/IUL embedded derivatives (c)</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w:t>
            </w: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Reinsurance related embedded derivatives (d)</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85"/>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hedging instruments</w:t>
            </w:r>
          </w:p>
        </w:tc>
        <w:tc>
          <w:tcPr>
            <w:tcW w:w="3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36,944</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6,131</w:t>
            </w:r>
          </w:p>
        </w:tc>
        <w:tc>
          <w:tcPr>
            <w:tcW w:w="1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5,121</w:t>
            </w:r>
          </w:p>
        </w:tc>
      </w:tr>
      <w:tr>
        <w:trPr>
          <w:trHeight w:val="224"/>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37,815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320" w:hanging="314"/>
        <w:spacing w:after="0" w:line="265" w:lineRule="auto"/>
        <w:tabs>
          <w:tab w:leader="none" w:pos="31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derivative assets is reported in Derivative investments, and the fair value of derivative liabilities is reported in Accounts payable and accrued liabilities on the unaudited Condensed Consolidated Balance Sheets.</w:t>
      </w:r>
    </w:p>
    <w:p>
      <w:pPr>
        <w:ind w:left="320" w:hanging="314"/>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is included in Other long term investments on the unaudited Condensed Consolidated Balance Sheets.</w:t>
      </w:r>
    </w:p>
    <w:p>
      <w:pPr>
        <w:spacing w:after="0" w:line="11"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is included in Contractholder funds on the unaudited Condensed Consolidated Balance Sheets.</w:t>
      </w:r>
    </w:p>
    <w:p>
      <w:pPr>
        <w:spacing w:after="0" w:line="2" w:lineRule="exact"/>
        <w:rPr>
          <w:rFonts w:ascii="Times New Roman" w:cs="Times New Roman" w:eastAsia="Times New Roman" w:hAnsi="Times New Roman"/>
          <w:sz w:val="14"/>
          <w:szCs w:val="14"/>
          <w:color w:val="auto"/>
        </w:rPr>
      </w:pPr>
    </w:p>
    <w:p>
      <w:pPr>
        <w:ind w:left="320" w:hanging="314"/>
        <w:spacing w:after="0" w:line="267" w:lineRule="auto"/>
        <w:tabs>
          <w:tab w:leader="none" w:pos="31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embedded derivative asset is included in Funds withheld for reinsurance liabilities as a contra-liability on the unaudited Condensed Consolidated Balance Sheet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amounts and locations of gains (losses) recognized for derivatives and gains (losses) recognized for hedged items included in the unaudited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Earnings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78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9"/>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9"/>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1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0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(losses)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(losses) for</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40" w:type="dxa"/>
            <w:vAlign w:val="bottom"/>
          </w:tcPr>
          <w:p>
            <w:pPr>
              <w:spacing w:after="0"/>
              <w:rPr>
                <w:sz w:val="12"/>
                <w:szCs w:val="12"/>
                <w:color w:val="auto"/>
              </w:rPr>
            </w:pPr>
          </w:p>
        </w:tc>
        <w:tc>
          <w:tcPr>
            <w:tcW w:w="940" w:type="dxa"/>
            <w:vAlign w:val="bottom"/>
          </w:tcPr>
          <w:p>
            <w:pPr>
              <w:jc w:val="right"/>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(losses)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(losses) for</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00" w:type="dxa"/>
            <w:vAlign w:val="bottom"/>
          </w:tcPr>
          <w:p>
            <w:pPr>
              <w:spacing w:after="0"/>
              <w:rPr>
                <w:sz w:val="12"/>
                <w:szCs w:val="12"/>
                <w:color w:val="auto"/>
              </w:rPr>
            </w:pPr>
          </w:p>
        </w:tc>
        <w:tc>
          <w:tcPr>
            <w:tcW w:w="98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hedged item</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hedged item</w:t>
            </w: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78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Derivatives designated as</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4"/>
        </w:trPr>
        <w:tc>
          <w:tcPr>
            <w:tcW w:w="1780" w:type="dxa"/>
            <w:vAlign w:val="bottom"/>
          </w:tcPr>
          <w:p>
            <w:pPr>
              <w:ind w:left="120"/>
              <w:spacing w:after="0" w:line="114" w:lineRule="exact"/>
              <w:rPr>
                <w:sz w:val="20"/>
                <w:szCs w:val="20"/>
                <w:color w:val="auto"/>
              </w:rPr>
            </w:pPr>
            <w:r>
              <w:rPr>
                <w:rFonts w:ascii="Times New Roman" w:cs="Times New Roman" w:eastAsia="Times New Roman" w:hAnsi="Times New Roman"/>
                <w:sz w:val="13"/>
                <w:szCs w:val="13"/>
                <w:b w:val="1"/>
                <w:bCs w:val="1"/>
                <w:color w:val="auto"/>
              </w:rPr>
              <w:t>Total derivatives</w:t>
            </w:r>
          </w:p>
        </w:tc>
        <w:tc>
          <w:tcPr>
            <w:tcW w:w="1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designated as hedging</w:t>
            </w: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7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7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options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Futures contracts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derivative investments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embedded derivatives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17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Indexed annuities/IUL</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w:t>
            </w: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Reinsurance related embedded</w:t>
            </w: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780" w:type="dxa"/>
            <w:vAlign w:val="bottom"/>
            <w:tcBorders>
              <w:top w:val="single" w:sz="8" w:color="CCEEFF"/>
            </w:tcBorders>
            <w:shd w:val="clear" w:color="auto" w:fill="CCEEFF"/>
          </w:tcPr>
          <w:p>
            <w:pPr>
              <w:ind w:left="120"/>
              <w:spacing w:after="0" w:line="120" w:lineRule="exact"/>
              <w:rPr>
                <w:sz w:val="20"/>
                <w:szCs w:val="20"/>
                <w:color w:val="auto"/>
              </w:rPr>
            </w:pPr>
            <w:r>
              <w:rPr>
                <w:rFonts w:ascii="Times New Roman" w:cs="Times New Roman" w:eastAsia="Times New Roman" w:hAnsi="Times New Roman"/>
                <w:sz w:val="13"/>
                <w:szCs w:val="13"/>
                <w:b w:val="1"/>
                <w:bCs w:val="1"/>
                <w:color w:val="auto"/>
              </w:rPr>
              <w:t>Total derivatives not</w:t>
            </w:r>
          </w:p>
        </w:tc>
        <w:tc>
          <w:tcPr>
            <w:tcW w:w="1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8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designated as hedging</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78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9"/>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9"/>
              <w:spacing w:after="0" w:line="128"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1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10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other changes in</w:t>
            </w: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(losses)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(losses) for</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40" w:type="dxa"/>
            <w:vAlign w:val="bottom"/>
          </w:tcPr>
          <w:p>
            <w:pPr>
              <w:spacing w:after="0"/>
              <w:rPr>
                <w:sz w:val="12"/>
                <w:szCs w:val="12"/>
                <w:color w:val="auto"/>
              </w:rPr>
            </w:pPr>
          </w:p>
        </w:tc>
        <w:tc>
          <w:tcPr>
            <w:tcW w:w="940" w:type="dxa"/>
            <w:vAlign w:val="bottom"/>
          </w:tcPr>
          <w:p>
            <w:pPr>
              <w:jc w:val="right"/>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(losses)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(losses) for</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100" w:type="dxa"/>
            <w:vAlign w:val="bottom"/>
          </w:tcPr>
          <w:p>
            <w:pPr>
              <w:spacing w:after="0"/>
              <w:rPr>
                <w:sz w:val="12"/>
                <w:szCs w:val="12"/>
                <w:color w:val="auto"/>
              </w:rPr>
            </w:pPr>
          </w:p>
        </w:tc>
        <w:tc>
          <w:tcPr>
            <w:tcW w:w="98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policy reserves</w:t>
            </w: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hedged item</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hedged item</w:t>
            </w: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78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Derivatives designated as</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1780" w:type="dxa"/>
            <w:vAlign w:val="bottom"/>
            <w:tcBorders>
              <w:top w:val="single" w:sz="8" w:color="CCEEFF"/>
            </w:tcBorders>
            <w:shd w:val="clear" w:color="auto" w:fill="CCEEFF"/>
          </w:tcPr>
          <w:p>
            <w:pPr>
              <w:ind w:left="120"/>
              <w:spacing w:after="0" w:line="121" w:lineRule="exact"/>
              <w:rPr>
                <w:sz w:val="20"/>
                <w:szCs w:val="20"/>
                <w:color w:val="auto"/>
              </w:rPr>
            </w:pPr>
            <w:r>
              <w:rPr>
                <w:rFonts w:ascii="Times New Roman" w:cs="Times New Roman" w:eastAsia="Times New Roman" w:hAnsi="Times New Roman"/>
                <w:sz w:val="14"/>
                <w:szCs w:val="14"/>
                <w:b w:val="1"/>
                <w:bCs w:val="1"/>
                <w:color w:val="auto"/>
              </w:rPr>
              <w:t>Total derivatives</w:t>
            </w:r>
          </w:p>
        </w:tc>
        <w:tc>
          <w:tcPr>
            <w:tcW w:w="1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8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designated as hedging</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7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7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options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Futures contracts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derivative investments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embedded derivatives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17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Indexed annuities/IUL</w:t>
            </w: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derivatives</w:t>
            </w: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Reinsurance related embedded</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780" w:type="dxa"/>
            <w:vAlign w:val="bottom"/>
          </w:tcPr>
          <w:p>
            <w:pPr>
              <w:ind w:left="120"/>
              <w:spacing w:after="0" w:line="114" w:lineRule="exact"/>
              <w:rPr>
                <w:sz w:val="20"/>
                <w:szCs w:val="20"/>
                <w:color w:val="auto"/>
              </w:rPr>
            </w:pPr>
            <w:r>
              <w:rPr>
                <w:rFonts w:ascii="Times New Roman" w:cs="Times New Roman" w:eastAsia="Times New Roman" w:hAnsi="Times New Roman"/>
                <w:sz w:val="13"/>
                <w:szCs w:val="13"/>
                <w:b w:val="1"/>
                <w:bCs w:val="1"/>
                <w:color w:val="auto"/>
              </w:rPr>
              <w:t>Total derivatives not</w:t>
            </w:r>
          </w:p>
        </w:tc>
        <w:tc>
          <w:tcPr>
            <w:tcW w:w="1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designated as hedging</w:t>
            </w: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left="54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amounts are recorded in the unaudited Condensed Consolidated Balance Sheets related to the carrying amount of hedged assets and (liabilities) and the cumulative basis adjustment included in the carrying amount for fair value hedges: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60" w:type="dxa"/>
            <w:vAlign w:val="bottom"/>
          </w:tcPr>
          <w:p>
            <w:pPr>
              <w:spacing w:after="0"/>
              <w:rPr>
                <w:sz w:val="16"/>
                <w:szCs w:val="16"/>
                <w:color w:val="auto"/>
              </w:rPr>
            </w:pPr>
          </w:p>
        </w:tc>
        <w:tc>
          <w:tcPr>
            <w:tcW w:w="350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tcPr>
          <w:p>
            <w:pPr>
              <w:jc w:val="center"/>
              <w:ind w:right="9"/>
              <w:spacing w:after="0" w:line="126" w:lineRule="exact"/>
              <w:rPr>
                <w:sz w:val="20"/>
                <w:szCs w:val="20"/>
                <w:color w:val="auto"/>
              </w:rPr>
            </w:pPr>
            <w:r>
              <w:rPr>
                <w:rFonts w:ascii="Times New Roman" w:cs="Times New Roman" w:eastAsia="Times New Roman" w:hAnsi="Times New Roman"/>
                <w:sz w:val="14"/>
                <w:szCs w:val="14"/>
                <w:b w:val="1"/>
                <w:bCs w:val="1"/>
                <w:color w:val="auto"/>
              </w:rPr>
              <w:t>Cumulative Amount of Fair</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9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Cumulative Amount of Fair</w:t>
            </w:r>
          </w:p>
        </w:tc>
        <w:tc>
          <w:tcPr>
            <w:tcW w:w="0" w:type="dxa"/>
            <w:vAlign w:val="bottom"/>
          </w:tcPr>
          <w:p>
            <w:pPr>
              <w:spacing w:after="0"/>
              <w:rPr>
                <w:sz w:val="1"/>
                <w:szCs w:val="1"/>
                <w:color w:val="auto"/>
              </w:rPr>
            </w:pPr>
          </w:p>
        </w:tc>
      </w:tr>
      <w:tr>
        <w:trPr>
          <w:trHeight w:val="134"/>
        </w:trPr>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Value Hedging Adjustment</w:t>
            </w:r>
          </w:p>
        </w:tc>
        <w:tc>
          <w:tcPr>
            <w:tcW w:w="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4"/>
                <w:szCs w:val="14"/>
                <w:b w:val="1"/>
                <w:bCs w:val="1"/>
                <w:color w:val="auto"/>
              </w:rPr>
              <w:t>Value Hedging Adjustment</w:t>
            </w:r>
          </w:p>
        </w:tc>
        <w:tc>
          <w:tcPr>
            <w:tcW w:w="0" w:type="dxa"/>
            <w:vAlign w:val="bottom"/>
          </w:tcPr>
          <w:p>
            <w:pPr>
              <w:spacing w:after="0"/>
              <w:rPr>
                <w:sz w:val="1"/>
                <w:szCs w:val="1"/>
                <w:color w:val="auto"/>
              </w:rPr>
            </w:pPr>
          </w:p>
        </w:tc>
      </w:tr>
      <w:tr>
        <w:trPr>
          <w:trHeight w:val="146"/>
        </w:trPr>
        <w:tc>
          <w:tcPr>
            <w:tcW w:w="3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Line Item in the unaudited Condensed Consolidated</w:t>
            </w:r>
          </w:p>
        </w:tc>
        <w:tc>
          <w:tcPr>
            <w:tcW w:w="190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Carrying Amount of Hedged</w:t>
            </w:r>
          </w:p>
        </w:tc>
        <w:tc>
          <w:tcPr>
            <w:tcW w:w="140" w:type="dxa"/>
            <w:vAlign w:val="bottom"/>
          </w:tcPr>
          <w:p>
            <w:pPr>
              <w:spacing w:after="0"/>
              <w:rPr>
                <w:sz w:val="12"/>
                <w:szCs w:val="12"/>
                <w:color w:val="auto"/>
              </w:rPr>
            </w:pPr>
          </w:p>
        </w:tc>
        <w:tc>
          <w:tcPr>
            <w:tcW w:w="18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included in the Carrying</w:t>
            </w:r>
          </w:p>
        </w:tc>
        <w:tc>
          <w:tcPr>
            <w:tcW w:w="1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 of Hedged</w:t>
            </w:r>
          </w:p>
        </w:tc>
        <w:tc>
          <w:tcPr>
            <w:tcW w:w="180" w:type="dxa"/>
            <w:vAlign w:val="bottom"/>
          </w:tcPr>
          <w:p>
            <w:pPr>
              <w:spacing w:after="0"/>
              <w:rPr>
                <w:sz w:val="12"/>
                <w:szCs w:val="12"/>
                <w:color w:val="auto"/>
              </w:rPr>
            </w:pPr>
          </w:p>
        </w:tc>
        <w:tc>
          <w:tcPr>
            <w:tcW w:w="1760" w:type="dxa"/>
            <w:vAlign w:val="bottom"/>
          </w:tcPr>
          <w:p>
            <w:pPr>
              <w:jc w:val="center"/>
              <w:ind w:right="42"/>
              <w:spacing w:after="0" w:line="146" w:lineRule="exact"/>
              <w:rPr>
                <w:sz w:val="20"/>
                <w:szCs w:val="20"/>
                <w:color w:val="auto"/>
              </w:rPr>
            </w:pPr>
            <w:r>
              <w:rPr>
                <w:rFonts w:ascii="Times New Roman" w:cs="Times New Roman" w:eastAsia="Times New Roman" w:hAnsi="Times New Roman"/>
                <w:sz w:val="14"/>
                <w:szCs w:val="14"/>
                <w:b w:val="1"/>
                <w:bCs w:val="1"/>
                <w:color w:val="auto"/>
              </w:rPr>
              <w:t>included in the Carrying</w:t>
            </w:r>
          </w:p>
        </w:tc>
        <w:tc>
          <w:tcPr>
            <w:tcW w:w="0" w:type="dxa"/>
            <w:vAlign w:val="bottom"/>
          </w:tcPr>
          <w:p>
            <w:pPr>
              <w:spacing w:after="0"/>
              <w:rPr>
                <w:sz w:val="1"/>
                <w:szCs w:val="1"/>
                <w:color w:val="auto"/>
              </w:rPr>
            </w:pPr>
          </w:p>
        </w:tc>
      </w:tr>
      <w:tr>
        <w:trPr>
          <w:trHeight w:val="144"/>
        </w:trPr>
        <w:tc>
          <w:tcPr>
            <w:tcW w:w="346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20" w:type="dxa"/>
            <w:vAlign w:val="bottom"/>
            <w:gridSpan w:val="3"/>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rPr>
              <w:t>Amount of the Hedged Assets</w:t>
            </w:r>
          </w:p>
        </w:tc>
        <w:tc>
          <w:tcPr>
            <w:tcW w:w="1920" w:type="dxa"/>
            <w:vAlign w:val="bottom"/>
            <w:gridSpan w:val="2"/>
            <w:vMerge w:val="continue"/>
          </w:tcPr>
          <w:p>
            <w:pPr>
              <w:spacing w:after="0"/>
              <w:rPr>
                <w:sz w:val="12"/>
                <w:szCs w:val="12"/>
                <w:color w:val="auto"/>
              </w:rPr>
            </w:pPr>
          </w:p>
        </w:tc>
        <w:tc>
          <w:tcPr>
            <w:tcW w:w="1940" w:type="dxa"/>
            <w:vAlign w:val="bottom"/>
            <w:gridSpan w:val="2"/>
          </w:tcPr>
          <w:p>
            <w:pPr>
              <w:jc w:val="center"/>
              <w:ind w:left="3"/>
              <w:spacing w:after="0" w:line="144" w:lineRule="exact"/>
              <w:rPr>
                <w:sz w:val="20"/>
                <w:szCs w:val="20"/>
                <w:color w:val="auto"/>
              </w:rPr>
            </w:pPr>
            <w:r>
              <w:rPr>
                <w:rFonts w:ascii="Times New Roman" w:cs="Times New Roman" w:eastAsia="Times New Roman" w:hAnsi="Times New Roman"/>
                <w:sz w:val="14"/>
                <w:szCs w:val="14"/>
                <w:b w:val="1"/>
                <w:bCs w:val="1"/>
                <w:color w:val="auto"/>
              </w:rPr>
              <w:t>Amount of the Hedged Assets</w:t>
            </w:r>
          </w:p>
        </w:tc>
        <w:tc>
          <w:tcPr>
            <w:tcW w:w="0" w:type="dxa"/>
            <w:vAlign w:val="bottom"/>
          </w:tcPr>
          <w:p>
            <w:pPr>
              <w:spacing w:after="0"/>
              <w:rPr>
                <w:sz w:val="1"/>
                <w:szCs w:val="1"/>
                <w:color w:val="auto"/>
              </w:rPr>
            </w:pPr>
          </w:p>
        </w:tc>
      </w:tr>
      <w:tr>
        <w:trPr>
          <w:trHeight w:val="192"/>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Sheets that includes hedged item</w:t>
            </w:r>
          </w:p>
        </w:tc>
        <w:tc>
          <w:tcPr>
            <w:tcW w:w="220" w:type="dxa"/>
            <w:vAlign w:val="bottom"/>
          </w:tcPr>
          <w:p>
            <w:pPr>
              <w:spacing w:after="0"/>
              <w:rPr>
                <w:sz w:val="16"/>
                <w:szCs w:val="16"/>
                <w:color w:val="auto"/>
              </w:rPr>
            </w:pPr>
          </w:p>
        </w:tc>
        <w:tc>
          <w:tcPr>
            <w:tcW w:w="16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6"/>
                <w:szCs w:val="16"/>
                <w:color w:val="auto"/>
              </w:rPr>
            </w:pP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60" w:type="dxa"/>
            <w:vAlign w:val="bottom"/>
          </w:tcPr>
          <w:p>
            <w:pPr>
              <w:spacing w:after="0"/>
              <w:rPr>
                <w:sz w:val="16"/>
                <w:szCs w:val="16"/>
                <w:color w:val="auto"/>
              </w:rPr>
            </w:pPr>
          </w:p>
        </w:tc>
        <w:tc>
          <w:tcPr>
            <w:tcW w:w="1560" w:type="dxa"/>
            <w:vAlign w:val="bottom"/>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w w:val="99"/>
              </w:rPr>
              <w:t>Assets (Liabilities)</w:t>
            </w:r>
          </w:p>
        </w:tc>
        <w:tc>
          <w:tcPr>
            <w:tcW w:w="180" w:type="dxa"/>
            <w:vAlign w:val="bottom"/>
          </w:tcPr>
          <w:p>
            <w:pPr>
              <w:spacing w:after="0"/>
              <w:rPr>
                <w:sz w:val="16"/>
                <w:szCs w:val="16"/>
                <w:color w:val="auto"/>
              </w:rPr>
            </w:pPr>
          </w:p>
        </w:tc>
        <w:tc>
          <w:tcPr>
            <w:tcW w:w="1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92"/>
        </w:trPr>
        <w:tc>
          <w:tcPr>
            <w:tcW w:w="3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AFS, at amortized cost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gridSpan w:val="2"/>
            <w:shd w:val="clear" w:color="auto" w:fill="CCEEFF"/>
          </w:tcPr>
          <w:p>
            <w:pPr>
              <w:jc w:val="center"/>
              <w:ind w:left="1389"/>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Contractholder funds</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p>
        </w:tc>
        <w:tc>
          <w:tcPr>
            <w:tcW w:w="17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 derivative instruments’ gains (losses) excluded from the assessment of hedge effectiveness was immaterial.</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cumulative fair value hedging adjustments for hedged assets and liabilities for which hedge accounting was discontinued as of September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utilize interest rate swaps and foreign currency swaps that are designated and accounted for as fair value hedges to reduce interest rate risk for certain funding agreements and to reduce the risk of certain exposures to foreign currency risk for foreign AFS fixed maturity securities. For fair value hedges of funding agreements, changes in fair value are reported in Benefits and other changes in policy reserves. For fair value hedges of AFS fixed maturity securities, changes in fair value included in the assessment of effectiveness are reported in Recognized gains and losses, net in the unaudited Condensed Consolidated Statement of Earnings. The change in the fair value of components excluded from the assessment of hedge effectiveness is recorded in OCI and is recognized in net income through periodic settlements.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Indexed Annuities/IUL Embedded Derivative, Equity Options and Futures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indexed annuities and IUL contracts that permit the holder to elect an interest rate return or an equity index linked component, where interest credited to the contracts is linked to the performance of various equity indices, such as the S&amp;P 500 Index. This feature represents an embedded derivative under GAAP. The indexed annuities/IUL embedded derivatives are valued at fair value and included in the liability for contractholder funds in the unaudited Condensed Consolidated Balance Sheets with changes in fair value included as a component of Benefits and other changes in policy reserves in the unaudited Condensed Consolidated Statements of Earnings.</w:t>
      </w:r>
    </w:p>
    <w:p>
      <w:pPr>
        <w:spacing w:after="0" w:line="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purchase derivatives consisting of a combination of equity options and futures contracts (specifically for indexed annuity contracts) on the applicable market indices to fund the index credits due to indexed annuity/IUL contractholders. The equity options are one, two, three, five, and six year options purchased to match the funding requirements of the underlying policies. On the respective anniversary dates of the indexed policies, the index used to compute the interest credit is reset and we purchase new equity options to fund the next index credit. We manage the cost of these purchases through the terms of our indexed annuities/IUL contracts, which permit us to change caps, spreads, or participation rates, subject to guaranteed minimums, on each contract’s anniversary date. The change in the fair value of the equity options and futures contracts is generally designed to offset the portion of the change in the fair value of the indexed annuities/IUL embedded derivatives related to index performance through the current credit period. The equity options and futures contracts are marked to fair value with the change in fair value included as a component of Recognized gains and losses, net, in the unaudited Condensed Consolidated Statements of Earnings. The change in fair value of the equity options and futures contracts includes the gains and losses recognized at the expiration of the instrument term or upon early termination and the changes in fair value of open positions.</w:t>
      </w:r>
    </w:p>
    <w:p>
      <w:pPr>
        <w:spacing w:after="0" w:line="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market exposures are hedged periodically depending on market conditions and our risk tolerance. Our indexed annuities/IUL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utilize interest rate swaps to reduce market risks from interest rate changes on our earnings associated with our floating rate investments. With an interest rate swap, we agree with another party to exchange, at specified intervals, the difference between fixed-rate and floating-rate interest amounts tied to an agreed upon notional principal.</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interest rate swaps are marked to fair value with the change in fair value, including accrued interest and related periodic cash flows received or paid, included as a component of Recognized gains and losses, net, in the unaudited Condensed Consolidated Statements of Earnings.</w:t>
      </w:r>
    </w:p>
    <w:p>
      <w:pPr>
        <w:spacing w:after="0" w:line="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Foreign Currency Swaps</w:t>
      </w:r>
    </w:p>
    <w:p>
      <w:pPr>
        <w:spacing w:after="0" w:line="1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utilize foreign currency swaps to reduce market risks from fluctuations in foreign exchange rates that impact earnings associated with our foreign currency denominated investments. Through a foreign currency swap, we agree with another party to exchange, at specified intervals, principal and interest payments in one currency for principal and interest payments in another currency, based on an agreed-upon notional amount.</w:t>
      </w:r>
    </w:p>
    <w:p>
      <w:pPr>
        <w:spacing w:after="0" w:line="19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 foreign currency swaps are marked to fair value with the change in fair value, including accrued interest and related periodic cash flows received or paid, included as a component of Recognized gains and losses, net, in the unaudited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Reinsurance Related Embedded Derivatives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F&amp;G cedes certain business on a coinsurance funds withheld basis. Investment results for the assets that support the coinsurance are segregated within the funds withheld account and are passed directly to the reinsurer pursuant to the contractual terms of the reinsurance agreement, which creates embedded derivatives considered to be total return swaps. These total return swaps are not clearly and closely related to the underlying reinsurance agreement and thus require bifurcation. The fair value of the total return swaps is based on the change in fair value of the underlying assets held in the funds withheld account. Beginning in the first quarter of 2025, these embedded derivatives are reported in Funds withheld for reinsurance liabilities, irrespective if in a net asset position or a net liability position, on the unaudited Condensed Consolidated Balance Sheets and prior periods have been reclassified to conform with the current presentation. The related gains or losses are reported in Recognized gains and losses, net, on the unaudited Condensed Consolidated Statements of Earnings.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13"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are exposed to credit loss in the event of non-performance by our counterparties and reflect assumptions regarding this non-performance risk in the fair value of our derivatives.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manage credit risk related to non-performance by our counterparties by (i) entering into derivative transactions with creditworthy counterparties; (ii) obtaining collateral, such as cash and securities when appropriate; and (iii) establishing counterparty exposure limits, which are subject to periodic management review.</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our exposure to credit loss on the derivative instruments we hold, excluding futures contracts, is presented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280" w:type="dxa"/>
            <w:vAlign w:val="bottom"/>
          </w:tcPr>
          <w:p>
            <w:pPr>
              <w:spacing w:after="0"/>
              <w:rPr>
                <w:sz w:val="16"/>
                <w:szCs w:val="16"/>
                <w:color w:val="auto"/>
              </w:rPr>
            </w:pPr>
          </w:p>
        </w:tc>
        <w:tc>
          <w:tcPr>
            <w:tcW w:w="14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Net Credit Risk</w:t>
            </w:r>
          </w:p>
        </w:tc>
      </w:tr>
      <w:tr>
        <w:trPr>
          <w:trHeight w:val="24"/>
        </w:trPr>
        <w:tc>
          <w:tcPr>
            <w:tcW w:w="6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6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2025</w:t>
            </w:r>
          </w:p>
        </w:tc>
        <w:tc>
          <w:tcPr>
            <w:tcW w:w="120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1,214</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1,165</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4"/>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1200" w:type="dxa"/>
            <w:vAlign w:val="bottom"/>
          </w:tcPr>
          <w:p>
            <w:pPr>
              <w:spacing w:after="0"/>
              <w:rPr>
                <w:sz w:val="15"/>
                <w:szCs w:val="15"/>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782</w:t>
            </w:r>
          </w:p>
        </w:tc>
        <w:tc>
          <w:tcPr>
            <w:tcW w:w="340" w:type="dxa"/>
            <w:vAlign w:val="bottom"/>
          </w:tcPr>
          <w:p>
            <w:pPr>
              <w:spacing w:after="0"/>
              <w:rPr>
                <w:sz w:val="15"/>
                <w:szCs w:val="15"/>
                <w:color w:val="auto"/>
              </w:rPr>
            </w:pP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771</w:t>
            </w: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bl>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Collateral Agreements</w:t>
      </w:r>
    </w:p>
    <w:p>
      <w:pPr>
        <w:spacing w:after="0" w:line="12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We are required to maintain minimum ratings as a matter of routine practice as part of our over-the-counter derivative agreements on ISDA forms. Under some ISDA agreements, we have agreed to maintain certain financial strength ratings. A downgrade below these levels provides the counterparty under the agreement the right to terminate the open derivative contracts between the parties, at which time any amounts payable by us or the counterparty would be dependent on the market value of the underlying contracts. Our current rating does not allow any counterparty the right to terminate ISDA agreements. In certain transactions, both we and the counterparty have entered into a collateral support agreement requiring either party to post collateral when the net exposures exceed pre-determined thresholds. For all counterparties, except one, the threshold is set to zero. As of September 30, 2025 and December 31, 2024, counterparties posted collateral of $1,165 million and $771 million, respectively, of which $823 million and $679 million, respectively, is included in Cash and cash equivalents with an associated payable for this collateral included in Accounts payable and accrued liabilities on the unaudited Condensed Consolidated Balance Sheets. The remaining collateral represents securities collateral received that is not reported on the unaudited Condensed Consolidated Balance Sheets. Accordingly, the maximum amount of loss due to credit risk that we would incur if parties to the derivatives failed completely to perform according to the terms of the contracts was $57 million and $34 million as of September 30, 2025 and December 31, 2024, respectively.</w:t>
      </w:r>
    </w:p>
    <w:p>
      <w:pPr>
        <w:spacing w:after="0" w:line="7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required to pay our counterparties the effective federal funds interest rate each day for cash collateral posted to us. Cash collateral is reinvested in overnight investment sweep products, which are included in Cash and cash equivalents in the unaudited Condensed Consolidated Balance Sheets, to reduce the interest cost. Changes in cash collateral are included in the Change in derivative collateral liabilities in the unaudited Condensed Consolidated Statements of Cash Flow.</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held 317 and 527 futures contracts as of September 30, 2025 and December 31, 2024, respectively. The fair value of the futures contracts represents the cumulative unsettled variation margin (open trade equity, net of cash settlements). We provide cash collateral to the counterparties for the initial and variation margin on the futures contracts, which is included in Cash and cash equivalents in the unaudited Condensed Consolidated Balance Sheets. The amount of cash collateral held by the counterparties for such contracts was $6 million and $7 million as of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Commitments and Contingencies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Contingencies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B </w:t>
      </w:r>
      <w:r>
        <w:rPr>
          <w:rFonts w:ascii="Times New Roman" w:cs="Times New Roman" w:eastAsia="Times New Roman" w:hAnsi="Times New Roman"/>
          <w:sz w:val="18"/>
          <w:szCs w:val="18"/>
          <w:i w:val="1"/>
          <w:iCs w:val="1"/>
          <w:color w:val="auto"/>
        </w:rPr>
        <w:t>Summary of Reserve for Title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Claim Losses </w:t>
      </w:r>
      <w:r>
        <w:rPr>
          <w:rFonts w:ascii="Times New Roman" w:cs="Times New Roman" w:eastAsia="Times New Roman" w:hAnsi="Times New Roman"/>
          <w:sz w:val="18"/>
          <w:szCs w:val="18"/>
          <w:color w:val="auto"/>
        </w:rPr>
        <w:t>for further discussion. Additionally, like other companies, our ordinary course litigation includes a number of class action and purported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lawsuits, which make allegations related to aspects of our operations. We believe that no actions, other than the matters discussed below, if any, depart from customary litigation incidental to our business.</w:t>
      </w:r>
    </w:p>
    <w:p>
      <w:pPr>
        <w:spacing w:after="0" w:line="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that represents our best estimate has been recorded. Our accrual for legal and regulatory matters was $16 million and $17 million as of September 30, 2025 and December 31, 2024,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8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F&amp;G is a defendant in two putative class action lawsuits related to the alleged compromise of certain of F&amp;G’s customers’ personal information resulting from an alleged vulnerability in the MOVEit file transfer software. F&amp;G’s vendor, Pension Benefit Information, LLC (“PBI”), used the MOVEit software in the course of providing audit and address research services to F&amp;G and many other corporate customers. </w:t>
      </w:r>
      <w:r>
        <w:rPr>
          <w:rFonts w:ascii="Times New Roman" w:cs="Times New Roman" w:eastAsia="Times New Roman" w:hAnsi="Times New Roman"/>
          <w:sz w:val="18"/>
          <w:szCs w:val="18"/>
          <w:i w:val="1"/>
          <w:iCs w:val="1"/>
          <w:color w:val="auto"/>
        </w:rPr>
        <w:t>Miller v. F&amp;G</w:t>
      </w:r>
      <w:r>
        <w:rPr>
          <w:rFonts w:ascii="Times New Roman" w:cs="Times New Roman" w:eastAsia="Times New Roman" w:hAnsi="Times New Roman"/>
          <w:sz w:val="18"/>
          <w:szCs w:val="18"/>
          <w:color w:val="auto"/>
        </w:rPr>
        <w:t xml:space="preserve">, No. 4:23-cv-00326, was filed against F&amp;G in the Southern District of Iowa on August 31, 2023. Miller alleges that he is an F&amp;G customer whose information was impacted in the MOVEit incident and brings common law tort and implied contract claims for damages. </w:t>
      </w:r>
      <w:r>
        <w:rPr>
          <w:rFonts w:ascii="Times New Roman" w:cs="Times New Roman" w:eastAsia="Times New Roman" w:hAnsi="Times New Roman"/>
          <w:sz w:val="18"/>
          <w:szCs w:val="18"/>
          <w:i w:val="1"/>
          <w:iCs w:val="1"/>
          <w:color w:val="auto"/>
        </w:rPr>
        <w:t>Cooper v. Progress Software Corp.</w:t>
      </w:r>
      <w:r>
        <w:rPr>
          <w:rFonts w:ascii="Times New Roman" w:cs="Times New Roman" w:eastAsia="Times New Roman" w:hAnsi="Times New Roman"/>
          <w:sz w:val="18"/>
          <w:szCs w:val="18"/>
          <w:color w:val="auto"/>
        </w:rPr>
        <w:t>, No. 1:23-cv-12067, was filed against F&amp;G and five other defendants in the District of Massachusetts on September 7, 2023. Cooper also alleges that he is an F&amp;G customer and brings similar common law tort claims and alleges claims as a purported third-party beneficiary of an alleged contract.</w:t>
      </w:r>
    </w:p>
    <w:p>
      <w:pPr>
        <w:spacing w:after="0" w:line="8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Well over 150 similar lawsuits have been filed against other entities impacted by the MOVEit incident including a number of such lawsuits related to PBI’s use of MOVEit. On October 4, 2023, the U.S. Judicial Panel on Multidistrict Litigation (JPML) created a multidistrict litigation (MDL) pursuant to 28 U.S.C. § 1407 to handle all litigation brought by individuals whose information was potentially compromised in connection with the alleged MOVEit vulnerability. Both </w:t>
      </w:r>
      <w:r>
        <w:rPr>
          <w:rFonts w:ascii="Times New Roman" w:cs="Times New Roman" w:eastAsia="Times New Roman" w:hAnsi="Times New Roman"/>
          <w:sz w:val="18"/>
          <w:szCs w:val="18"/>
          <w:i w:val="1"/>
          <w:iCs w:val="1"/>
          <w:color w:val="auto"/>
        </w:rPr>
        <w:t>Miller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Cooper</w:t>
      </w:r>
      <w:r>
        <w:rPr>
          <w:rFonts w:ascii="Times New Roman" w:cs="Times New Roman" w:eastAsia="Times New Roman" w:hAnsi="Times New Roman"/>
          <w:sz w:val="18"/>
          <w:szCs w:val="18"/>
          <w:color w:val="auto"/>
        </w:rPr>
        <w:t xml:space="preserve"> have been transferred to the MDL and consolidated under MDL Case No. 1:23-md-03083-ADB-PGL. The case is proceeding under a modified bellwether structure to decide critical issues and facilitate reciprocal discovery, and Plaintiffs’ consolidated class action complaint against all the bellwether Defendants was filed on December 6, 2024. F&amp;G was not selected as a bellwether Defendant, and there is no schedule in place for further proceedings involving the non-bellwether Defendants like F&amp;G. At this time, we do not believe the incident will have a material impact on our business, operations, or financial results.</w:t>
      </w:r>
    </w:p>
    <w:p>
      <w:pPr>
        <w:spacing w:after="0" w:line="8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 xml:space="preserve">In connection with the cybersecurity incident initially reported on November 21, 2023, the Company and/or its subsidiaries is a party to a consolidated putative nationwide class action, </w:t>
      </w:r>
      <w:r>
        <w:rPr>
          <w:rFonts w:ascii="Times New Roman" w:cs="Times New Roman" w:eastAsia="Times New Roman" w:hAnsi="Times New Roman"/>
          <w:sz w:val="17"/>
          <w:szCs w:val="17"/>
          <w:i w:val="1"/>
          <w:iCs w:val="1"/>
          <w:color w:val="auto"/>
        </w:rPr>
        <w:t>In Re: LoanCare Data Security Breach Litigation</w:t>
      </w:r>
      <w:r>
        <w:rPr>
          <w:rFonts w:ascii="Times New Roman" w:cs="Times New Roman" w:eastAsia="Times New Roman" w:hAnsi="Times New Roman"/>
          <w:sz w:val="17"/>
          <w:szCs w:val="17"/>
          <w:color w:val="auto"/>
        </w:rPr>
        <w:t>, Case No. 3:23cv1508, pending in the U.S. District Court for the Middle District of Florida and originating from the consolidation of putative class actions filed in the U.S. District Courts for the Middle District of Florida, the Central District of California, and the Western District of Missouri. On March 19, 2024, plaintiffs filed their consolidated class action complaint on behalf of a nationwide class, along with a California subclass and a Florida subclass, alleging common law tort and contract claims and certain state statutory claims. The parties mediated the case on July 25, 2024, and reached an agreement in principle to resolve the case on a class-wide basis. On March 24, 2025, the court granted preliminary approval of the class-wide settlement, set class notice and claim form deadlines, and scheduled a final approval hearing. On September 9, 2025, the court entered a Final Order and Judgment granting approval of the class action settlement and dismissing the case with prejudice. The deadline to appeal the Final Order and Judgment was October 9, 2025, and no appeals were filed. Funds have been disbursed to the settlement administrator.</w:t>
      </w:r>
    </w:p>
    <w:p>
      <w:pPr>
        <w:spacing w:after="0" w:line="6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On May 28, 2024, a lawsuit styled </w:t>
      </w:r>
      <w:r>
        <w:rPr>
          <w:rFonts w:ascii="Times New Roman" w:cs="Times New Roman" w:eastAsia="Times New Roman" w:hAnsi="Times New Roman"/>
          <w:sz w:val="18"/>
          <w:szCs w:val="18"/>
          <w:i w:val="1"/>
          <w:iCs w:val="1"/>
          <w:color w:val="auto"/>
        </w:rPr>
        <w:t>Roofers Local 149 Pension Fund v. Fidelity National Financial Inc., William P. Foley, F&amp;G Annuities &amp; Life Inc</w:t>
      </w:r>
      <w:r>
        <w:rPr>
          <w:rFonts w:ascii="Times New Roman" w:cs="Times New Roman" w:eastAsia="Times New Roman" w:hAnsi="Times New Roman"/>
          <w:sz w:val="18"/>
          <w:szCs w:val="18"/>
          <w:color w:val="auto"/>
        </w:rPr>
        <w:t>., C.A. No. 2024-0562-LWW, was filed in the Chancery Court of the State of Delaware against Fidelity National Financial, Inc. (“FNF”), in its capacity as F&amp;G Annuities &amp; Life Inc.’s (“F&amp;G”) controlling stockholder, and William P. Foley, Executive Chairman of F&amp;G and Chairman of FNF, alleging breach of fiduciary duty related to F&amp;G’s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January 11, 2024 sale of $250 million of 6.875% Series A Mandatory Convertible Preferred Stock to FNF. Plaintiff alleges that, based upon an unfair process and unfair price, the preferred stock investment was advantageous to FNF and unfair to F&amp;G. Plaintiff seeks to recover damages on behalf of F&amp;G for the alleged unfair preferred stock investment and the adoption of certain corporate governance measures. On July 24, 2024, F&amp;G filed its answer, and the remaining defendants, including FNF, filed their motion to dismiss Plaintiff’s complaint. On September 23, 2024, Plaintiff voluntarily dismissed its action against William P. Foley. On May 9, 2025, the court entered an order granting FNF’s motion and dismissing the stockholder derivative complaint finding plaintiff failed to plead specific facts supporting its unfairness allegations. No appeal was filed, and the case has been dismissed with prejudice.</w:t>
      </w:r>
    </w:p>
    <w:p>
      <w:pPr>
        <w:spacing w:after="0" w:line="79"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Fidelity &amp; Guaranty Life Insurance Company (“FGL Insurance”) is a defendant in a lawsuit filed in U.S. District Court for the Southern District of Texas styled, </w:t>
      </w:r>
      <w:r>
        <w:rPr>
          <w:rFonts w:ascii="Times New Roman" w:cs="Times New Roman" w:eastAsia="Times New Roman" w:hAnsi="Times New Roman"/>
          <w:sz w:val="18"/>
          <w:szCs w:val="18"/>
          <w:i w:val="1"/>
          <w:iCs w:val="1"/>
          <w:color w:val="auto"/>
        </w:rPr>
        <w:t>Insurance Distribution Consulting, LLC v. Fidelity &amp; Guaranty Life Insurance Company</w:t>
      </w:r>
      <w:r>
        <w:rPr>
          <w:rFonts w:ascii="Times New Roman" w:cs="Times New Roman" w:eastAsia="Times New Roman" w:hAnsi="Times New Roman"/>
          <w:sz w:val="18"/>
          <w:szCs w:val="18"/>
          <w:color w:val="auto"/>
        </w:rPr>
        <w:t xml:space="preserve">, Case No. 3:23-cv-00126. Plaintiff, which provides consulting services to independent marketing organizations (IMOs), alleges FGL Insurance failed to pay commissions owed to plaintiff and diverted commissions from one of plaintiff’s IMO customers, Syncis, to another IMO, Freedom Equity Group, LLC (“Freedom Equity”). Further, plaintiff alleges after FGL Insurance purportedly purchased a partial ownership interest in Syncis and Freedom Equity, plaintiff offered to sell its interests in its contracts with Syncis but FGL Insurance declined, leading Plaintiff to allege a statutory violation of 42 U.S.C. §1981 for discrimination where plaintiff’s sole member is a racial minority. Plaintiff claims its damages for breach of contract from FGL Insurance’s purported failure to pay commissions are more than $162 million and its damages from FGL Insurance’s declining to purchase Plaintiff’s interest in its contracts with Syncis are over $11 million. FGL Insurance denies the allegations and denies any contract or agreement existed with plaintiff to pay commissions. On April 21, 2025, FGL Insurance filed its initial motion for summary judgment, which is fully briefed. On June 5, 2025, plaintiff amended its complaint to include an additional breach of contract claim, prompting FGL Insurance to file a second motion for summary judgment on July 18, 2025, addressing the new allegation. This motion is also fully briefed. Additionally, FGL Insurance's motion to exclude plaintiff’s expert testimony as inadmissible, filed on June 9, 2025, remains pending with the court. On July 18, 2025, Peak Altitude Equity, LLC (“Peak”), a subsidiary of Fidelity &amp; Guaranty Life Holdings, Inc., was served with a lawsuit filed by IDC as a counterclaim in response to a separate breach of contract lawsuit initiated against IDC by Syncis. The case, styled, </w:t>
      </w:r>
      <w:r>
        <w:rPr>
          <w:rFonts w:ascii="Times New Roman" w:cs="Times New Roman" w:eastAsia="Times New Roman" w:hAnsi="Times New Roman"/>
          <w:sz w:val="18"/>
          <w:szCs w:val="18"/>
          <w:i w:val="1"/>
          <w:iCs w:val="1"/>
          <w:color w:val="auto"/>
        </w:rPr>
        <w:t>Syncis Insurance Solutions, LLC v. Insurance Distribution Consulting, LLC,</w:t>
      </w:r>
      <w:r>
        <w:rPr>
          <w:rFonts w:ascii="Times New Roman" w:cs="Times New Roman" w:eastAsia="Times New Roman" w:hAnsi="Times New Roman"/>
          <w:sz w:val="18"/>
          <w:szCs w:val="18"/>
          <w:color w:val="auto"/>
        </w:rPr>
        <w:t xml:space="preserve"> Case No. 2:25-cv-03874, is pending in the U.S. District Court for the Central District of California, and certain facts alleged by IDC against Peak overlap with those asserted in the lawsuit filed by IDC against FGL Insurance. On September 8, 2025, Peak filed its motion to dismiss IDC's counterclaim on various grounds. The motion has been fully briefed and a decision is pending with the court. FGL Insurance and Peak will vigorously contest the plaintiff’s claims in the actions. As this case continues to evolve, it is not possible to reasonably estimate the probability that plaintiff will ultimately prevail on its claims or that FGL Insurance and/or Peak will be held liable for the dispute. At this time, we do not believe the lawsuit will have a material impact on our business, operations, or financial results.</w:t>
      </w:r>
    </w:p>
    <w:p>
      <w:pPr>
        <w:spacing w:after="0" w:line="70"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 xml:space="preserve">On June 10, 2025, a stockholder derivative lawsuit styled, </w:t>
      </w:r>
      <w:r>
        <w:rPr>
          <w:rFonts w:ascii="Times New Roman" w:cs="Times New Roman" w:eastAsia="Times New Roman" w:hAnsi="Times New Roman"/>
          <w:sz w:val="18"/>
          <w:szCs w:val="18"/>
          <w:i w:val="1"/>
          <w:iCs w:val="1"/>
          <w:color w:val="auto"/>
        </w:rPr>
        <w:t>Patrick Ayers v. William P. Foley, Douglas K. Ammerman, Halim Dhanidina, Thomas 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Hagerty, Daniel D. Lane, Heather H. Miller, Sandra D. Morgan, John D. Rood, Peter O. Shea, Jr., Cary H. Thompson, and Fidelity National Financial,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 No. 2025-0650-LWW, was filed in the Chancery Court of the State of Delaware against FNF and its non-employee members of its Board of Directors alleging they breached their fiduciary duties related to their compensation in 2022, 2023, and 2024, and were unjustly enriched. Plaintiff seeks disgorgement of any alleged excessive and unfair compensation payments, the recovery of damages on behalf of FNF, and the reformation of certain corporate governance and internal measures to protect FNF and its stockholders going forward. On August 1, 2025, defendants filed a motion to dismiss the lawsuit based on various grounds. A hearing on the motion has been scheduled for January 22, 2026. At this time, we do not believe the lawsuit will have a material impact on our business, operations, or financial results.</w:t>
      </w:r>
    </w:p>
    <w:p>
      <w:pPr>
        <w:spacing w:after="0" w:line="9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business,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In our F&amp;G segment, we have unfunded commitments as of September 30, 2025 based upon the timing of when investments and agreements are executed or signed compared to when the actual investments and agreements are funded or closed. Some investments require that funding occur over a period of months or years. A summary of unfunded commitments by commitment type as of September 30, 2025 is included below:</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8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4"/>
        </w:trPr>
        <w:tc>
          <w:tcPr>
            <w:tcW w:w="8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 Type</w:t>
            </w: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9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Unconsolidated VIEs:</w:t>
            </w:r>
          </w:p>
        </w:tc>
        <w:tc>
          <w:tcPr>
            <w:tcW w:w="2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Limited partnerships</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206"/>
        </w:trPr>
        <w:tc>
          <w:tcPr>
            <w:tcW w:w="8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Asset-backed lending</w:t>
            </w:r>
          </w:p>
        </w:tc>
        <w:tc>
          <w:tcPr>
            <w:tcW w:w="28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91"/>
        </w:trPr>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maturity securities, asset-backed securities</w:t>
            </w:r>
          </w:p>
        </w:tc>
        <w:tc>
          <w:tcPr>
            <w:tcW w:w="2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20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Lending</w:t>
            </w:r>
          </w:p>
        </w:tc>
        <w:tc>
          <w:tcPr>
            <w:tcW w:w="28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0" w:type="dxa"/>
            <w:vAlign w:val="bottom"/>
          </w:tcPr>
          <w:p>
            <w:pPr>
              <w:spacing w:after="0"/>
              <w:rPr>
                <w:sz w:val="1"/>
                <w:szCs w:val="1"/>
                <w:color w:val="auto"/>
              </w:rPr>
            </w:pPr>
          </w:p>
        </w:tc>
      </w:tr>
      <w:tr>
        <w:trPr>
          <w:trHeight w:val="191"/>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fixed maturity securities, AFS</w:t>
            </w:r>
          </w:p>
        </w:tc>
        <w:tc>
          <w:tcPr>
            <w:tcW w:w="2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0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28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1"/>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2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99"/>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4,262</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Concurrent with the Roar purchase agreement, we executed a separate loan agreement with the sellers of Roar for us to lend up to $40 million. The loan matures on August 5, 2027. The principal balance outstanding as of September 30, 2025 and December 31, 2024 was $18 million and $11 million, respectively. The balance is included in Prepaid expenses and other assets on the unaudited Condensed Consolidated Balance Sheets. Changes in fair value are reported within Recognized gains and losses, net in the unaudited Condensed Consolidated Statements of Earnings. Interest income is recorded in Interest and investment income in the unaudited Condensed Consolidated Statements of Earnings and recognized when earned. The remainder of the unfunded loan commitment is included in the unfunded commitments table above in the Other assets line item.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Dividends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November 6, 2025, our Board of Directors declared cash dividends of $0.52 per share, payable on December 31, 2025, to FNF common shareholders of record as of December 17,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Segment Information</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tables below summarize the result of operations by segment that are provided to the Chief Operating Decision Maker ("CODM"), who is the Company's Chief Executive Officer. The Company's primary methods of measuring profitability and performance on a reportable segment basis are Revenues and Net earnings from continuing operations, which are also measures used by the CODM to evaluate segment results and are factors in determining capital allocation among the segments.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tables. The significant expense categories and amounts align with the segment-level information that is regularly provided to the CODM.</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three months ended September 30,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2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3"/>
                <w:szCs w:val="13"/>
                <w:color w:val="auto"/>
              </w:rPr>
            </w:pPr>
          </w:p>
        </w:tc>
        <w:tc>
          <w:tcPr>
            <w:tcW w:w="76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678</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890</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 related and other fees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1,429</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857</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4,030</w:t>
            </w:r>
          </w:p>
        </w:tc>
        <w:tc>
          <w:tcPr>
            <w:tcW w:w="0" w:type="dxa"/>
            <w:vAlign w:val="bottom"/>
          </w:tcPr>
          <w:p>
            <w:pPr>
              <w:spacing w:after="0"/>
              <w:rPr>
                <w:sz w:val="1"/>
                <w:szCs w:val="1"/>
                <w:color w:val="auto"/>
              </w:rPr>
            </w:pPr>
          </w:p>
        </w:tc>
      </w:tr>
      <w:tr>
        <w:trPr>
          <w:trHeight w:val="18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segment expenses: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899</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690</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407</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1,181</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3,177</w:t>
            </w:r>
          </w:p>
        </w:tc>
        <w:tc>
          <w:tcPr>
            <w:tcW w:w="0" w:type="dxa"/>
            <w:vAlign w:val="bottom"/>
          </w:tcPr>
          <w:p>
            <w:pPr>
              <w:spacing w:after="0"/>
              <w:rPr>
                <w:sz w:val="1"/>
                <w:szCs w:val="1"/>
                <w:color w:val="auto"/>
              </w:rPr>
            </w:pPr>
          </w:p>
        </w:tc>
      </w:tr>
      <w:tr>
        <w:trPr>
          <w:trHeight w:val="18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items: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227</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gains</w:t>
            </w: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other segment items</w:t>
            </w: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400</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segment expenses</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3,577</w:t>
            </w:r>
          </w:p>
        </w:tc>
        <w:tc>
          <w:tcPr>
            <w:tcW w:w="0" w:type="dxa"/>
            <w:vAlign w:val="bottom"/>
          </w:tcPr>
          <w:p>
            <w:pPr>
              <w:spacing w:after="0"/>
              <w:rPr>
                <w:sz w:val="1"/>
                <w:szCs w:val="1"/>
                <w:color w:val="auto"/>
              </w:rPr>
            </w:pPr>
          </w:p>
        </w:tc>
      </w:tr>
      <w:tr>
        <w:trPr>
          <w:trHeight w:val="18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453</w:t>
            </w: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363</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389</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96,142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106,636</w:t>
            </w:r>
          </w:p>
        </w:tc>
        <w:tc>
          <w:tcPr>
            <w:tcW w:w="0" w:type="dxa"/>
            <w:vAlign w:val="bottom"/>
          </w:tcPr>
          <w:p>
            <w:pPr>
              <w:spacing w:after="0"/>
              <w:rPr>
                <w:sz w:val="1"/>
                <w:szCs w:val="1"/>
                <w:color w:val="auto"/>
              </w:rPr>
            </w:pPr>
          </w:p>
        </w:tc>
      </w:tr>
      <w:tr>
        <w:trPr>
          <w:trHeight w:val="18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three months ended September 30, 2024:</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3"/>
                <w:szCs w:val="13"/>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4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80" w:type="dxa"/>
            <w:vAlign w:val="bottom"/>
          </w:tcPr>
          <w:p>
            <w:pPr>
              <w:spacing w:after="0"/>
              <w:rPr>
                <w:sz w:val="13"/>
                <w:szCs w:val="13"/>
                <w:color w:val="auto"/>
              </w:rPr>
            </w:pPr>
          </w:p>
        </w:tc>
        <w:tc>
          <w:tcPr>
            <w:tcW w:w="70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571</w:t>
            </w:r>
          </w:p>
        </w:tc>
        <w:tc>
          <w:tcPr>
            <w:tcW w:w="0" w:type="dxa"/>
            <w:vAlign w:val="bottom"/>
          </w:tcPr>
          <w:p>
            <w:pPr>
              <w:spacing w:after="0"/>
              <w:rPr>
                <w:sz w:val="1"/>
                <w:szCs w:val="1"/>
                <w:color w:val="auto"/>
              </w:rPr>
            </w:pPr>
          </w:p>
        </w:tc>
      </w:tr>
      <w:tr>
        <w:trPr>
          <w:trHeight w:val="192"/>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789</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 related and other fees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1,159</w:t>
            </w:r>
          </w:p>
        </w:tc>
        <w:tc>
          <w:tcPr>
            <w:tcW w:w="0" w:type="dxa"/>
            <w:vAlign w:val="bottom"/>
          </w:tcPr>
          <w:p>
            <w:pPr>
              <w:spacing w:after="0"/>
              <w:rPr>
                <w:sz w:val="1"/>
                <w:szCs w:val="1"/>
                <w:color w:val="auto"/>
              </w:rPr>
            </w:pPr>
          </w:p>
        </w:tc>
      </w:tr>
      <w:tr>
        <w:trPr>
          <w:trHeight w:val="192"/>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left="56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815</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w:t>
            </w:r>
          </w:p>
        </w:tc>
        <w:tc>
          <w:tcPr>
            <w:tcW w:w="0" w:type="dxa"/>
            <w:vAlign w:val="bottom"/>
          </w:tcPr>
          <w:p>
            <w:pPr>
              <w:spacing w:after="0"/>
              <w:rPr>
                <w:sz w:val="1"/>
                <w:szCs w:val="1"/>
                <w:color w:val="auto"/>
              </w:rPr>
            </w:pPr>
          </w:p>
        </w:tc>
      </w:tr>
      <w:tr>
        <w:trPr>
          <w:trHeight w:val="186"/>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3,603</w:t>
            </w:r>
          </w:p>
        </w:tc>
        <w:tc>
          <w:tcPr>
            <w:tcW w:w="0" w:type="dxa"/>
            <w:vAlign w:val="bottom"/>
          </w:tcPr>
          <w:p>
            <w:pPr>
              <w:spacing w:after="0"/>
              <w:rPr>
                <w:sz w:val="1"/>
                <w:szCs w:val="1"/>
                <w:color w:val="auto"/>
              </w:rPr>
            </w:pPr>
          </w:p>
        </w:tc>
      </w:tr>
      <w:tr>
        <w:trPr>
          <w:trHeight w:val="18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segment expenses: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810</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612</w:t>
            </w:r>
          </w:p>
        </w:tc>
        <w:tc>
          <w:tcPr>
            <w:tcW w:w="0" w:type="dxa"/>
            <w:vAlign w:val="bottom"/>
          </w:tcPr>
          <w:p>
            <w:pPr>
              <w:spacing w:after="0"/>
              <w:rPr>
                <w:sz w:val="1"/>
                <w:szCs w:val="1"/>
                <w:color w:val="auto"/>
              </w:rPr>
            </w:pPr>
          </w:p>
        </w:tc>
      </w:tr>
      <w:tr>
        <w:trPr>
          <w:trHeight w:val="192"/>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396</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1,095</w:t>
            </w:r>
          </w:p>
        </w:tc>
        <w:tc>
          <w:tcPr>
            <w:tcW w:w="0" w:type="dxa"/>
            <w:vAlign w:val="bottom"/>
          </w:tcPr>
          <w:p>
            <w:pPr>
              <w:spacing w:after="0"/>
              <w:rPr>
                <w:sz w:val="1"/>
                <w:szCs w:val="1"/>
                <w:color w:val="auto"/>
              </w:rPr>
            </w:pPr>
          </w:p>
        </w:tc>
      </w:tr>
      <w:tr>
        <w:trPr>
          <w:trHeight w:val="186"/>
        </w:trPr>
        <w:tc>
          <w:tcPr>
            <w:tcW w:w="6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2,913</w:t>
            </w:r>
          </w:p>
        </w:tc>
        <w:tc>
          <w:tcPr>
            <w:tcW w:w="0" w:type="dxa"/>
            <w:vAlign w:val="bottom"/>
          </w:tcPr>
          <w:p>
            <w:pPr>
              <w:spacing w:after="0"/>
              <w:rPr>
                <w:sz w:val="1"/>
                <w:szCs w:val="1"/>
                <w:color w:val="auto"/>
              </w:rPr>
            </w:pPr>
          </w:p>
        </w:tc>
      </w:tr>
      <w:tr>
        <w:trPr>
          <w:trHeight w:val="18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items: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189</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c>
          <w:tcPr>
            <w:tcW w:w="0" w:type="dxa"/>
            <w:vAlign w:val="bottom"/>
          </w:tcPr>
          <w:p>
            <w:pPr>
              <w:spacing w:after="0"/>
              <w:rPr>
                <w:sz w:val="1"/>
                <w:szCs w:val="1"/>
                <w:color w:val="auto"/>
              </w:rPr>
            </w:pPr>
          </w:p>
        </w:tc>
      </w:tr>
      <w:tr>
        <w:trPr>
          <w:trHeight w:val="192"/>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losses</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w:t>
            </w:r>
          </w:p>
        </w:tc>
        <w:tc>
          <w:tcPr>
            <w:tcW w:w="0" w:type="dxa"/>
            <w:vAlign w:val="bottom"/>
          </w:tcPr>
          <w:p>
            <w:pPr>
              <w:spacing w:after="0"/>
              <w:rPr>
                <w:sz w:val="1"/>
                <w:szCs w:val="1"/>
                <w:color w:val="auto"/>
              </w:rPr>
            </w:pPr>
          </w:p>
        </w:tc>
      </w:tr>
      <w:tr>
        <w:trPr>
          <w:trHeight w:val="186"/>
        </w:trPr>
        <w:tc>
          <w:tcPr>
            <w:tcW w:w="6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other segment items</w:t>
            </w: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377</w:t>
            </w: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segment expenses</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3,290</w:t>
            </w:r>
          </w:p>
        </w:tc>
        <w:tc>
          <w:tcPr>
            <w:tcW w:w="0" w:type="dxa"/>
            <w:vAlign w:val="bottom"/>
          </w:tcPr>
          <w:p>
            <w:pPr>
              <w:spacing w:after="0"/>
              <w:rPr>
                <w:sz w:val="1"/>
                <w:szCs w:val="1"/>
                <w:color w:val="auto"/>
              </w:rPr>
            </w:pPr>
          </w:p>
        </w:tc>
      </w:tr>
      <w:tr>
        <w:trPr>
          <w:trHeight w:val="186"/>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left="56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313</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c>
          <w:tcPr>
            <w:tcW w:w="0" w:type="dxa"/>
            <w:vAlign w:val="bottom"/>
          </w:tcPr>
          <w:p>
            <w:pPr>
              <w:spacing w:after="0"/>
              <w:rPr>
                <w:sz w:val="1"/>
                <w:szCs w:val="1"/>
                <w:color w:val="auto"/>
              </w:rPr>
            </w:pPr>
          </w:p>
        </w:tc>
      </w:tr>
      <w:tr>
        <w:trPr>
          <w:trHeight w:val="186"/>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w:t>
            </w:r>
          </w:p>
        </w:tc>
        <w:tc>
          <w:tcPr>
            <w:tcW w:w="0" w:type="dxa"/>
            <w:vAlign w:val="bottom"/>
          </w:tcPr>
          <w:p>
            <w:pPr>
              <w:spacing w:after="0"/>
              <w:rPr>
                <w:sz w:val="1"/>
                <w:szCs w:val="1"/>
                <w:color w:val="auto"/>
              </w:rPr>
            </w:pPr>
          </w:p>
        </w:tc>
      </w:tr>
      <w:tr>
        <w:trPr>
          <w:trHeight w:val="19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198"/>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271</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84,110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94,672</w:t>
            </w:r>
          </w:p>
        </w:tc>
        <w:tc>
          <w:tcPr>
            <w:tcW w:w="0" w:type="dxa"/>
            <w:vAlign w:val="bottom"/>
          </w:tcPr>
          <w:p>
            <w:pPr>
              <w:spacing w:after="0"/>
              <w:rPr>
                <w:sz w:val="1"/>
                <w:szCs w:val="1"/>
                <w:color w:val="auto"/>
              </w:rPr>
            </w:pPr>
          </w:p>
        </w:tc>
      </w:tr>
      <w:tr>
        <w:trPr>
          <w:trHeight w:val="186"/>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nine months ended September 30,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13"/>
                <w:szCs w:val="13"/>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3"/>
                <w:szCs w:val="13"/>
                <w:color w:val="auto"/>
              </w:rPr>
            </w:pPr>
          </w:p>
        </w:tc>
        <w:tc>
          <w:tcPr>
            <w:tcW w:w="7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1,820</w:t>
            </w:r>
          </w:p>
        </w:tc>
        <w:tc>
          <w:tcPr>
            <w:tcW w:w="0" w:type="dxa"/>
            <w:vAlign w:val="bottom"/>
          </w:tcPr>
          <w:p>
            <w:pPr>
              <w:spacing w:after="0"/>
              <w:rPr>
                <w:sz w:val="1"/>
                <w:szCs w:val="1"/>
                <w:color w:val="auto"/>
              </w:rPr>
            </w:pP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2,410</w:t>
            </w: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 related and other fees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3,783</w:t>
            </w:r>
          </w:p>
        </w:tc>
        <w:tc>
          <w:tcPr>
            <w:tcW w:w="0" w:type="dxa"/>
            <w:vAlign w:val="bottom"/>
          </w:tcPr>
          <w:p>
            <w:pPr>
              <w:spacing w:after="0"/>
              <w:rPr>
                <w:sz w:val="1"/>
                <w:szCs w:val="1"/>
                <w:color w:val="auto"/>
              </w:rPr>
            </w:pP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w w:val="94"/>
              </w:rPr>
              <w:t>(85)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2,394</w:t>
            </w: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0" w:type="dxa"/>
            <w:vAlign w:val="bottom"/>
          </w:tcPr>
          <w:p>
            <w:pPr>
              <w:spacing w:after="0"/>
              <w:rPr>
                <w:sz w:val="1"/>
                <w:szCs w:val="1"/>
                <w:color w:val="auto"/>
              </w:rPr>
            </w:pPr>
          </w:p>
        </w:tc>
      </w:tr>
      <w:tr>
        <w:trPr>
          <w:trHeight w:val="18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3,966</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4"/>
              </w:rPr>
              <w:t>(85)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10,394</w:t>
            </w:r>
          </w:p>
        </w:tc>
        <w:tc>
          <w:tcPr>
            <w:tcW w:w="0" w:type="dxa"/>
            <w:vAlign w:val="bottom"/>
          </w:tcPr>
          <w:p>
            <w:pPr>
              <w:spacing w:after="0"/>
              <w:rPr>
                <w:sz w:val="1"/>
                <w:szCs w:val="1"/>
                <w:color w:val="auto"/>
              </w:rPr>
            </w:pPr>
          </w:p>
        </w:tc>
      </w:tr>
      <w:tr>
        <w:trPr>
          <w:trHeight w:val="18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segment expenses: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2,536</w:t>
            </w: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1,872</w:t>
            </w:r>
          </w:p>
        </w:tc>
        <w:tc>
          <w:tcPr>
            <w:tcW w:w="0" w:type="dxa"/>
            <w:vAlign w:val="bottom"/>
          </w:tcPr>
          <w:p>
            <w:pPr>
              <w:spacing w:after="0"/>
              <w:rPr>
                <w:sz w:val="1"/>
                <w:szCs w:val="1"/>
                <w:color w:val="auto"/>
              </w:rPr>
            </w:pP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1,200</w:t>
            </w: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2,698</w:t>
            </w:r>
          </w:p>
        </w:tc>
        <w:tc>
          <w:tcPr>
            <w:tcW w:w="0" w:type="dxa"/>
            <w:vAlign w:val="bottom"/>
          </w:tcPr>
          <w:p>
            <w:pPr>
              <w:spacing w:after="0"/>
              <w:rPr>
                <w:sz w:val="1"/>
                <w:szCs w:val="1"/>
                <w:color w:val="auto"/>
              </w:rPr>
            </w:pPr>
          </w:p>
        </w:tc>
      </w:tr>
      <w:tr>
        <w:trPr>
          <w:trHeight w:val="186"/>
        </w:trPr>
        <w:tc>
          <w:tcPr>
            <w:tcW w:w="6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3,042</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8,306</w:t>
            </w:r>
          </w:p>
        </w:tc>
        <w:tc>
          <w:tcPr>
            <w:tcW w:w="0" w:type="dxa"/>
            <w:vAlign w:val="bottom"/>
          </w:tcPr>
          <w:p>
            <w:pPr>
              <w:spacing w:after="0"/>
              <w:rPr>
                <w:sz w:val="1"/>
                <w:szCs w:val="1"/>
                <w:color w:val="auto"/>
              </w:rPr>
            </w:pPr>
          </w:p>
        </w:tc>
      </w:tr>
      <w:tr>
        <w:trPr>
          <w:trHeight w:val="18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items: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623</w:t>
            </w: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w:t>
            </w:r>
          </w:p>
        </w:tc>
        <w:tc>
          <w:tcPr>
            <w:tcW w:w="0" w:type="dxa"/>
            <w:vAlign w:val="bottom"/>
          </w:tcPr>
          <w:p>
            <w:pPr>
              <w:spacing w:after="0"/>
              <w:rPr>
                <w:sz w:val="1"/>
                <w:szCs w:val="1"/>
                <w:color w:val="auto"/>
              </w:rPr>
            </w:pP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losses</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148</w:t>
            </w: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w:t>
            </w:r>
          </w:p>
        </w:tc>
        <w:tc>
          <w:tcPr>
            <w:tcW w:w="0" w:type="dxa"/>
            <w:vAlign w:val="bottom"/>
          </w:tcPr>
          <w:p>
            <w:pPr>
              <w:spacing w:after="0"/>
              <w:rPr>
                <w:sz w:val="1"/>
                <w:szCs w:val="1"/>
                <w:color w:val="auto"/>
              </w:rPr>
            </w:pPr>
          </w:p>
        </w:tc>
      </w:tr>
      <w:tr>
        <w:trPr>
          <w:trHeight w:val="186"/>
        </w:trPr>
        <w:tc>
          <w:tcPr>
            <w:tcW w:w="6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other segment items</w:t>
            </w: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1,142</w:t>
            </w: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segment expenses</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9,448</w:t>
            </w:r>
          </w:p>
        </w:tc>
        <w:tc>
          <w:tcPr>
            <w:tcW w:w="0" w:type="dxa"/>
            <w:vAlign w:val="bottom"/>
          </w:tcPr>
          <w:p>
            <w:pPr>
              <w:spacing w:after="0"/>
              <w:rPr>
                <w:sz w:val="1"/>
                <w:szCs w:val="1"/>
                <w:color w:val="auto"/>
              </w:rPr>
            </w:pPr>
          </w:p>
        </w:tc>
      </w:tr>
      <w:tr>
        <w:trPr>
          <w:trHeight w:val="186"/>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w w:val="94"/>
              </w:rPr>
              <w:t>(85)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946</w:t>
            </w: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217</w:t>
            </w:r>
          </w:p>
        </w:tc>
        <w:tc>
          <w:tcPr>
            <w:tcW w:w="0" w:type="dxa"/>
            <w:vAlign w:val="bottom"/>
          </w:tcPr>
          <w:p>
            <w:pPr>
              <w:spacing w:after="0"/>
              <w:rPr>
                <w:sz w:val="1"/>
                <w:szCs w:val="1"/>
                <w:color w:val="auto"/>
              </w:rPr>
            </w:pPr>
          </w:p>
        </w:tc>
      </w:tr>
      <w:tr>
        <w:trPr>
          <w:trHeight w:val="18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4"/>
              </w:rPr>
              <w:t>(85)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729</w:t>
            </w:r>
          </w:p>
        </w:tc>
        <w:tc>
          <w:tcPr>
            <w:tcW w:w="0" w:type="dxa"/>
            <w:vAlign w:val="bottom"/>
          </w:tcPr>
          <w:p>
            <w:pPr>
              <w:spacing w:after="0"/>
              <w:rPr>
                <w:sz w:val="1"/>
                <w:szCs w:val="1"/>
                <w:color w:val="auto"/>
              </w:rPr>
            </w:pPr>
          </w:p>
        </w:tc>
      </w:tr>
      <w:tr>
        <w:trPr>
          <w:trHeight w:val="19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0" w:type="dxa"/>
            <w:vAlign w:val="bottom"/>
          </w:tcPr>
          <w:p>
            <w:pPr>
              <w:spacing w:after="0"/>
              <w:rPr>
                <w:sz w:val="1"/>
                <w:szCs w:val="1"/>
                <w:color w:val="auto"/>
              </w:rPr>
            </w:pPr>
          </w:p>
        </w:tc>
      </w:tr>
      <w:tr>
        <w:trPr>
          <w:trHeight w:val="19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4"/>
              </w:rPr>
              <w:t>(85)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765</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96,142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106,636</w:t>
            </w:r>
          </w:p>
        </w:tc>
        <w:tc>
          <w:tcPr>
            <w:tcW w:w="0" w:type="dxa"/>
            <w:vAlign w:val="bottom"/>
          </w:tcPr>
          <w:p>
            <w:pPr>
              <w:spacing w:after="0"/>
              <w:rPr>
                <w:sz w:val="1"/>
                <w:szCs w:val="1"/>
                <w:color w:val="auto"/>
              </w:rPr>
            </w:pPr>
          </w:p>
        </w:tc>
      </w:tr>
      <w:tr>
        <w:trPr>
          <w:trHeight w:val="186"/>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and for the nine months ended September 30,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13"/>
                <w:szCs w:val="13"/>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3"/>
                <w:szCs w:val="13"/>
                <w:color w:val="auto"/>
              </w:rPr>
            </w:pPr>
          </w:p>
        </w:tc>
        <w:tc>
          <w:tcPr>
            <w:tcW w:w="7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1,575</w:t>
            </w:r>
          </w:p>
        </w:tc>
        <w:tc>
          <w:tcPr>
            <w:tcW w:w="0" w:type="dxa"/>
            <w:vAlign w:val="bottom"/>
          </w:tcPr>
          <w:p>
            <w:pPr>
              <w:spacing w:after="0"/>
              <w:rPr>
                <w:sz w:val="1"/>
                <w:szCs w:val="1"/>
                <w:color w:val="auto"/>
              </w:rPr>
            </w:pP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2,166</w:t>
            </w: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 related and other fees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3,555</w:t>
            </w:r>
          </w:p>
        </w:tc>
        <w:tc>
          <w:tcPr>
            <w:tcW w:w="0" w:type="dxa"/>
            <w:vAlign w:val="bottom"/>
          </w:tcPr>
          <w:p>
            <w:pPr>
              <w:spacing w:after="0"/>
              <w:rPr>
                <w:sz w:val="1"/>
                <w:szCs w:val="1"/>
                <w:color w:val="auto"/>
              </w:rPr>
            </w:pP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w w:val="94"/>
              </w:rPr>
              <w:t>(80)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2,308</w:t>
            </w: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456</w:t>
            </w:r>
          </w:p>
        </w:tc>
        <w:tc>
          <w:tcPr>
            <w:tcW w:w="0" w:type="dxa"/>
            <w:vAlign w:val="bottom"/>
          </w:tcPr>
          <w:p>
            <w:pPr>
              <w:spacing w:after="0"/>
              <w:rPr>
                <w:sz w:val="1"/>
                <w:szCs w:val="1"/>
                <w:color w:val="auto"/>
              </w:rPr>
            </w:pPr>
          </w:p>
        </w:tc>
      </w:tr>
      <w:tr>
        <w:trPr>
          <w:trHeight w:val="18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segment revenues</w:t>
            </w: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5,690</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4,185</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4"/>
              </w:rPr>
              <w:t>(80)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10,060</w:t>
            </w:r>
          </w:p>
        </w:tc>
        <w:tc>
          <w:tcPr>
            <w:tcW w:w="0" w:type="dxa"/>
            <w:vAlign w:val="bottom"/>
          </w:tcPr>
          <w:p>
            <w:pPr>
              <w:spacing w:after="0"/>
              <w:rPr>
                <w:sz w:val="1"/>
                <w:szCs w:val="1"/>
                <w:color w:val="auto"/>
              </w:rPr>
            </w:pPr>
          </w:p>
        </w:tc>
      </w:tr>
      <w:tr>
        <w:trPr>
          <w:trHeight w:val="18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segment expenses: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2,316</w:t>
            </w: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1,681</w:t>
            </w:r>
          </w:p>
        </w:tc>
        <w:tc>
          <w:tcPr>
            <w:tcW w:w="0" w:type="dxa"/>
            <w:vAlign w:val="bottom"/>
          </w:tcPr>
          <w:p>
            <w:pPr>
              <w:spacing w:after="0"/>
              <w:rPr>
                <w:sz w:val="1"/>
                <w:szCs w:val="1"/>
                <w:color w:val="auto"/>
              </w:rPr>
            </w:pP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1,152</w:t>
            </w: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2,864</w:t>
            </w:r>
          </w:p>
        </w:tc>
        <w:tc>
          <w:tcPr>
            <w:tcW w:w="0" w:type="dxa"/>
            <w:vAlign w:val="bottom"/>
          </w:tcPr>
          <w:p>
            <w:pPr>
              <w:spacing w:after="0"/>
              <w:rPr>
                <w:sz w:val="1"/>
                <w:szCs w:val="1"/>
                <w:color w:val="auto"/>
              </w:rPr>
            </w:pPr>
          </w:p>
        </w:tc>
      </w:tr>
      <w:tr>
        <w:trPr>
          <w:trHeight w:val="186"/>
        </w:trPr>
        <w:tc>
          <w:tcPr>
            <w:tcW w:w="6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4,591</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8,013</w:t>
            </w:r>
          </w:p>
        </w:tc>
        <w:tc>
          <w:tcPr>
            <w:tcW w:w="0" w:type="dxa"/>
            <w:vAlign w:val="bottom"/>
          </w:tcPr>
          <w:p>
            <w:pPr>
              <w:spacing w:after="0"/>
              <w:rPr>
                <w:sz w:val="1"/>
                <w:szCs w:val="1"/>
                <w:color w:val="auto"/>
              </w:rPr>
            </w:pPr>
          </w:p>
        </w:tc>
      </w:tr>
      <w:tr>
        <w:trPr>
          <w:trHeight w:val="18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items: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545</w:t>
            </w: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w:t>
            </w:r>
          </w:p>
        </w:tc>
        <w:tc>
          <w:tcPr>
            <w:tcW w:w="0" w:type="dxa"/>
            <w:vAlign w:val="bottom"/>
          </w:tcPr>
          <w:p>
            <w:pPr>
              <w:spacing w:after="0"/>
              <w:rPr>
                <w:sz w:val="1"/>
                <w:szCs w:val="1"/>
                <w:color w:val="auto"/>
              </w:rPr>
            </w:pP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losses</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w:t>
            </w:r>
          </w:p>
        </w:tc>
        <w:tc>
          <w:tcPr>
            <w:tcW w:w="0" w:type="dxa"/>
            <w:vAlign w:val="bottom"/>
          </w:tcPr>
          <w:p>
            <w:pPr>
              <w:spacing w:after="0"/>
              <w:rPr>
                <w:sz w:val="1"/>
                <w:szCs w:val="1"/>
                <w:color w:val="auto"/>
              </w:rPr>
            </w:pPr>
          </w:p>
        </w:tc>
      </w:tr>
      <w:tr>
        <w:trPr>
          <w:trHeight w:val="186"/>
        </w:trPr>
        <w:tc>
          <w:tcPr>
            <w:tcW w:w="6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other segment items</w:t>
            </w: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945</w:t>
            </w: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segment expenses</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8,958</w:t>
            </w:r>
          </w:p>
        </w:tc>
        <w:tc>
          <w:tcPr>
            <w:tcW w:w="0" w:type="dxa"/>
            <w:vAlign w:val="bottom"/>
          </w:tcPr>
          <w:p>
            <w:pPr>
              <w:spacing w:after="0"/>
              <w:rPr>
                <w:sz w:val="1"/>
                <w:szCs w:val="1"/>
                <w:color w:val="auto"/>
              </w:rPr>
            </w:pPr>
          </w:p>
        </w:tc>
      </w:tr>
      <w:tr>
        <w:trPr>
          <w:trHeight w:val="186"/>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w w:val="94"/>
              </w:rPr>
              <w:t>(80)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1,102</w:t>
            </w: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w:t>
            </w:r>
          </w:p>
        </w:tc>
        <w:tc>
          <w:tcPr>
            <w:tcW w:w="0" w:type="dxa"/>
            <w:vAlign w:val="bottom"/>
          </w:tcPr>
          <w:p>
            <w:pPr>
              <w:spacing w:after="0"/>
              <w:rPr>
                <w:sz w:val="1"/>
                <w:szCs w:val="1"/>
                <w:color w:val="auto"/>
              </w:rPr>
            </w:pPr>
          </w:p>
        </w:tc>
      </w:tr>
      <w:tr>
        <w:trPr>
          <w:trHeight w:val="18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Earnings (loss) before equity in earnings of unconsolidated affiliates</w:t>
            </w: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4"/>
              </w:rPr>
              <w:t>(80)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879</w:t>
            </w:r>
          </w:p>
        </w:tc>
        <w:tc>
          <w:tcPr>
            <w:tcW w:w="0" w:type="dxa"/>
            <w:vAlign w:val="bottom"/>
          </w:tcPr>
          <w:p>
            <w:pPr>
              <w:spacing w:after="0"/>
              <w:rPr>
                <w:sz w:val="1"/>
                <w:szCs w:val="1"/>
                <w:color w:val="auto"/>
              </w:rPr>
            </w:pPr>
          </w:p>
        </w:tc>
      </w:tr>
      <w:tr>
        <w:trPr>
          <w:trHeight w:val="19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198"/>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center"/>
              <w:ind w:left="529"/>
              <w:spacing w:after="0"/>
              <w:rPr>
                <w:sz w:val="20"/>
                <w:szCs w:val="20"/>
                <w:color w:val="auto"/>
              </w:rPr>
            </w:pPr>
            <w:r>
              <w:rPr>
                <w:rFonts w:ascii="Times New Roman" w:cs="Times New Roman" w:eastAsia="Times New Roman" w:hAnsi="Times New Roman"/>
                <w:sz w:val="14"/>
                <w:szCs w:val="14"/>
                <w:color w:val="auto"/>
                <w:w w:val="94"/>
              </w:rPr>
              <w:t>(80)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883</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84,110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94,672</w:t>
            </w:r>
          </w:p>
        </w:tc>
        <w:tc>
          <w:tcPr>
            <w:tcW w:w="0" w:type="dxa"/>
            <w:vAlign w:val="bottom"/>
          </w:tcPr>
          <w:p>
            <w:pPr>
              <w:spacing w:after="0"/>
              <w:rPr>
                <w:sz w:val="1"/>
                <w:szCs w:val="1"/>
                <w:color w:val="auto"/>
              </w:rPr>
            </w:pPr>
          </w:p>
        </w:tc>
      </w:tr>
      <w:tr>
        <w:trPr>
          <w:trHeight w:val="186"/>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left="46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5,272</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activities in our segments include the following:</w:t>
      </w:r>
    </w:p>
    <w:p>
      <w:pPr>
        <w:spacing w:after="0" w:line="96" w:lineRule="exact"/>
        <w:rPr>
          <w:sz w:val="20"/>
          <w:szCs w:val="20"/>
          <w:color w:val="auto"/>
        </w:rPr>
      </w:pPr>
    </w:p>
    <w:p>
      <w:pPr>
        <w:ind w:left="800" w:hanging="397"/>
        <w:spacing w:after="0" w:line="276" w:lineRule="auto"/>
        <w:tabs>
          <w:tab w:leader="none" w:pos="7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escrow and other title-related services including loan sub-servicing, valuations, default services, and home warranty.</w:t>
      </w:r>
    </w:p>
    <w:p>
      <w:pPr>
        <w:spacing w:after="0" w:line="106" w:lineRule="exact"/>
        <w:rPr>
          <w:rFonts w:ascii="Times New Roman" w:cs="Times New Roman" w:eastAsia="Times New Roman" w:hAnsi="Times New Roman"/>
          <w:sz w:val="18"/>
          <w:szCs w:val="18"/>
          <w:color w:val="auto"/>
        </w:rPr>
      </w:pPr>
    </w:p>
    <w:p>
      <w:pPr>
        <w:jc w:val="both"/>
        <w:ind w:left="800" w:hanging="397"/>
        <w:spacing w:after="0" w:line="261" w:lineRule="auto"/>
        <w:tabs>
          <w:tab w:leader="none" w:pos="7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F&amp;G</w:t>
      </w:r>
      <w:r>
        <w:rPr>
          <w:rFonts w:ascii="Times New Roman" w:cs="Times New Roman" w:eastAsia="Times New Roman" w:hAnsi="Times New Roman"/>
          <w:sz w:val="18"/>
          <w:szCs w:val="18"/>
          <w:color w:val="auto"/>
        </w:rPr>
        <w:t>. This segment primarily consists of the operations of our annuities and life insurance related businesses. This segment issues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of annuity and life products, including deferred annuities (indexed annuities and fixed rate annuities), immediate annuities, and IUL. This segment also provides funding agreements and PRT solutions.</w:t>
      </w:r>
    </w:p>
    <w:p>
      <w:pPr>
        <w:spacing w:after="0" w:line="119" w:lineRule="exact"/>
        <w:rPr>
          <w:rFonts w:ascii="Times New Roman" w:cs="Times New Roman" w:eastAsia="Times New Roman" w:hAnsi="Times New Roman"/>
          <w:sz w:val="18"/>
          <w:szCs w:val="18"/>
          <w:color w:val="auto"/>
        </w:rPr>
      </w:pPr>
    </w:p>
    <w:p>
      <w:pPr>
        <w:jc w:val="both"/>
        <w:ind w:left="800" w:hanging="397"/>
        <w:spacing w:after="0" w:line="261" w:lineRule="auto"/>
        <w:tabs>
          <w:tab w:leader="none" w:pos="7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segment consists of the operations of the parent holding company, our real estate technology subsidiaries,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real estate brokerage businesses. This segment also includes certain other unallocated corporate overhead expenses and eliminations of revenues and expenses between it and our Title segment.</w:t>
      </w:r>
    </w:p>
    <w:p>
      <w:pPr>
        <w:spacing w:after="0" w:line="119"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Elimination. </w:t>
      </w:r>
      <w:r>
        <w:rPr>
          <w:rFonts w:ascii="Times New Roman" w:cs="Times New Roman" w:eastAsia="Times New Roman" w:hAnsi="Times New Roman"/>
          <w:sz w:val="17"/>
          <w:szCs w:val="17"/>
          <w:color w:val="auto"/>
        </w:rPr>
        <w:t>This segment consists of the elimination of dividends paid from F&amp;G to FNF, which are included in the Corporate and Other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Supplemental Cash Flow Information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certain cash payment and non-cash investing and financing activities: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520" w:type="dxa"/>
            <w:vAlign w:val="bottom"/>
          </w:tcPr>
          <w:p>
            <w:pPr>
              <w:spacing w:after="0"/>
              <w:rPr>
                <w:sz w:val="17"/>
                <w:szCs w:val="17"/>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for:</w:t>
            </w:r>
          </w:p>
        </w:tc>
        <w:tc>
          <w:tcPr>
            <w:tcW w:w="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540" w:type="dxa"/>
            <w:vAlign w:val="bottom"/>
            <w:gridSpan w:val="3"/>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91"/>
        </w:trPr>
        <w:tc>
          <w:tcPr>
            <w:tcW w:w="8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sales inducements</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Investments transferred subject to reinsurance agreement</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proceeds of sales of investments available for sale receivable in period</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purchases of investments available for sale payable in period</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191"/>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Lease liabilities recognized in exchange for lease right-of-use assets</w:t>
            </w: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Remeasurement of lease liabilities</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assumed in connection with acquisitions</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Fair value of assets acquired</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0" w:type="dxa"/>
            <w:vAlign w:val="bottom"/>
          </w:tcPr>
          <w:p>
            <w:pPr>
              <w:spacing w:after="0"/>
              <w:rPr>
                <w:sz w:val="1"/>
                <w:szCs w:val="1"/>
                <w:color w:val="auto"/>
              </w:rPr>
            </w:pPr>
          </w:p>
        </w:tc>
      </w:tr>
      <w:tr>
        <w:trPr>
          <w:trHeight w:val="192"/>
        </w:trPr>
        <w:tc>
          <w:tcPr>
            <w:tcW w:w="8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Less: Total Purchase price</w:t>
            </w: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224"/>
        </w:trPr>
        <w:tc>
          <w:tcPr>
            <w:tcW w:w="8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Liabilities and noncontrolling interests assumed</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Revenue Recognition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revenue consists of:</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48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480" w:type="dxa"/>
            <w:vAlign w:val="bottom"/>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7"/>
        </w:trPr>
        <w:tc>
          <w:tcPr>
            <w:tcW w:w="370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Revenue Stream</w:t>
            </w:r>
          </w:p>
        </w:tc>
        <w:tc>
          <w:tcPr>
            <w:tcW w:w="29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Total Revenue</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from insurance contracts:</w:t>
            </w: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0" w:type="dxa"/>
            <w:vAlign w:val="bottom"/>
          </w:tcPr>
          <w:p>
            <w:pPr>
              <w:spacing w:after="0"/>
              <w:rPr>
                <w:sz w:val="1"/>
                <w:szCs w:val="1"/>
                <w:color w:val="auto"/>
              </w:rPr>
            </w:pPr>
          </w:p>
        </w:tc>
      </w:tr>
      <w:tr>
        <w:trPr>
          <w:trHeight w:val="191"/>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0" w:type="dxa"/>
            <w:vAlign w:val="bottom"/>
          </w:tcPr>
          <w:p>
            <w:pPr>
              <w:spacing w:after="0"/>
              <w:rPr>
                <w:sz w:val="1"/>
                <w:szCs w:val="1"/>
                <w:color w:val="auto"/>
              </w:rPr>
            </w:pPr>
          </w:p>
        </w:tc>
      </w:tr>
      <w:tr>
        <w:trPr>
          <w:trHeight w:val="144"/>
        </w:trPr>
        <w:tc>
          <w:tcPr>
            <w:tcW w:w="370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Life insurance premiums, insurance and investment product</w:t>
            </w:r>
          </w:p>
        </w:tc>
        <w:tc>
          <w:tcPr>
            <w:tcW w:w="2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1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F&amp;G</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0" w:type="dxa"/>
            <w:vAlign w:val="bottom"/>
          </w:tcPr>
          <w:p>
            <w:pPr>
              <w:spacing w:after="0"/>
              <w:rPr>
                <w:sz w:val="1"/>
                <w:szCs w:val="1"/>
                <w:color w:val="auto"/>
              </w:rPr>
            </w:pPr>
          </w:p>
        </w:tc>
      </w:tr>
      <w:tr>
        <w:trPr>
          <w:trHeight w:val="195"/>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fees, and other</w:t>
            </w:r>
          </w:p>
        </w:tc>
        <w:tc>
          <w:tcPr>
            <w:tcW w:w="2940" w:type="dxa"/>
            <w:vAlign w:val="bottom"/>
            <w:gridSpan w:val="2"/>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Home warranty</w:t>
            </w:r>
          </w:p>
        </w:tc>
        <w:tc>
          <w:tcPr>
            <w:tcW w:w="2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1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99"/>
        </w:trPr>
        <w:tc>
          <w:tcPr>
            <w:tcW w:w="3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 from insurance contracts</w:t>
            </w:r>
          </w:p>
        </w:tc>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5,627</w:t>
            </w:r>
          </w:p>
        </w:tc>
        <w:tc>
          <w:tcPr>
            <w:tcW w:w="0" w:type="dxa"/>
            <w:vAlign w:val="bottom"/>
          </w:tcPr>
          <w:p>
            <w:pPr>
              <w:spacing w:after="0"/>
              <w:rPr>
                <w:sz w:val="1"/>
                <w:szCs w:val="1"/>
                <w:color w:val="auto"/>
              </w:rPr>
            </w:pPr>
          </w:p>
        </w:tc>
      </w:tr>
      <w:tr>
        <w:trPr>
          <w:trHeight w:val="191"/>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 from contracts with customers:</w:t>
            </w: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Escrow fees</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91"/>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title-related fees and income</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144"/>
        </w:trPr>
        <w:tc>
          <w:tcPr>
            <w:tcW w:w="370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ServiceLink, excluding title premiums, escrow fees, and</w:t>
            </w:r>
          </w:p>
        </w:tc>
        <w:tc>
          <w:tcPr>
            <w:tcW w:w="2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1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95"/>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subservicing fees</w:t>
            </w:r>
          </w:p>
        </w:tc>
        <w:tc>
          <w:tcPr>
            <w:tcW w:w="2940" w:type="dxa"/>
            <w:vAlign w:val="bottom"/>
            <w:gridSpan w:val="2"/>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Real estate technology</w:t>
            </w:r>
          </w:p>
        </w:tc>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1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color w:val="auto"/>
              </w:rPr>
              <w:t>Corporate and</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CCEEFF"/>
            </w:tcBorders>
            <w:gridSpan w:val="2"/>
            <w:vMerge w:val="continue"/>
          </w:tcPr>
          <w:p>
            <w:pPr>
              <w:spacing w:after="0"/>
              <w:rPr>
                <w:sz w:val="16"/>
                <w:szCs w:val="16"/>
                <w:color w:val="auto"/>
              </w:rPr>
            </w:pPr>
          </w:p>
        </w:tc>
        <w:tc>
          <w:tcPr>
            <w:tcW w:w="2940" w:type="dxa"/>
            <w:vAlign w:val="bottom"/>
            <w:tcBorders>
              <w:bottom w:val="single" w:sz="8" w:color="CCEEFF"/>
            </w:tcBorders>
            <w:gridSpan w:val="2"/>
            <w:vMerge w:val="continue"/>
          </w:tcPr>
          <w:p>
            <w:pPr>
              <w:spacing w:after="0"/>
              <w:rPr>
                <w:sz w:val="16"/>
                <w:szCs w:val="16"/>
                <w:color w:val="auto"/>
              </w:rPr>
            </w:pPr>
          </w:p>
        </w:tc>
        <w:tc>
          <w:tcPr>
            <w:tcW w:w="11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other</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191"/>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 subservicing revenue</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Title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36"/>
        </w:trPr>
        <w:tc>
          <w:tcPr>
            <w:tcW w:w="3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1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color w:val="auto"/>
              </w:rPr>
              <w:t>Corporate and</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9"/>
        </w:trPr>
        <w:tc>
          <w:tcPr>
            <w:tcW w:w="3700" w:type="dxa"/>
            <w:vAlign w:val="bottom"/>
            <w:gridSpan w:val="2"/>
            <w:vMerge w:val="continue"/>
          </w:tcPr>
          <w:p>
            <w:pPr>
              <w:spacing w:after="0"/>
              <w:rPr>
                <w:sz w:val="16"/>
                <w:szCs w:val="16"/>
                <w:color w:val="auto"/>
              </w:rPr>
            </w:pPr>
          </w:p>
        </w:tc>
        <w:tc>
          <w:tcPr>
            <w:tcW w:w="2940" w:type="dxa"/>
            <w:vAlign w:val="bottom"/>
            <w:gridSpan w:val="2"/>
            <w:vMerge w:val="continue"/>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other</w:t>
            </w: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2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11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224"/>
        </w:trPr>
        <w:tc>
          <w:tcPr>
            <w:tcW w:w="3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Direct title insurance premiums are recognized as revenue at the time of closing of the underlying transaction as the earnings process is then considered complete. Regulation of title insurance rates varies by state. Premiums are charged to</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59"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31"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7"/>
          <w:szCs w:val="17"/>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48"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61" w:lineRule="exact"/>
        <w:rPr>
          <w:sz w:val="20"/>
          <w:szCs w:val="20"/>
          <w:color w:val="auto"/>
        </w:rPr>
      </w:pPr>
    </w:p>
    <w:p>
      <w:pPr>
        <w:jc w:val="both"/>
        <w:ind w:firstLine="397"/>
        <w:spacing w:after="0" w:line="239" w:lineRule="auto"/>
        <w:rPr>
          <w:sz w:val="20"/>
          <w:szCs w:val="20"/>
          <w:color w:val="auto"/>
        </w:rPr>
      </w:pPr>
      <w:r>
        <w:rPr>
          <w:rFonts w:ascii="Times New Roman" w:cs="Times New Roman" w:eastAsia="Times New Roman" w:hAnsi="Times New Roman"/>
          <w:sz w:val="18"/>
          <w:szCs w:val="18"/>
          <w:color w:val="auto"/>
        </w:rPr>
        <w:t>F&amp;G derives its revenue from external customers primarily located in the United States. Life insurance premiums in our F&amp;G segment reflect premiums for life-contingent PRT, traditional life insurance products, and life-contingent immediate annuity products, which are recognized as revenue when due from the policyholder. We have ceded the majority of our traditional life business to unaffiliated third party reinsurers. While the base contract has been reinsured, we continue to retain the return of premium rider. Insurance and investment product fees and other consist primarily of the cost of insurance on IUL policies, unearned revenue liabilities ("URL") on IUL policies, policy rider fees primarily on fixed indexed annuity ("FIA") policies and surrender charges assessed against policy withdrawals in excess of the policyholder's allowable penalty-free amounts.</w:t>
      </w:r>
    </w:p>
    <w:p>
      <w:pPr>
        <w:spacing w:after="0" w:line="102" w:lineRule="exact"/>
        <w:rPr>
          <w:sz w:val="20"/>
          <w:szCs w:val="20"/>
          <w:color w:val="auto"/>
        </w:rPr>
      </w:pPr>
    </w:p>
    <w:p>
      <w:pPr>
        <w:jc w:val="both"/>
        <w:ind w:firstLine="397"/>
        <w:spacing w:after="0" w:line="256" w:lineRule="auto"/>
        <w:rPr>
          <w:sz w:val="20"/>
          <w:szCs w:val="20"/>
          <w:color w:val="auto"/>
        </w:rPr>
      </w:pPr>
      <w:r>
        <w:rPr>
          <w:rFonts w:ascii="Times New Roman" w:cs="Times New Roman" w:eastAsia="Times New Roman" w:hAnsi="Times New Roman"/>
          <w:sz w:val="17"/>
          <w:szCs w:val="17"/>
          <w:color w:val="auto"/>
        </w:rPr>
        <w:t>Premium and annuity deposit collections for indexed annuities, fixed rate annuities, immediate annuities and PRT without life contingency, and amounts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include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value of business acquired ("VOBA"), deferred acquisition costs ("DAC") and deferred sales inducements ("DSI"), other operating costs and expenses, and income taxes.</w:t>
      </w:r>
    </w:p>
    <w:p>
      <w:pPr>
        <w:spacing w:after="0" w:line="51"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Real estate technology revenues are primarily comprised of subscription fees for use of software provided to real estate professionals. Revenue is recognized in the month services are provided.</w:t>
      </w:r>
    </w:p>
    <w:p>
      <w:pPr>
        <w:spacing w:after="0" w:line="44"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45" w:lineRule="exact"/>
        <w:rPr>
          <w:sz w:val="20"/>
          <w:szCs w:val="20"/>
          <w:color w:val="auto"/>
        </w:rPr>
      </w:pPr>
    </w:p>
    <w:p>
      <w:pPr>
        <w:jc w:val="both"/>
        <w:ind w:firstLine="397"/>
        <w:spacing w:after="0" w:line="274" w:lineRule="auto"/>
        <w:rPr>
          <w:sz w:val="20"/>
          <w:szCs w:val="20"/>
          <w:color w:val="auto"/>
        </w:rPr>
      </w:pPr>
      <w:r>
        <w:rPr>
          <w:rFonts w:ascii="Times New Roman" w:cs="Times New Roman" w:eastAsia="Times New Roman" w:hAnsi="Times New Roman"/>
          <w:sz w:val="18"/>
          <w:szCs w:val="18"/>
          <w:color w:val="auto"/>
        </w:rPr>
        <w:t>Interest and investment income consists primarily of interest payments received on fixed maturity security holdings and dividends received on equity and preferred security holdings along with the investment income of limited partnerships.</w:t>
      </w:r>
    </w:p>
    <w:p>
      <w:pPr>
        <w:spacing w:after="0" w:line="44"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trade receivables and deferred revenue: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00" w:type="dxa"/>
            <w:vAlign w:val="bottom"/>
          </w:tcPr>
          <w:p>
            <w:pPr>
              <w:spacing w:after="0"/>
              <w:rPr>
                <w:sz w:val="16"/>
                <w:szCs w:val="16"/>
                <w:color w:val="auto"/>
              </w:rPr>
            </w:pPr>
          </w:p>
        </w:tc>
        <w:tc>
          <w:tcPr>
            <w:tcW w:w="16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r>
      <w:tr>
        <w:trPr>
          <w:trHeight w:val="186"/>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gridSpan w:val="3"/>
          </w:tcPr>
          <w:p>
            <w:pPr>
              <w:jc w:val="right"/>
              <w:ind w:right="136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379</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84"/>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(contract liabilities)</w:t>
            </w:r>
          </w:p>
        </w:tc>
        <w:tc>
          <w:tcPr>
            <w:tcW w:w="160" w:type="dxa"/>
            <w:vAlign w:val="bottom"/>
          </w:tcPr>
          <w:p>
            <w:pPr>
              <w:spacing w:after="0"/>
              <w:rPr>
                <w:sz w:val="15"/>
                <w:szCs w:val="15"/>
                <w:color w:val="auto"/>
              </w:rPr>
            </w:pPr>
          </w:p>
        </w:tc>
        <w:tc>
          <w:tcPr>
            <w:tcW w:w="1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91</w:t>
            </w:r>
          </w:p>
        </w:tc>
        <w:tc>
          <w:tcPr>
            <w:tcW w:w="3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bl>
    <w:p>
      <w:pPr>
        <w:spacing w:after="0" w:line="10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unaudited Condensed Consolidated Balance Sheets. During the three and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nine months ended September 30, 2025, we recognized $42 million and $79 million of revenue, respectively, which was included in deferred revenue at the beginning of the respective period.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URL</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rolls forward URL for our universal life product for the nine months ended September 30, 2025 and September 30,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3120" w:type="dxa"/>
            <w:vAlign w:val="bottom"/>
            <w:gridSpan w:val="4"/>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Pr>
          <w:p>
            <w:pPr>
              <w:spacing w:after="0"/>
              <w:rPr>
                <w:sz w:val="16"/>
                <w:szCs w:val="16"/>
                <w:color w:val="auto"/>
              </w:rPr>
            </w:pPr>
          </w:p>
        </w:tc>
      </w:tr>
      <w:tr>
        <w:trPr>
          <w:trHeight w:val="199"/>
        </w:trPr>
        <w:tc>
          <w:tcPr>
            <w:tcW w:w="7620" w:type="dxa"/>
            <w:vAlign w:val="bottom"/>
          </w:tcPr>
          <w:p>
            <w:pPr>
              <w:spacing w:after="0"/>
              <w:rPr>
                <w:sz w:val="17"/>
                <w:szCs w:val="17"/>
                <w:color w:val="auto"/>
              </w:rPr>
            </w:pPr>
          </w:p>
        </w:tc>
        <w:tc>
          <w:tcPr>
            <w:tcW w:w="12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r>
      <w:tr>
        <w:trPr>
          <w:trHeight w:val="24"/>
        </w:trPr>
        <w:tc>
          <w:tcPr>
            <w:tcW w:w="76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2"/>
        </w:trPr>
        <w:tc>
          <w:tcPr>
            <w:tcW w:w="76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80" w:type="dxa"/>
            <w:vAlign w:val="bottom"/>
            <w:gridSpan w:val="3"/>
            <w:shd w:val="clear" w:color="auto" w:fill="CCEEFF"/>
          </w:tcPr>
          <w:p>
            <w:pPr>
              <w:jc w:val="center"/>
              <w:ind w:right="6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shd w:val="clear" w:color="auto" w:fill="CCEEFF"/>
          </w:tcPr>
          <w:p>
            <w:pPr>
              <w:spacing w:after="0"/>
              <w:rPr>
                <w:sz w:val="16"/>
                <w:szCs w:val="16"/>
                <w:color w:val="auto"/>
              </w:rPr>
            </w:pPr>
          </w:p>
        </w:tc>
      </w:tr>
      <w:tr>
        <w:trPr>
          <w:trHeight w:val="192"/>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124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6"/>
                <w:szCs w:val="16"/>
                <w:color w:val="auto"/>
              </w:rPr>
            </w:pP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270</w:t>
            </w:r>
          </w:p>
        </w:tc>
      </w:tr>
      <w:tr>
        <w:trPr>
          <w:trHeight w:val="20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110</w:t>
            </w:r>
          </w:p>
        </w:tc>
      </w:tr>
      <w:tr>
        <w:trPr>
          <w:trHeight w:val="192"/>
        </w:trPr>
        <w:tc>
          <w:tcPr>
            <w:tcW w:w="7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(14)</w:t>
            </w:r>
          </w:p>
        </w:tc>
      </w:tr>
      <w:tr>
        <w:trPr>
          <w:trHeight w:val="22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w:t>
            </w:r>
          </w:p>
        </w:tc>
        <w:tc>
          <w:tcPr>
            <w:tcW w:w="1240" w:type="dxa"/>
            <w:vAlign w:val="bottom"/>
            <w:tcBorders>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366</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IUL, the cash flow assumptions used to amortize URL reflect the Company’s best estimates for policyholder behavior. We review cash flow assumptions annually, generally in the third quarter. In 2024, F&amp;G undertook a review of all significant assumptions, resulting in a revision to the IUL assumptions involving premium persistency and mortality improvement.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—Value of Business Acquired ("VOBA"), Deferred Acquisition Costs ("DAC"), and Deferred Sales Inducements ("DSI")</w:t>
      </w:r>
    </w:p>
    <w:p>
      <w:pPr>
        <w:spacing w:after="0" w:line="1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reconciles to Other intangible assets, net, on the unaudited Condensed Consolidated Balance Sheets as of September 30, 2025 and December 31,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2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6"/>
        </w:trPr>
        <w:tc>
          <w:tcPr>
            <w:tcW w:w="7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tcPr>
          <w:p>
            <w:pPr>
              <w:spacing w:after="0"/>
              <w:rPr>
                <w:sz w:val="16"/>
                <w:szCs w:val="16"/>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 and contracts</w:t>
            </w:r>
          </w:p>
        </w:tc>
        <w:tc>
          <w:tcPr>
            <w:tcW w:w="1580" w:type="dxa"/>
            <w:vAlign w:val="bottom"/>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Value of business acquired</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acquisition costs</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sales inducements</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Value of distribution asset</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 tradenames, and other</w:t>
            </w:r>
          </w:p>
        </w:tc>
        <w:tc>
          <w:tcPr>
            <w:tcW w:w="15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192"/>
        </w:trPr>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Other intangible assets, net</w:t>
            </w:r>
          </w:p>
        </w:tc>
        <w:tc>
          <w:tcPr>
            <w:tcW w:w="1580" w:type="dxa"/>
            <w:vAlign w:val="bottom"/>
            <w:tcBorders>
              <w:bottom w:val="single" w:sz="8" w:color="auto"/>
            </w:tcBorders>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6,471</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5,976</w:t>
            </w:r>
          </w:p>
        </w:tc>
      </w:tr>
      <w:tr>
        <w:trPr>
          <w:trHeight w:val="20"/>
        </w:trPr>
        <w:tc>
          <w:tcPr>
            <w:tcW w:w="7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roll forward VOBA by product for the nine months ended September 30, 2025 and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Indexed</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Fixed Rate</w:t>
            </w: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Immediate</w:t>
            </w:r>
          </w:p>
        </w:tc>
        <w:tc>
          <w:tcPr>
            <w:tcW w:w="10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240" w:type="dxa"/>
            <w:vAlign w:val="bottom"/>
          </w:tcPr>
          <w:p>
            <w:pPr>
              <w:spacing w:after="0"/>
              <w:rPr>
                <w:sz w:val="13"/>
                <w:szCs w:val="13"/>
                <w:color w:val="auto"/>
              </w:rPr>
            </w:pPr>
          </w:p>
        </w:tc>
        <w:tc>
          <w:tcPr>
            <w:tcW w:w="82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2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Indexed</w:t>
            </w:r>
          </w:p>
        </w:tc>
        <w:tc>
          <w:tcPr>
            <w:tcW w:w="14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Immediate</w:t>
            </w:r>
          </w:p>
        </w:tc>
        <w:tc>
          <w:tcPr>
            <w:tcW w:w="10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240" w:type="dxa"/>
            <w:vAlign w:val="bottom"/>
          </w:tcPr>
          <w:p>
            <w:pPr>
              <w:spacing w:after="0"/>
              <w:rPr>
                <w:sz w:val="13"/>
                <w:szCs w:val="13"/>
                <w:color w:val="auto"/>
              </w:rPr>
            </w:pPr>
          </w:p>
        </w:tc>
        <w:tc>
          <w:tcPr>
            <w:tcW w:w="82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91"/>
        </w:trPr>
        <w:tc>
          <w:tcPr>
            <w:tcW w:w="4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9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Actuarial model updates and refinements (a)</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9"/>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net of amortization of ($15 million).</w:t>
      </w:r>
    </w:p>
    <w:p>
      <w:pPr>
        <w:spacing w:after="0" w:line="200" w:lineRule="exact"/>
        <w:rPr>
          <w:sz w:val="20"/>
          <w:szCs w:val="20"/>
          <w:color w:val="auto"/>
        </w:rPr>
      </w:pPr>
    </w:p>
    <w:p>
      <w:pPr>
        <w:spacing w:after="0" w:line="226"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VOBA amortization expense of $117 million and $135 million was recorded in Depreciation and amortization on the unaudited Condensed Consolidated Statements of Earnings for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roll forward DAC by product for the nine months ended September 30, 2025 and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4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3"/>
                <w:szCs w:val="13"/>
                <w:color w:val="auto"/>
              </w:rPr>
            </w:pPr>
          </w:p>
        </w:tc>
        <w:tc>
          <w:tcPr>
            <w:tcW w:w="106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0" w:type="dxa"/>
            <w:vAlign w:val="bottom"/>
          </w:tcPr>
          <w:p>
            <w:pPr>
              <w:spacing w:after="0"/>
              <w:rPr>
                <w:sz w:val="1"/>
                <w:szCs w:val="1"/>
                <w:color w:val="auto"/>
              </w:rPr>
            </w:pPr>
          </w:p>
        </w:tc>
      </w:tr>
      <w:tr>
        <w:trPr>
          <w:trHeight w:val="191"/>
        </w:trPr>
        <w:tc>
          <w:tcPr>
            <w:tcW w:w="5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20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92"/>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951</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4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3"/>
                <w:szCs w:val="13"/>
                <w:color w:val="auto"/>
              </w:rPr>
            </w:pPr>
          </w:p>
        </w:tc>
        <w:tc>
          <w:tcPr>
            <w:tcW w:w="106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0" w:type="dxa"/>
            <w:vAlign w:val="bottom"/>
          </w:tcPr>
          <w:p>
            <w:pPr>
              <w:spacing w:after="0"/>
              <w:rPr>
                <w:sz w:val="1"/>
                <w:szCs w:val="1"/>
                <w:color w:val="auto"/>
              </w:rPr>
            </w:pPr>
          </w:p>
        </w:tc>
      </w:tr>
      <w:tr>
        <w:trPr>
          <w:trHeight w:val="191"/>
        </w:trPr>
        <w:tc>
          <w:tcPr>
            <w:tcW w:w="5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0" w:type="dxa"/>
            <w:vAlign w:val="bottom"/>
          </w:tcPr>
          <w:p>
            <w:pPr>
              <w:spacing w:after="0"/>
              <w:rPr>
                <w:sz w:val="1"/>
                <w:szCs w:val="1"/>
                <w:color w:val="auto"/>
              </w:rPr>
            </w:pPr>
          </w:p>
        </w:tc>
      </w:tr>
      <w:tr>
        <w:trPr>
          <w:trHeight w:val="20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92"/>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717</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2,853</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Excludes insignificant amounts of DAC related to funding agreement backed notes ("FABN") and PRT.</w:t>
      </w:r>
    </w:p>
    <w:p>
      <w:pPr>
        <w:spacing w:after="0" w:line="1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DAC amortization expense of $260 million and $200 million was recorded in Depreciation and amortization on the unaudited Condensed Consolidated Statements of Earnings for the nine months ended September 30, 2025 and 2024, respectively, excluding insignificant amounts related to FABN and PRT.</w:t>
      </w:r>
    </w:p>
    <w:p>
      <w:pPr>
        <w:spacing w:after="0" w:line="3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a reconciliation of DAC to the table above, which is reconciled to the unaudited Condensed Consolidated Balance Sheets as of September 30, 2025 and December 31, 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2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6"/>
        </w:trPr>
        <w:tc>
          <w:tcPr>
            <w:tcW w:w="7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tcPr>
          <w:p>
            <w:pPr>
              <w:spacing w:after="0"/>
              <w:rPr>
                <w:sz w:val="16"/>
                <w:szCs w:val="16"/>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1580" w:type="dxa"/>
            <w:vAlign w:val="bottom"/>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Universal Life</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FABN</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15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9"/>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80" w:type="dxa"/>
            <w:vAlign w:val="bottom"/>
            <w:tcBorders>
              <w:bottom w:val="single" w:sz="8" w:color="auto"/>
            </w:tcBorders>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3,036</w:t>
            </w:r>
          </w:p>
        </w:tc>
      </w:tr>
      <w:tr>
        <w:trPr>
          <w:trHeight w:val="20"/>
        </w:trPr>
        <w:tc>
          <w:tcPr>
            <w:tcW w:w="7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rolls forward DSI for our indexed annuity products for the nine months ended September 30, 2025 and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3340" w:type="dxa"/>
            <w:vAlign w:val="bottom"/>
            <w:gridSpan w:val="4"/>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6"/>
                <w:szCs w:val="16"/>
                <w:color w:val="auto"/>
              </w:rPr>
            </w:pPr>
          </w:p>
        </w:tc>
      </w:tr>
      <w:tr>
        <w:trPr>
          <w:trHeight w:val="24"/>
        </w:trPr>
        <w:tc>
          <w:tcPr>
            <w:tcW w:w="73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7340" w:type="dxa"/>
            <w:vAlign w:val="bottom"/>
          </w:tcPr>
          <w:p>
            <w:pPr>
              <w:spacing w:after="0"/>
              <w:rPr>
                <w:sz w:val="16"/>
                <w:szCs w:val="16"/>
                <w:color w:val="auto"/>
              </w:rPr>
            </w:pPr>
          </w:p>
        </w:tc>
        <w:tc>
          <w:tcPr>
            <w:tcW w:w="13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192"/>
        </w:trPr>
        <w:tc>
          <w:tcPr>
            <w:tcW w:w="7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40" w:type="dxa"/>
            <w:vAlign w:val="bottom"/>
            <w:gridSpan w:val="3"/>
          </w:tcPr>
          <w:p>
            <w:pPr>
              <w:jc w:val="center"/>
              <w:ind w:right="6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6"/>
                <w:szCs w:val="16"/>
                <w:color w:val="auto"/>
              </w:rPr>
            </w:pP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346</w:t>
            </w:r>
          </w:p>
        </w:tc>
      </w:tr>
      <w:tr>
        <w:trPr>
          <w:trHeight w:val="191"/>
        </w:trPr>
        <w:tc>
          <w:tcPr>
            <w:tcW w:w="7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300" w:type="dxa"/>
            <w:vAlign w:val="bottom"/>
          </w:tcPr>
          <w:p>
            <w:pPr>
              <w:spacing w:after="0"/>
              <w:rPr>
                <w:sz w:val="16"/>
                <w:szCs w:val="16"/>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219</w:t>
            </w:r>
          </w:p>
        </w:tc>
      </w:tr>
      <w:tr>
        <w:trPr>
          <w:trHeight w:val="19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3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(27)</w:t>
            </w:r>
          </w:p>
        </w:tc>
      </w:tr>
      <w:tr>
        <w:trPr>
          <w:trHeight w:val="199"/>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w:t>
            </w:r>
          </w:p>
        </w:tc>
        <w:tc>
          <w:tcPr>
            <w:tcW w:w="130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821</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538</w:t>
            </w:r>
          </w:p>
        </w:tc>
      </w:tr>
      <w:tr>
        <w:trPr>
          <w:trHeight w:val="20"/>
        </w:trPr>
        <w:tc>
          <w:tcPr>
            <w:tcW w:w="7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DSI amortization expense of $47 million and $27 million was recorded in Depreciation and amortization on the unaudited Condensed Consolidated Statements of Earnings for the nine months ended September 30, 2025 and 2024, respectively.</w:t>
      </w:r>
    </w:p>
    <w:p>
      <w:pPr>
        <w:spacing w:after="0" w:line="8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cash flow assumptions used to amortize VOBA and DAC were consistent with the assumptions used to estimate the future policy benefits ("FPB") for life contingent immediate annuities and PRT. Those assumptions will be reviewed and unlocked, if applicable, in the same period as those balances. For nonparticipating traditional life contracts, the VOBA amortization is straight-line, without the use of cash flow assumptions. For indexed annuity contracts, the cash flow assumptions used to amortize VOBA, DAC, and DSI were consistent with the assumptions used to estimate the value of the embedded derivative and MRBs, and will be reviewed and unlocked, if applicable, in the same period as those balances. For fixed rate annuities and IUL the cash flow assumptions used to amortize VOBA, and DAC reflect the Company’s best estimates for policyholder behavior, consistent with the development of assumptions for indexed annuities and immediate annuities.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F&amp;G reviews cash flow assumptions annually, generally in the third quarter. In 2024 and 2025, F&amp;G undertook a review of all significant assumptions and revised several assumptions relating to their deferred annuity (indexed annuity and fixed rate annuity) and IUL products. For the nine months ended September 30, 2025, F&amp;G updated the assumption for option budgets, surrenders, lapses, mortality, and free partial withdrawals. For the year ended December 31, 2024, F&amp;G updated assumptions including surrender rates, GMWB election timing, premium persistency, mortality improvement, and option budgets. For both periods, these assumption updates resulted in increased amortization rates on some DAC and DSI balances, primarily for indexed annuities. All updates to these assumptions brought F&amp;G more in line with our Company and overall industry experience since the prior assumption update.</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has been no material change to the estimated future amortization expense of intangible assets since December 31, 2024.</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F&amp;G Reinsurance</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the Company's retention limit is reinsured. The Company primarily seeks reinsurance coverage in order to manage loss exposures, to enhance our capital position, to diversify risks and earnings, and to manage new business volume. The Company follows reinsurance accounting when the treaty adequately transfers insurance risk and any acquisition cost reimbursements reduce policy acquisition costs deferred and maintenance expense reimbursements reduce direct expenses incurred. Otherwise, the Company follows deposit accounting if there is inadequate transfer of insurance risk or if the underlying policy for which risk is being transferred is an investment contract that does not contain insurance risk. As of September 30, 2025 and December 31, 2024, we had an immaterial amount of cost of reinsurance recorded on the unaudited Condensed Consolidated Balance Sheets.</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effects of reinsurance on net premiums earned and net benefits incurred (benefits paid and reserve changes) for the three and nine months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tcPr>
          <w:p>
            <w:pPr>
              <w:spacing w:after="0"/>
              <w:rPr>
                <w:sz w:val="16"/>
                <w:szCs w:val="16"/>
                <w:color w:val="auto"/>
              </w:rPr>
            </w:pPr>
          </w:p>
        </w:tc>
      </w:tr>
      <w:tr>
        <w:trPr>
          <w:trHeight w:val="186"/>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47"/>
        </w:trPr>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160" w:type="dxa"/>
            <w:vAlign w:val="bottom"/>
          </w:tcPr>
          <w:p>
            <w:pPr>
              <w:spacing w:after="0"/>
              <w:rPr>
                <w:sz w:val="12"/>
                <w:szCs w:val="12"/>
                <w:color w:val="auto"/>
              </w:rPr>
            </w:pPr>
          </w:p>
        </w:tc>
        <w:tc>
          <w:tcPr>
            <w:tcW w:w="1180" w:type="dxa"/>
            <w:vAlign w:val="bottom"/>
            <w:gridSpan w:val="3"/>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Net Benefits</w:t>
            </w:r>
          </w:p>
        </w:tc>
        <w:tc>
          <w:tcPr>
            <w:tcW w:w="120" w:type="dxa"/>
            <w:vAlign w:val="bottom"/>
          </w:tcPr>
          <w:p>
            <w:pPr>
              <w:spacing w:after="0"/>
              <w:rPr>
                <w:sz w:val="12"/>
                <w:szCs w:val="12"/>
                <w:color w:val="auto"/>
              </w:rPr>
            </w:pPr>
          </w:p>
        </w:tc>
        <w:tc>
          <w:tcPr>
            <w:tcW w:w="1200" w:type="dxa"/>
            <w:vAlign w:val="bottom"/>
            <w:gridSpan w:val="4"/>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160" w:type="dxa"/>
            <w:vAlign w:val="bottom"/>
          </w:tcPr>
          <w:p>
            <w:pPr>
              <w:spacing w:after="0"/>
              <w:rPr>
                <w:sz w:val="12"/>
                <w:szCs w:val="12"/>
                <w:color w:val="auto"/>
              </w:rPr>
            </w:pPr>
          </w:p>
        </w:tc>
        <w:tc>
          <w:tcPr>
            <w:tcW w:w="1060" w:type="dxa"/>
            <w:vAlign w:val="bottom"/>
          </w:tcPr>
          <w:p>
            <w:pPr>
              <w:jc w:val="center"/>
              <w:ind w:right="89"/>
              <w:spacing w:after="0" w:line="147" w:lineRule="exact"/>
              <w:rPr>
                <w:sz w:val="20"/>
                <w:szCs w:val="20"/>
                <w:color w:val="auto"/>
              </w:rPr>
            </w:pPr>
            <w:r>
              <w:rPr>
                <w:rFonts w:ascii="Times New Roman" w:cs="Times New Roman" w:eastAsia="Times New Roman" w:hAnsi="Times New Roman"/>
                <w:sz w:val="14"/>
                <w:szCs w:val="14"/>
                <w:b w:val="1"/>
                <w:bCs w:val="1"/>
                <w:color w:val="auto"/>
              </w:rPr>
              <w:t>Net Benefits</w:t>
            </w:r>
          </w:p>
        </w:tc>
      </w:tr>
      <w:tr>
        <w:trPr>
          <w:trHeight w:val="191"/>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60" w:type="dxa"/>
            <w:vAlign w:val="bottom"/>
          </w:tcPr>
          <w:p>
            <w:pPr>
              <w:spacing w:after="0"/>
              <w:rPr>
                <w:sz w:val="16"/>
                <w:szCs w:val="16"/>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20" w:type="dxa"/>
            <w:vAlign w:val="bottom"/>
          </w:tcPr>
          <w:p>
            <w:pPr>
              <w:spacing w:after="0"/>
              <w:rPr>
                <w:sz w:val="16"/>
                <w:szCs w:val="16"/>
                <w:color w:val="auto"/>
              </w:rPr>
            </w:pPr>
          </w:p>
        </w:tc>
        <w:tc>
          <w:tcPr>
            <w:tcW w:w="12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60" w:type="dxa"/>
            <w:vAlign w:val="bottom"/>
          </w:tcPr>
          <w:p>
            <w:pPr>
              <w:spacing w:after="0"/>
              <w:rPr>
                <w:sz w:val="16"/>
                <w:szCs w:val="16"/>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Incurred</w:t>
            </w:r>
          </w:p>
        </w:tc>
      </w:tr>
      <w:tr>
        <w:trPr>
          <w:trHeight w:val="19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363</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r>
      <w:tr>
        <w:trPr>
          <w:trHeight w:val="19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Ceded</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24"/>
        </w:trPr>
        <w:tc>
          <w:tcPr>
            <w:tcW w:w="6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340</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386"/>
        </w:trPr>
        <w:tc>
          <w:tcPr>
            <w:tcW w:w="6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5"/>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tcPr>
          <w:p>
            <w:pPr>
              <w:spacing w:after="0"/>
              <w:rPr>
                <w:sz w:val="16"/>
                <w:szCs w:val="16"/>
                <w:color w:val="auto"/>
              </w:rPr>
            </w:pPr>
          </w:p>
        </w:tc>
      </w:tr>
      <w:tr>
        <w:trPr>
          <w:trHeight w:val="186"/>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47"/>
        </w:trPr>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160" w:type="dxa"/>
            <w:vAlign w:val="bottom"/>
          </w:tcPr>
          <w:p>
            <w:pPr>
              <w:spacing w:after="0"/>
              <w:rPr>
                <w:sz w:val="12"/>
                <w:szCs w:val="12"/>
                <w:color w:val="auto"/>
              </w:rPr>
            </w:pPr>
          </w:p>
        </w:tc>
        <w:tc>
          <w:tcPr>
            <w:tcW w:w="1180" w:type="dxa"/>
            <w:vAlign w:val="bottom"/>
            <w:gridSpan w:val="3"/>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Net Benefits</w:t>
            </w:r>
          </w:p>
        </w:tc>
        <w:tc>
          <w:tcPr>
            <w:tcW w:w="120" w:type="dxa"/>
            <w:vAlign w:val="bottom"/>
          </w:tcPr>
          <w:p>
            <w:pPr>
              <w:spacing w:after="0"/>
              <w:rPr>
                <w:sz w:val="12"/>
                <w:szCs w:val="12"/>
                <w:color w:val="auto"/>
              </w:rPr>
            </w:pPr>
          </w:p>
        </w:tc>
        <w:tc>
          <w:tcPr>
            <w:tcW w:w="1200" w:type="dxa"/>
            <w:vAlign w:val="bottom"/>
            <w:gridSpan w:val="4"/>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Net Premiums</w:t>
            </w:r>
          </w:p>
        </w:tc>
        <w:tc>
          <w:tcPr>
            <w:tcW w:w="160" w:type="dxa"/>
            <w:vAlign w:val="bottom"/>
          </w:tcPr>
          <w:p>
            <w:pPr>
              <w:spacing w:after="0"/>
              <w:rPr>
                <w:sz w:val="12"/>
                <w:szCs w:val="12"/>
                <w:color w:val="auto"/>
              </w:rPr>
            </w:pPr>
          </w:p>
        </w:tc>
        <w:tc>
          <w:tcPr>
            <w:tcW w:w="1060" w:type="dxa"/>
            <w:vAlign w:val="bottom"/>
          </w:tcPr>
          <w:p>
            <w:pPr>
              <w:jc w:val="center"/>
              <w:ind w:right="89"/>
              <w:spacing w:after="0" w:line="147" w:lineRule="exact"/>
              <w:rPr>
                <w:sz w:val="20"/>
                <w:szCs w:val="20"/>
                <w:color w:val="auto"/>
              </w:rPr>
            </w:pPr>
            <w:r>
              <w:rPr>
                <w:rFonts w:ascii="Times New Roman" w:cs="Times New Roman" w:eastAsia="Times New Roman" w:hAnsi="Times New Roman"/>
                <w:sz w:val="14"/>
                <w:szCs w:val="14"/>
                <w:b w:val="1"/>
                <w:bCs w:val="1"/>
                <w:color w:val="auto"/>
              </w:rPr>
              <w:t>Net Benefits</w:t>
            </w:r>
          </w:p>
        </w:tc>
      </w:tr>
      <w:tr>
        <w:trPr>
          <w:trHeight w:val="191"/>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60" w:type="dxa"/>
            <w:vAlign w:val="bottom"/>
          </w:tcPr>
          <w:p>
            <w:pPr>
              <w:spacing w:after="0"/>
              <w:rPr>
                <w:sz w:val="16"/>
                <w:szCs w:val="16"/>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20" w:type="dxa"/>
            <w:vAlign w:val="bottom"/>
          </w:tcPr>
          <w:p>
            <w:pPr>
              <w:spacing w:after="0"/>
              <w:rPr>
                <w:sz w:val="16"/>
                <w:szCs w:val="16"/>
                <w:color w:val="auto"/>
              </w:rPr>
            </w:pPr>
          </w:p>
        </w:tc>
        <w:tc>
          <w:tcPr>
            <w:tcW w:w="12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60" w:type="dxa"/>
            <w:vAlign w:val="bottom"/>
          </w:tcPr>
          <w:p>
            <w:pPr>
              <w:spacing w:after="0"/>
              <w:rPr>
                <w:sz w:val="16"/>
                <w:szCs w:val="16"/>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Incurred</w:t>
            </w:r>
          </w:p>
        </w:tc>
      </w:tr>
      <w:tr>
        <w:trPr>
          <w:trHeight w:val="19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w:t>
            </w:r>
          </w:p>
        </w:tc>
      </w:tr>
      <w:tr>
        <w:trPr>
          <w:trHeight w:val="19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Ceded</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24"/>
        </w:trPr>
        <w:tc>
          <w:tcPr>
            <w:tcW w:w="6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Amounts payable or recoverable for reinsurance on paid and unpaid claims are not subject to periodic or maximum limits. No policies issued by the Company have been reinsured with any foreign company, which is controlled, either directly or indirectly, by a party not primarily engaged in the business of insurance. The Company has not entered into any reinsurance agreements in which the reinsurer may unilaterally cancel any reinsurance for reasons other than non-payment of premiums or other similar credit issues.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Reinsurance Transactions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significant changes to third-party reinsurance agreements for the period ended September 30, 2025:</w:t>
      </w:r>
    </w:p>
    <w:p>
      <w:pPr>
        <w:spacing w:after="0" w:line="10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Everlake: </w:t>
      </w:r>
      <w:r>
        <w:rPr>
          <w:rFonts w:ascii="Times New Roman" w:cs="Times New Roman" w:eastAsia="Times New Roman" w:hAnsi="Times New Roman"/>
          <w:sz w:val="18"/>
          <w:szCs w:val="18"/>
          <w:color w:val="auto"/>
        </w:rPr>
        <w:t>Effective January 1, 2025, F&amp;G amended the existing flow reinsurance agreement with Everlake Life Insurance Company (“Everlake”) to cede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additional multi-year guarantee annuities ("MYGA") business for agreed upon periods to Everlake pursuant to an offer and acceptance process, rather than on a flow basis. The amendment included a cession of an inforce block of certain MYGA policies on a coinsurance quota share basis.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New Reinsurance Vehicle: </w:t>
      </w:r>
      <w:r>
        <w:rPr>
          <w:rFonts w:ascii="Times New Roman" w:cs="Times New Roman" w:eastAsia="Times New Roman" w:hAnsi="Times New Roman"/>
          <w:sz w:val="18"/>
          <w:szCs w:val="18"/>
          <w:color w:val="auto"/>
        </w:rPr>
        <w:t>During the third quarter of 2025, F&amp;G announced the launch of a strategic partnership with a new reinsurance vehicle backed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Blackstone managed funds, with approximately $1 billion in anticipated capital commitments. Effective August 1, 2025, F&amp;G executed this forward flow reinsurance agreement with Fort Greene Reinsurance SPC Limited Segregated Portfolio No. 1, (“Fort Greene”) to cede certain FIA policies on a coinsurance funds withheld quota share basis and certain funding agreements on a modified coinsurance basis. F&amp;G does not hold any ownership stake in the unaffiliated Fort Greene entity.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have been no other significant changes to third party reinsurance agreements for the three and nine months ended September 30, 2025.</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our reinsurance recoverable as of September 30, 2025 and December 31, 2024:</w:t>
      </w:r>
    </w:p>
    <w:p>
      <w:pPr>
        <w:spacing w:after="0" w:line="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40" w:type="dxa"/>
            <w:vAlign w:val="bottom"/>
          </w:tcPr>
          <w:p>
            <w:pPr>
              <w:jc w:val="center"/>
              <w:ind w:right="709"/>
              <w:spacing w:after="0"/>
              <w:rPr>
                <w:sz w:val="20"/>
                <w:szCs w:val="20"/>
                <w:color w:val="auto"/>
              </w:rPr>
            </w:pPr>
            <w:r>
              <w:rPr>
                <w:rFonts w:ascii="Times New Roman" w:cs="Times New Roman" w:eastAsia="Times New Roman" w:hAnsi="Times New Roman"/>
                <w:sz w:val="14"/>
                <w:szCs w:val="14"/>
                <w:b w:val="1"/>
                <w:bCs w:val="1"/>
                <w:color w:val="auto"/>
                <w:w w:val="99"/>
              </w:rPr>
              <w:t>Parent Company/</w:t>
            </w:r>
          </w:p>
        </w:tc>
        <w:tc>
          <w:tcPr>
            <w:tcW w:w="284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Reinsurance Recoverable (a)</w:t>
            </w:r>
          </w:p>
        </w:tc>
        <w:tc>
          <w:tcPr>
            <w:tcW w:w="19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Agreement Type</w:t>
            </w:r>
          </w:p>
        </w:tc>
        <w:tc>
          <w:tcPr>
            <w:tcW w:w="182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36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w w:val="99"/>
              </w:rPr>
              <w:t>Accounting</w:t>
            </w:r>
          </w:p>
        </w:tc>
        <w:tc>
          <w:tcPr>
            <w:tcW w:w="0" w:type="dxa"/>
            <w:vAlign w:val="bottom"/>
          </w:tcPr>
          <w:p>
            <w:pPr>
              <w:spacing w:after="0"/>
              <w:rPr>
                <w:sz w:val="1"/>
                <w:szCs w:val="1"/>
                <w:color w:val="auto"/>
              </w:rPr>
            </w:pPr>
          </w:p>
        </w:tc>
      </w:tr>
      <w:tr>
        <w:trPr>
          <w:trHeight w:val="186"/>
        </w:trPr>
        <w:tc>
          <w:tcPr>
            <w:tcW w:w="2040" w:type="dxa"/>
            <w:vAlign w:val="bottom"/>
          </w:tcPr>
          <w:p>
            <w:pPr>
              <w:jc w:val="center"/>
              <w:ind w:right="709"/>
              <w:spacing w:after="0"/>
              <w:rPr>
                <w:sz w:val="20"/>
                <w:szCs w:val="20"/>
                <w:color w:val="auto"/>
              </w:rPr>
            </w:pPr>
            <w:r>
              <w:rPr>
                <w:rFonts w:ascii="Times New Roman" w:cs="Times New Roman" w:eastAsia="Times New Roman" w:hAnsi="Times New Roman"/>
                <w:sz w:val="14"/>
                <w:szCs w:val="14"/>
                <w:b w:val="1"/>
                <w:bCs w:val="1"/>
                <w:color w:val="auto"/>
              </w:rPr>
              <w:t>Principal Reinsurers</w:t>
            </w:r>
          </w:p>
        </w:tc>
        <w:tc>
          <w:tcPr>
            <w:tcW w:w="2840" w:type="dxa"/>
            <w:vAlign w:val="bottom"/>
            <w:vMerge w:val="continue"/>
          </w:tcPr>
          <w:p>
            <w:pPr>
              <w:spacing w:after="0"/>
              <w:rPr>
                <w:sz w:val="16"/>
                <w:szCs w:val="16"/>
                <w:color w:val="auto"/>
              </w:rPr>
            </w:pPr>
          </w:p>
        </w:tc>
        <w:tc>
          <w:tcPr>
            <w:tcW w:w="1920" w:type="dxa"/>
            <w:vAlign w:val="bottom"/>
            <w:vMerge w:val="continue"/>
          </w:tcPr>
          <w:p>
            <w:pPr>
              <w:spacing w:after="0"/>
              <w:rPr>
                <w:sz w:val="16"/>
                <w:szCs w:val="16"/>
                <w:color w:val="auto"/>
              </w:rPr>
            </w:pPr>
          </w:p>
        </w:tc>
        <w:tc>
          <w:tcPr>
            <w:tcW w:w="18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Covered</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22129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1297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Aspida Life Re Ltd.</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Somerset Reinsurance Ltd. (b)</w:t>
      </w: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Everlake</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Wilton Reassurance Company</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(e)</w:t>
      </w:r>
    </w:p>
    <w:p>
      <w:pPr>
        <w:spacing w:after="0" w:line="51" w:lineRule="exact"/>
        <w:rPr>
          <w:sz w:val="20"/>
          <w:szCs w:val="20"/>
          <w:color w:val="auto"/>
        </w:rPr>
      </w:pPr>
    </w:p>
    <w:p>
      <w:pPr>
        <w:ind w:left="20" w:right="240" w:firstLine="159"/>
        <w:spacing w:after="0" w:line="294" w:lineRule="auto"/>
        <w:rPr>
          <w:sz w:val="20"/>
          <w:szCs w:val="20"/>
          <w:color w:val="auto"/>
        </w:rPr>
      </w:pPr>
      <w:r>
        <w:rPr>
          <w:rFonts w:ascii="Times New Roman" w:cs="Times New Roman" w:eastAsia="Times New Roman" w:hAnsi="Times New Roman"/>
          <w:sz w:val="14"/>
          <w:szCs w:val="14"/>
          <w:color w:val="auto"/>
        </w:rPr>
        <w:t>Reinsurance recoverable, gross of allowance Allowance for expected credit losses</w:t>
      </w:r>
    </w:p>
    <w:p>
      <w:pPr>
        <w:spacing w:after="0" w:line="1" w:lineRule="exact"/>
        <w:rPr>
          <w:sz w:val="20"/>
          <w:szCs w:val="20"/>
          <w:color w:val="auto"/>
        </w:rPr>
      </w:pPr>
    </w:p>
    <w:p>
      <w:pPr>
        <w:ind w:left="180"/>
        <w:spacing w:after="0" w:line="237" w:lineRule="auto"/>
        <w:rPr>
          <w:sz w:val="20"/>
          <w:szCs w:val="20"/>
          <w:color w:val="auto"/>
        </w:rPr>
      </w:pPr>
      <w:r>
        <w:rPr>
          <w:rFonts w:ascii="Times New Roman" w:cs="Times New Roman" w:eastAsia="Times New Roman" w:hAnsi="Times New Roman"/>
          <w:sz w:val="14"/>
          <w:szCs w:val="14"/>
          <w:b w:val="1"/>
          <w:bCs w:val="1"/>
          <w:color w:val="auto"/>
        </w:rPr>
        <w:t>Reinsurance recoverable, net of allowance for expected credit losses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172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8,649</w:t>
            </w:r>
          </w:p>
        </w:tc>
        <w:tc>
          <w:tcPr>
            <w:tcW w:w="100" w:type="dxa"/>
            <w:vAlign w:val="bottom"/>
          </w:tcPr>
          <w:p>
            <w:pPr>
              <w:spacing w:after="0"/>
              <w:rPr>
                <w:sz w:val="12"/>
                <w:szCs w:val="12"/>
                <w:color w:val="auto"/>
              </w:rPr>
            </w:pPr>
          </w:p>
        </w:tc>
        <w:tc>
          <w:tcPr>
            <w:tcW w:w="58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7,844</w:t>
            </w:r>
          </w:p>
        </w:tc>
        <w:tc>
          <w:tcPr>
            <w:tcW w:w="80" w:type="dxa"/>
            <w:vAlign w:val="bottom"/>
          </w:tcPr>
          <w:p>
            <w:pPr>
              <w:spacing w:after="0"/>
              <w:rPr>
                <w:sz w:val="12"/>
                <w:szCs w:val="12"/>
                <w:color w:val="auto"/>
              </w:rPr>
            </w:pPr>
          </w:p>
        </w:tc>
        <w:tc>
          <w:tcPr>
            <w:tcW w:w="13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Coinsurance Funds</w:t>
            </w:r>
          </w:p>
        </w:tc>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Certain MYGA</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Deposit</w:t>
            </w:r>
          </w:p>
        </w:tc>
        <w:tc>
          <w:tcPr>
            <w:tcW w:w="0" w:type="dxa"/>
            <w:vAlign w:val="bottom"/>
          </w:tcPr>
          <w:p>
            <w:pPr>
              <w:spacing w:after="0"/>
              <w:rPr>
                <w:sz w:val="1"/>
                <w:szCs w:val="1"/>
                <w:color w:val="auto"/>
              </w:rPr>
            </w:pPr>
          </w:p>
        </w:tc>
      </w:tr>
      <w:tr>
        <w:trPr>
          <w:trHeight w:val="184"/>
        </w:trPr>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274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4,503</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8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Coinsurance Funds</w:t>
            </w:r>
          </w:p>
        </w:tc>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Certain MYGA and deferred annuities</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Deposit</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274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Coinsurance Funds</w:t>
            </w:r>
          </w:p>
        </w:tc>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Certain FIA</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Reinsurance</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274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8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Coinsurance</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Certain MYGA (c)</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8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Coinsurance</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Block of traditional, IUL and UL (d)</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Reinsurance</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13,389</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16,843</w:t>
            </w:r>
          </w:p>
        </w:tc>
        <w:tc>
          <w:tcPr>
            <w:tcW w:w="100" w:type="dxa"/>
            <w:vAlign w:val="bottom"/>
          </w:tcPr>
          <w:p>
            <w:pPr>
              <w:spacing w:after="0"/>
              <w:rPr>
                <w:sz w:val="22"/>
                <w:szCs w:val="22"/>
                <w:color w:val="auto"/>
              </w:rPr>
            </w:pP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13,369</w:t>
            </w: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-1496695</wp:posOffset>
            </wp:positionV>
            <wp:extent cx="7134860" cy="2101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21018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-1076325</wp:posOffset>
            </wp:positionV>
            <wp:extent cx="7134860" cy="2101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21018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-739775</wp:posOffset>
            </wp:positionV>
            <wp:extent cx="7134860" cy="1263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-487045</wp:posOffset>
            </wp:positionV>
            <wp:extent cx="7134860" cy="134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-226695</wp:posOffset>
            </wp:positionV>
            <wp:extent cx="7134860" cy="2101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210185"/>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2940" w:space="640"/>
            <w:col w:w="7660"/>
          </w:cols>
          <w:pgMar w:left="320" w:top="121" w:right="339" w:bottom="1440" w:gutter="0" w:footer="0" w:header="0"/>
          <w:type w:val="continuous"/>
        </w:sectPr>
      </w:pPr>
    </w:p>
    <w:p>
      <w:pPr>
        <w:ind w:left="220" w:hanging="196"/>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Reinsurance recoverables do not include unearned ceded premiums that would be recovered in the event of early termination of certain traditional life policies.</w:t>
      </w:r>
    </w:p>
    <w:p>
      <w:pPr>
        <w:spacing w:after="0" w:line="37" w:lineRule="exact"/>
        <w:rPr>
          <w:rFonts w:ascii="Times New Roman" w:cs="Times New Roman" w:eastAsia="Times New Roman" w:hAnsi="Times New Roman"/>
          <w:sz w:val="14"/>
          <w:szCs w:val="14"/>
          <w:color w:val="auto"/>
        </w:rPr>
      </w:pPr>
    </w:p>
    <w:p>
      <w:pPr>
        <w:ind w:left="220" w:hanging="196"/>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represents the total reinsurance recoverable for all reinsurance agreements with Somerset.</w:t>
      </w:r>
    </w:p>
    <w:p>
      <w:pPr>
        <w:spacing w:after="0" w:line="37" w:lineRule="exact"/>
        <w:rPr>
          <w:rFonts w:ascii="Times New Roman" w:cs="Times New Roman" w:eastAsia="Times New Roman" w:hAnsi="Times New Roman"/>
          <w:sz w:val="14"/>
          <w:szCs w:val="14"/>
          <w:color w:val="auto"/>
        </w:rPr>
      </w:pPr>
    </w:p>
    <w:p>
      <w:pPr>
        <w:ind w:left="220" w:hanging="196"/>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Reinsurance recoverable is collateralized by assets placed in a statutory comfort trust by the reinsurer and maintained for our sole benefit.</w:t>
      </w:r>
    </w:p>
    <w:p>
      <w:pPr>
        <w:spacing w:after="0" w:line="37" w:lineRule="exact"/>
        <w:rPr>
          <w:rFonts w:ascii="Times New Roman" w:cs="Times New Roman" w:eastAsia="Times New Roman" w:hAnsi="Times New Roman"/>
          <w:sz w:val="14"/>
          <w:szCs w:val="14"/>
          <w:color w:val="auto"/>
        </w:rPr>
      </w:pPr>
    </w:p>
    <w:p>
      <w:pPr>
        <w:ind w:left="220" w:hanging="196"/>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includes certain FGL Insurance life insurance policies that are subject to redundant reserves, reported on a statutory basis, under Regulation XXX and Guideline AXXX.</w:t>
      </w:r>
    </w:p>
    <w:p>
      <w:pPr>
        <w:spacing w:after="0" w:line="37" w:lineRule="exact"/>
        <w:rPr>
          <w:rFonts w:ascii="Times New Roman" w:cs="Times New Roman" w:eastAsia="Times New Roman" w:hAnsi="Times New Roman"/>
          <w:sz w:val="14"/>
          <w:szCs w:val="14"/>
          <w:color w:val="auto"/>
        </w:rPr>
      </w:pPr>
    </w:p>
    <w:p>
      <w:pPr>
        <w:ind w:left="220" w:hanging="196"/>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all other reinsurers, with no single reinsurer having a carrying value in excess of 5% of total reinsurance recoverable.</w:t>
      </w:r>
    </w:p>
    <w:p>
      <w:pPr>
        <w:spacing w:after="0" w:line="20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September 30, 2025 and December 31, 2024, F&amp;G had a deposit asset of $13,187 million and $11,039 million, respectively, which is reported in the Reinsurance recoverable, net of allowance for credit losses on the unaudited Condensed Consolidated Balance Sheets.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incurred risk charge fees of $10 million and $10 million during the three months ended September 30, 2025 and 2024, respectively, and $31 million and $32 million during the nine months ended September 30, 2025 and 2024, respectively, in relation to reinsurance agreements.</w:t>
      </w: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6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 There was no material change in the expected credit loss reserve for the three and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Reinsurance Risk</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indicated above, F&amp;G has a significant concentration of reinsurance risk with third party reinsurers, Aspida Life Re Ltd. (“Aspida Re”), Somerset Reinsurance Ltd. (“Somerset”), Everlake and Wilton Reassurance Company (“Wilton Re”) that could have a material impact on our financial position in the event that any of these reinsurers fails to perform its obligations under the various reinsurance treaties. We monitor the financial condition and financial strength of individual reinsurers using public ratings (refer to table below) and ratings reports of individual reinsurers to attempt to reduce the risk of default by such reinsurers. In addition, the risk of non-performance is further mitigated with various forms of collateral or collateral arrangements, including secured trusts, funds withheld accounts, and irrevocable letters of credit. We believe that all amounts due from Aspida Re, Somerset, Everlake, and Wilton Re for periodic treaty settlements, net of any applicable credit loss reserves, are collectible as of September 30, 2025. The following table presents financial strength ratings as of September 30, 2025:</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40" w:type="dxa"/>
            <w:vAlign w:val="bottom"/>
          </w:tcPr>
          <w:p>
            <w:pPr>
              <w:spacing w:after="0"/>
              <w:rPr>
                <w:sz w:val="16"/>
                <w:szCs w:val="16"/>
                <w:color w:val="auto"/>
              </w:rPr>
            </w:pPr>
          </w:p>
        </w:tc>
        <w:tc>
          <w:tcPr>
            <w:tcW w:w="61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Parent Company/Principal Reinsurers</w:t>
            </w:r>
          </w:p>
        </w:tc>
        <w:tc>
          <w:tcPr>
            <w:tcW w:w="26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Financial Strength Rating</w:t>
            </w:r>
          </w:p>
        </w:tc>
        <w:tc>
          <w:tcPr>
            <w:tcW w:w="1240" w:type="dxa"/>
            <w:vAlign w:val="bottom"/>
          </w:tcPr>
          <w:p>
            <w:pPr>
              <w:spacing w:after="0"/>
              <w:rPr>
                <w:sz w:val="16"/>
                <w:szCs w:val="16"/>
                <w:color w:val="auto"/>
              </w:rPr>
            </w:pPr>
          </w:p>
        </w:tc>
      </w:tr>
      <w:tr>
        <w:trPr>
          <w:trHeight w:val="24"/>
        </w:trPr>
        <w:tc>
          <w:tcPr>
            <w:tcW w:w="1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12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 Best</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S&amp;P</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Fitch</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Moody's</w:t>
            </w:r>
          </w:p>
        </w:tc>
      </w:tr>
      <w:tr>
        <w:trPr>
          <w:trHeight w:val="198"/>
        </w:trPr>
        <w:tc>
          <w:tcPr>
            <w:tcW w:w="1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Aspida Re</w:t>
            </w:r>
          </w:p>
        </w:tc>
        <w:tc>
          <w:tcPr>
            <w:tcW w:w="48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A-</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91"/>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Somerset</w:t>
            </w:r>
          </w:p>
        </w:tc>
        <w:tc>
          <w:tcPr>
            <w:tcW w:w="48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4"/>
              </w:rPr>
              <w:t>A-</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BBB+</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Everlake</w:t>
            </w:r>
          </w:p>
        </w:tc>
        <w:tc>
          <w:tcPr>
            <w:tcW w:w="48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A</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4"/>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Wilton Re</w:t>
            </w:r>
          </w:p>
        </w:tc>
        <w:tc>
          <w:tcPr>
            <w:tcW w:w="4800" w:type="dxa"/>
            <w:vAlign w:val="bottom"/>
          </w:tcPr>
          <w:p>
            <w:pPr>
              <w:spacing w:after="0"/>
              <w:rPr>
                <w:sz w:val="15"/>
                <w:szCs w:val="15"/>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A+</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not rated</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 F&amp;G Insurance Subsidiary Financial Information and Regulatory Matters</w:t>
      </w:r>
    </w:p>
    <w:p>
      <w:pPr>
        <w:spacing w:after="0" w:line="113"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Our U.S. insurance subsidiaries, FGL Insurance, FGL NY Insurance, Raven Re and Corbeau Re, file financial statements with state insurance regulatory authorities and, except for Raven Re, with the National Association of Insurance Commissioners (“NAIC”) that are prepared in accordance with Statutory Accounting Principles (“SAP”) prescribed or permitted by such authorities. Prescribed SAP includes the Accounting Practices and Procedures Manual of the NAIC as well as state laws, regulations, and administrative rules. Permitted SAP encompasses all accounting practices not prescribed but approved by state regulators. The principal differences between SAP financial statements and financial statements prepared in accordance with GAAP are that SAP financial statements do not reflect VOBA, DAC, and DSI,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69"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non-U.S. insurance subsidiaries, F&amp;G Cayman Re Ltd (“F&amp;G Cayman Re”), a Cayman Islands entity, and F&amp;G Life Re Ltd (“F&amp;G Life Re”), a Bermuda entity, file financial statements with their respective regulators.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Companies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principal insurance subsidiaries' audited statutory financial statements are based on a December 31 year end. Statutory net income for the three and nine months ended September 30, 2025 and 2024, and statutory capital and surplus as of September 30, 2025 and December 31, 2024, of our wholly owned U.S. regulated insurance subsidiaries,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8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xml:space="preserve">Subsidiary (state of domicile) </w:t>
            </w:r>
            <w:r>
              <w:rPr>
                <w:rFonts w:ascii="Times New Roman" w:cs="Times New Roman" w:eastAsia="Times New Roman" w:hAnsi="Times New Roman"/>
                <w:sz w:val="9"/>
                <w:szCs w:val="9"/>
                <w:b w:val="1"/>
                <w:bCs w:val="1"/>
                <w:color w:val="auto"/>
              </w:rPr>
              <w:t>(a)</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right"/>
              <w:ind w:right="289"/>
              <w:spacing w:after="0" w:line="128" w:lineRule="exact"/>
              <w:rPr>
                <w:sz w:val="20"/>
                <w:szCs w:val="20"/>
                <w:color w:val="auto"/>
              </w:rPr>
            </w:pPr>
            <w:r>
              <w:rPr>
                <w:rFonts w:ascii="Times New Roman" w:cs="Times New Roman" w:eastAsia="Times New Roman" w:hAnsi="Times New Roman"/>
                <w:sz w:val="14"/>
                <w:szCs w:val="14"/>
                <w:b w:val="1"/>
                <w:bCs w:val="1"/>
                <w:color w:val="auto"/>
              </w:rPr>
              <w:t>FGL Insurance</w:t>
            </w:r>
          </w:p>
        </w:tc>
        <w:tc>
          <w:tcPr>
            <w:tcW w:w="166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FGL NY Insurance (NY)</w:t>
            </w:r>
          </w:p>
        </w:tc>
        <w:tc>
          <w:tcPr>
            <w:tcW w:w="1240" w:type="dxa"/>
            <w:vAlign w:val="bottom"/>
          </w:tcPr>
          <w:p>
            <w:pPr>
              <w:jc w:val="right"/>
              <w:ind w:right="29"/>
              <w:spacing w:after="0" w:line="128" w:lineRule="exact"/>
              <w:rPr>
                <w:sz w:val="20"/>
                <w:szCs w:val="20"/>
                <w:color w:val="auto"/>
              </w:rPr>
            </w:pPr>
            <w:r>
              <w:rPr>
                <w:rFonts w:ascii="Times New Roman" w:cs="Times New Roman" w:eastAsia="Times New Roman" w:hAnsi="Times New Roman"/>
                <w:sz w:val="14"/>
                <w:szCs w:val="14"/>
                <w:b w:val="1"/>
                <w:bCs w:val="1"/>
                <w:color w:val="auto"/>
              </w:rPr>
              <w:t>Raven Re</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jc w:val="right"/>
              <w:ind w:right="349"/>
              <w:spacing w:after="0" w:line="128" w:lineRule="exact"/>
              <w:rPr>
                <w:sz w:val="20"/>
                <w:szCs w:val="20"/>
                <w:color w:val="auto"/>
              </w:rPr>
            </w:pPr>
            <w:r>
              <w:rPr>
                <w:rFonts w:ascii="Times New Roman" w:cs="Times New Roman" w:eastAsia="Times New Roman" w:hAnsi="Times New Roman"/>
                <w:sz w:val="14"/>
                <w:szCs w:val="14"/>
                <w:b w:val="1"/>
                <w:bCs w:val="1"/>
                <w:color w:val="auto"/>
              </w:rPr>
              <w:t>Corbeau Re</w:t>
            </w: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(IA)</w:t>
            </w:r>
          </w:p>
        </w:tc>
        <w:tc>
          <w:tcPr>
            <w:tcW w:w="1660" w:type="dxa"/>
            <w:vAlign w:val="bottom"/>
            <w:tcBorders>
              <w:bottom w:val="single" w:sz="8" w:color="auto"/>
            </w:tcBorders>
            <w:gridSpan w:val="2"/>
            <w:vMerge w:val="continue"/>
          </w:tcPr>
          <w:p>
            <w:pPr>
              <w:spacing w:after="0"/>
              <w:rPr>
                <w:sz w:val="16"/>
                <w:szCs w:val="16"/>
                <w:color w:val="auto"/>
              </w:rPr>
            </w:pPr>
          </w:p>
        </w:tc>
        <w:tc>
          <w:tcPr>
            <w:tcW w:w="12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(VT)</w:t>
            </w: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(VT)</w:t>
            </w:r>
          </w:p>
        </w:tc>
        <w:tc>
          <w:tcPr>
            <w:tcW w:w="0" w:type="dxa"/>
            <w:vAlign w:val="bottom"/>
          </w:tcPr>
          <w:p>
            <w:pPr>
              <w:spacing w:after="0"/>
              <w:rPr>
                <w:sz w:val="1"/>
                <w:szCs w:val="1"/>
                <w:color w:val="auto"/>
              </w:rPr>
            </w:pPr>
          </w:p>
        </w:tc>
      </w:tr>
      <w:tr>
        <w:trPr>
          <w:trHeight w:val="192"/>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Net income (loss):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8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three months ended September 30, 2025</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three months ended September 30, 2024</w:t>
            </w:r>
          </w:p>
        </w:tc>
        <w:tc>
          <w:tcPr>
            <w:tcW w:w="220" w:type="dxa"/>
            <w:vAlign w:val="bottom"/>
          </w:tcPr>
          <w:p>
            <w:pPr>
              <w:spacing w:after="0"/>
              <w:rPr>
                <w:sz w:val="16"/>
                <w:szCs w:val="16"/>
                <w:color w:val="auto"/>
              </w:rPr>
            </w:pPr>
          </w:p>
        </w:tc>
        <w:tc>
          <w:tcPr>
            <w:tcW w:w="1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42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tcPr>
          <w:p>
            <w:pPr>
              <w:spacing w:after="0"/>
              <w:rPr>
                <w:sz w:val="16"/>
                <w:szCs w:val="16"/>
                <w:color w:val="auto"/>
              </w:rPr>
            </w:pP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nine months ended September 30, 2025</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(216)</w:t>
            </w:r>
          </w:p>
        </w:tc>
        <w:tc>
          <w:tcPr>
            <w:tcW w:w="42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1240" w:type="dxa"/>
            <w:vAlign w:val="bottom"/>
          </w:tcPr>
          <w:p>
            <w:pPr>
              <w:spacing w:after="0"/>
              <w:rPr>
                <w:sz w:val="16"/>
                <w:szCs w:val="16"/>
                <w:color w:val="auto"/>
              </w:rPr>
            </w:pP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0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nine months ended September 30, 2024</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71</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212"/>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Capital and Surplus: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2025</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1,229</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102</w:t>
            </w:r>
          </w:p>
        </w:tc>
        <w:tc>
          <w:tcPr>
            <w:tcW w:w="124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172</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0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1,654</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97</w:t>
            </w: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168</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FGL NY Insurance, Raven Re, and Corbeau Re are subsidiaries of FGL Insurance, and the columns should not be added together.</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Prescribed and permitted practices</w:t>
      </w:r>
    </w:p>
    <w:p>
      <w:pPr>
        <w:spacing w:after="0" w:line="111"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FGL Insurance </w:t>
      </w:r>
      <w:r>
        <w:rPr>
          <w:rFonts w:ascii="Times New Roman" w:cs="Times New Roman" w:eastAsia="Times New Roman" w:hAnsi="Times New Roman"/>
          <w:sz w:val="18"/>
          <w:szCs w:val="18"/>
          <w:color w:val="auto"/>
        </w:rPr>
        <w:t>- FGL Insurance applies Iowa-prescribed accounting practices prescribed by Iowa Administrative Code 191 Chapter 97, “</w:t>
      </w:r>
      <w:r>
        <w:rPr>
          <w:rFonts w:ascii="Times New Roman" w:cs="Times New Roman" w:eastAsia="Times New Roman" w:hAnsi="Times New Roman"/>
          <w:sz w:val="18"/>
          <w:szCs w:val="18"/>
          <w:i w:val="1"/>
          <w:iCs w:val="1"/>
          <w:color w:val="auto"/>
        </w:rPr>
        <w:t>Accounting for Certain Derivative Instruments Used to Hedge the Growth in Interest Credited for Indexed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Insurance Products and Accounting for the Indexed Insurance Products Reserve,</w:t>
      </w:r>
      <w:r>
        <w:rPr>
          <w:rFonts w:ascii="Times New Roman" w:cs="Times New Roman" w:eastAsia="Times New Roman" w:hAnsi="Times New Roman"/>
          <w:sz w:val="18"/>
          <w:szCs w:val="18"/>
          <w:color w:val="auto"/>
        </w:rPr>
        <w:t>” for its indexed annuities and IUL products. Under these alternative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practices, the equity option derivative instruments that hedge the growth in interest credited on index products are accounted for at amortized cost with the corresponding amortization recorded as a decrease to net investment income and indexed annuity reserves are calculated based on Standard Valuation Law and Actuarial Guideline XXXV assuming the market value of the equity options associated with the current index term is zero regardless of the observable market value for such options.</w:t>
      </w:r>
    </w:p>
    <w:p>
      <w:pPr>
        <w:spacing w:after="0" w:line="7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based on a permitted practice received from the Iowa Insurance Division, FGL Insurance carries one of its limited partnership interests, which qualifies for accounting under SSAP No. 48, “</w:t>
      </w:r>
      <w:r>
        <w:rPr>
          <w:rFonts w:ascii="Times New Roman" w:cs="Times New Roman" w:eastAsia="Times New Roman" w:hAnsi="Times New Roman"/>
          <w:sz w:val="18"/>
          <w:szCs w:val="18"/>
          <w:i w:val="1"/>
          <w:iCs w:val="1"/>
          <w:color w:val="auto"/>
        </w:rPr>
        <w:t>Investments in Joint Ventures, Partnerships and Limited Liability Companies</w:t>
      </w:r>
      <w:r>
        <w:rPr>
          <w:rFonts w:ascii="Times New Roman" w:cs="Times New Roman" w:eastAsia="Times New Roman" w:hAnsi="Times New Roman"/>
          <w:sz w:val="18"/>
          <w:szCs w:val="18"/>
          <w:color w:val="auto"/>
        </w:rPr>
        <w:t>,” on a net asset value per share basis. This is a departure from SSAP No. 48, which requires such investments to be carried based on the investees underlying GAAP equity (prior to any impairment considerations). In addition, the financial statements of Raven Re and Corbeau Re include certain permitted practices approved by the Vermont Department of Financial Regulation. Without such permitted statutory accounting practices, Raven Re’s risk-based capital would have been above the minimum regulatory requirements at September 30, 2025, but would have fallen below the minimum regulatory requirements at December 31, 2024. Without such permitted statutory accounting practices, Corbeau Re’s risk-based capital would have fallen below the minimum regulatory requirements as of September 30, 2025 and December 31, 2024.</w:t>
      </w:r>
    </w:p>
    <w:p>
      <w:pPr>
        <w:spacing w:after="0" w:line="8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prescribed and permitted practices resulted in increases to statutory capital and surplus of $213 million and $454 million at September 30, 2025 and December 31, 2024, respectively.</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to the prescribed and permitted practices for our U.S. insurance subsidiaries, which were detailed in our Annual Report on Form 10-K, and no other significant changes in the regulatory status of our insurance subsidiaries as of September 30, 2025.</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Companies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non-U.S. insurance subsidiaries, F&amp;G Cayman Re and F&amp;G Life Re, file financial statements with their respective regulators. F&amp;G Cayman Re files financial statements that are prepared in accordance with SAP prescribed or permitted by such authorities, which may vary materially from GAAP. Accordingly, SAP operating results and SAP capital and surplus may differ substantially from amounts reported in the GAAP basis financial statements for comparable items.</w:t>
      </w:r>
    </w:p>
    <w:p>
      <w:pPr>
        <w:spacing w:after="0" w:line="2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F&amp;G Cayman Re has two permitted practices, which have been approved by the Cayman Islands Monetary Authority (“CIMA”). F&amp;G Cayman Re has a permitted practice approved by CIMA to include, as an admitted asset, the value of the letters of credit (“LOCs”) acquired to support reinsurance transactions. Also, F&amp;G Cayman Re has a permitted practice, approved by CIMA, for PRT reinsurance transactions to use U.S. statutory book value adjusted for best estimate reserve calculations (consistent with GAAP prior to ASU 2018-12, Financial Services-Insurance (Topic 944), Targeted Improvements to the Accounting for Long-Duration Contracts). These reserve calculations will be subject to annual assumption reviews consistent with other GAAP liability balances. If F&amp;G Cayman Re had not been permitted to calculate PRT assumed reserves using best estimate reserve calculations or include the value of the LOCs as an admitted asset, statutory surplus would be $93 million and $(64) million as of September 30, 2025 and December 31, 2024, respectively. Without such permitted statutory accounting practices, F&amp;G Cayman Re’s risk-based capital would have fallen below the minimum regulatory requirements as of September 30, 2025 and December 31, 2024.</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F&amp;G Life Re files financial statements based on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Net income and capital and surplus of our wholly owned Cayman Islands and Bermuda regulated insurance subsidiaries under SAP and GAAP, respectively, were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gridSpan w:val="3"/>
          </w:tcPr>
          <w:p>
            <w:pPr>
              <w:jc w:val="right"/>
              <w:ind w:right="1829"/>
              <w:spacing w:after="0"/>
              <w:rPr>
                <w:sz w:val="20"/>
                <w:szCs w:val="20"/>
                <w:color w:val="auto"/>
              </w:rPr>
            </w:pPr>
            <w:r>
              <w:rPr>
                <w:rFonts w:ascii="Times New Roman" w:cs="Times New Roman" w:eastAsia="Times New Roman" w:hAnsi="Times New Roman"/>
                <w:sz w:val="14"/>
                <w:szCs w:val="14"/>
                <w:b w:val="1"/>
                <w:bCs w:val="1"/>
                <w:color w:val="auto"/>
              </w:rPr>
              <w:t>Subsidiary (country of domicile)</w:t>
            </w:r>
          </w:p>
        </w:tc>
      </w:tr>
      <w:tr>
        <w:trPr>
          <w:trHeight w:val="24"/>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186"/>
        </w:trPr>
        <w:tc>
          <w:tcPr>
            <w:tcW w:w="5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F&amp;G Cayman Re (Cayman Islands)</w:t>
            </w:r>
          </w:p>
        </w:tc>
        <w:tc>
          <w:tcPr>
            <w:tcW w:w="5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F&amp;G Life Re (Bermuda)</w:t>
            </w:r>
          </w:p>
        </w:tc>
      </w:tr>
      <w:tr>
        <w:trPr>
          <w:trHeight w:val="186"/>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320" w:type="dxa"/>
            <w:vAlign w:val="bottom"/>
          </w:tcPr>
          <w:p>
            <w:pPr>
              <w:spacing w:after="0"/>
              <w:rPr>
                <w:sz w:val="16"/>
                <w:szCs w:val="16"/>
                <w:color w:val="auto"/>
              </w:rPr>
            </w:pPr>
          </w:p>
        </w:tc>
      </w:tr>
      <w:tr>
        <w:trPr>
          <w:trHeight w:val="187"/>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Net income (loss):</w:t>
            </w:r>
          </w:p>
        </w:tc>
        <w:tc>
          <w:tcPr>
            <w:tcW w:w="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24"/>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three months ended September 30, 2025</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w:t>
            </w:r>
          </w:p>
        </w:tc>
        <w:tc>
          <w:tcPr>
            <w:tcW w:w="54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three months ended September 30, 2024</w:t>
            </w:r>
          </w:p>
        </w:tc>
        <w:tc>
          <w:tcPr>
            <w:tcW w:w="220" w:type="dxa"/>
            <w:vAlign w:val="bottom"/>
          </w:tcPr>
          <w:p>
            <w:pPr>
              <w:spacing w:after="0"/>
              <w:rPr>
                <w:sz w:val="16"/>
                <w:szCs w:val="16"/>
                <w:color w:val="auto"/>
              </w:rPr>
            </w:pPr>
          </w:p>
        </w:tc>
        <w:tc>
          <w:tcPr>
            <w:tcW w:w="2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540" w:type="dxa"/>
            <w:vAlign w:val="bottom"/>
          </w:tcPr>
          <w:p>
            <w:pPr>
              <w:spacing w:after="0"/>
              <w:rPr>
                <w:sz w:val="16"/>
                <w:szCs w:val="16"/>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219"/>
        </w:trPr>
        <w:tc>
          <w:tcPr>
            <w:tcW w:w="5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nine months ended September 30, 2025</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nine months ended September 30, 2024</w:t>
            </w:r>
          </w:p>
        </w:tc>
        <w:tc>
          <w:tcPr>
            <w:tcW w:w="220" w:type="dxa"/>
            <w:vAlign w:val="bottom"/>
            <w:shd w:val="clear" w:color="auto" w:fill="CCEEFF"/>
          </w:tcPr>
          <w:p>
            <w:pPr>
              <w:spacing w:after="0"/>
              <w:rPr>
                <w:sz w:val="17"/>
                <w:szCs w:val="17"/>
                <w:color w:val="auto"/>
              </w:rPr>
            </w:pPr>
          </w:p>
        </w:tc>
        <w:tc>
          <w:tcPr>
            <w:tcW w:w="2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w:t>
            </w:r>
          </w:p>
        </w:tc>
        <w:tc>
          <w:tcPr>
            <w:tcW w:w="54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212"/>
        </w:trPr>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Capital and Surplus:</w:t>
            </w:r>
          </w:p>
        </w:tc>
        <w:tc>
          <w:tcPr>
            <w:tcW w:w="22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2025</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1,096</w:t>
            </w:r>
          </w:p>
        </w:tc>
        <w:tc>
          <w:tcPr>
            <w:tcW w:w="5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20" w:type="dxa"/>
            <w:vAlign w:val="bottom"/>
            <w:shd w:val="clear" w:color="auto" w:fill="CCEEFF"/>
          </w:tcPr>
          <w:p>
            <w:pPr>
              <w:spacing w:after="0"/>
              <w:rPr>
                <w:sz w:val="17"/>
                <w:szCs w:val="17"/>
                <w:color w:val="auto"/>
              </w:rPr>
            </w:pPr>
          </w:p>
        </w:tc>
        <w:tc>
          <w:tcPr>
            <w:tcW w:w="2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734</w:t>
            </w:r>
          </w:p>
        </w:tc>
        <w:tc>
          <w:tcPr>
            <w:tcW w:w="54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bl>
    <w:p>
      <w:pPr>
        <w:spacing w:after="0" w:line="3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prescribed and permitted statutory accounting practices have no impact on our unaudited Condensed Consolidated Financial Statements, which are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 Notes Payable</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Notes payable consists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4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r>
      <w:tr>
        <w:trPr>
          <w:trHeight w:val="186"/>
        </w:trPr>
        <w:tc>
          <w:tcPr>
            <w:tcW w:w="40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4"/>
          </w:tcPr>
          <w:p>
            <w:pPr>
              <w:jc w:val="right"/>
              <w:ind w:right="124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4.50%</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net of discount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r>
      <w:tr>
        <w:trPr>
          <w:trHeight w:val="191"/>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3.40%</w:t>
            </w:r>
          </w:p>
        </w:tc>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net of discount</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r>
      <w:tr>
        <w:trPr>
          <w:trHeight w:val="20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2.45%</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net of discount</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r>
      <w:tr>
        <w:trPr>
          <w:trHeight w:val="191"/>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3.20%</w:t>
            </w:r>
          </w:p>
        </w:tc>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net of discount</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206"/>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1"/>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F&amp;G Credit Agreement</w:t>
            </w:r>
          </w:p>
        </w:tc>
        <w:tc>
          <w:tcPr>
            <w:tcW w:w="160" w:type="dxa"/>
            <w:vAlign w:val="bottom"/>
          </w:tcPr>
          <w:p>
            <w:pPr>
              <w:spacing w:after="0"/>
              <w:rPr>
                <w:sz w:val="16"/>
                <w:szCs w:val="16"/>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6.50%</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F&amp;G Notes, net of discount</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r>
      <w:tr>
        <w:trPr>
          <w:trHeight w:val="191"/>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7.40%</w:t>
            </w:r>
          </w:p>
        </w:tc>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F&amp;G Notes, net of discount</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r>
      <w:tr>
        <w:trPr>
          <w:trHeight w:val="20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5.50%</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F&amp;G Notes, net of discount</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191"/>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7.95%</w:t>
            </w:r>
          </w:p>
        </w:tc>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F&amp;G Notes, net of discount</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20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6.25%</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F&amp;G Notes, net of discount</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r>
      <w:tr>
        <w:trPr>
          <w:trHeight w:val="191"/>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7.30%</w:t>
            </w:r>
          </w:p>
        </w:tc>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F&amp;G Notes, net of discount</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4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2"/>
        </w:trPr>
        <w:tc>
          <w:tcPr>
            <w:tcW w:w="40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4,398</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4,321</w:t>
            </w:r>
          </w:p>
        </w:tc>
      </w:tr>
      <w:tr>
        <w:trPr>
          <w:trHeight w:val="27"/>
        </w:trPr>
        <w:tc>
          <w:tcPr>
            <w:tcW w:w="4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3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January 13, 2025, F&amp;G completed its public offering of the 7.30% F&amp;G Junior Notes. F&amp;G is using the net proceeds of this offering for general corporate purposes, including the repurchase, redemption, or repayment at maturity of outstanding indebtedness. The 7.30% F&amp;G Junior Notes are junior, unsecured subordinated obligations of F&amp;G. Interest is payable quarterly in arrears beginning on April 15, 2025, and the 7.30% F&amp;G Junior Notes mature on January 15, 2065, unless earlier repurchased or redeemed. The 7.30% F&amp;G Junior Notes become redeemable in whole or in part, any time and from time to time on or after January 15, 2030 or within 90 days of the occurrence of certain events as described in the indenture. The 7.30% F&amp;G Junior Notes were registered under the Securities Act of 1933 (as amended) (the “Securities Act”).</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October 4, 2024, F&amp;G issued $500 million of its 6.25% Senior Notes due 2034. The 6.25% F&amp;G Notes were issued at 99.36% of face value, net of deferred issuance costs of approximately $8 million. The 6.25% F&amp;G Notes are senior unsecured, unsubordinated obligations of F&amp;G and are guaranteed by each of F&amp;G's subsidiaries that are guarantors of F&amp;G's obligations under its existing credit agreement. The 6.25% F&amp;G Notes mature on October 4, 2034, and become callable on July 4, 2034. Interest is payable semi-annually at a fixed rate of 6.25%, and if the 6.25% F&amp;G Notes are downgraded, the interest rate payable is subject to adjustment from time to time per the terms of the indenture. A portion of the net proceeds were used to pay off the outstanding balance of $365 million on the F&amp;G Credit Agreement described below. F&amp;G intends to use the remaining net proceeds of this offering for general corporate purposes, including the support of organic growth opportunities.</w:t>
      </w:r>
    </w:p>
    <w:p>
      <w:pPr>
        <w:spacing w:after="0" w:line="8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June 4, 2024, F&amp;G completed its public offering of $550 million aggregate principal amount of its 6.50% F&amp;G Notes due 2029. The 6.50% F&amp;G Notes were issued at 99.74% of face value net of deferred issuance costs of approximately $6 million. The 6.50% F&amp;G Notes are guaranteed on an unsecured, unsubordinated basis by each of F&amp;G’s subsidiaries that are guarantors of F&amp;G’s obligations under its existing credit agreement. The 6.50% F&amp;G Notes mature on June 4, 2029, and become callable on May 4, 2029. Interest is payable semi-annually at a fixed rate of 6.50%, and, if the 6.50% F&amp;G Notes are downgraded, the interest rate payable is subject to adjustment from time to time per the terms of the indenture. A portion of the net proceeds were used to finance a cash tender offer by its wholly owned subsidiary Fidelity &amp; Guaranty Life Holdings, Inc. (“FGLH”) for an aggregate principal amount of $250 million of FGLH’s 5.50% Senior Notes due 2025 (the “5.50% F&amp;G Notes”). F&amp;G intends to use the remaining net proceeds of this offering for general corporate purposes, which may include the repurchase, redemption, or repayment at maturity of outstanding indebtedness.</w:t>
      </w:r>
    </w:p>
    <w:p>
      <w:pPr>
        <w:spacing w:after="0" w:line="9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December 6, 2023, F&amp;G issued $345 million of its 7.95% Senior Notes due 2053 ("7.95% F&amp;G Notes"). The 7.95% F&amp;G Notes were issued at par, net of deferred issuance costs of approximately $9 million. The 7.95% F&amp;G Notes are senior unsecured, unsubordinated obligations of F&amp;G and are guaranteed by each of F&amp;G’s subsidiaries that are guarantors of F&amp;G’s obligations under its existing credit agreement. The 7.95% F&amp;G Notes mature on December 15, 2053, and become callable on December 15, 2028. Interest is payable quarterly at a fixed rate of 7.95%, and, if the 7.95% F&amp;G Notes are downgraded, the interest rate payable is subject to adjustment from time to time per the terms of the indenture.</w:t>
      </w:r>
    </w:p>
    <w:p>
      <w:pPr>
        <w:spacing w:after="0" w:line="93"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On January 13, 2023, F&amp;G issued $500 million of its 7.40% Notes due 2028 ("the 7.40% F&amp;G Notes"). The 7.40% F&amp;G Notes were issued at par, net of deferred issuance costs of approximately $6 million. The 7.40% F&amp;G Notes are senior, unsecured unsubordinated obligations of F&amp;G and are fully and unconditionally guaranteed on an unsecured, unsubordinated basis by each of F&amp;G’s subsidiaries that are guarantors of F&amp;G’s obligations under its existing credit agreement. The 7.40%</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F&amp;G Notes mature on January 13, 2028, and become callable on or after December 13, 2027. Interest is payable semi-annually at a fixed rate of 7.40%, and if, the 7.40% F&amp;G Notes are downgraded, the interest rate payable is subject to adjustment from time to time per the terms of the indenture.</w:t>
      </w:r>
    </w:p>
    <w:p>
      <w:pPr>
        <w:spacing w:after="0" w:line="4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November 22, 2022, F&amp;G entered into the F&amp;G Credit Agreement pursuant to which the Lenders have made available the F&amp;G Credit Facility in an aggregate principal amount of $550 million to be used for working capital and general corporate purposes. On February 21, 2023, F&amp;G entered into the Amended F&amp;G Credit Agreement with the Lenders and the Administrative Agent, swing line lender and issuing bank. The Amended F&amp;G Credit Agreement increased the aggregate principal amount of commitments under the F&amp;G Credit Facility by $115 million to $665 million. On February 16, 2024, F&amp;G entered into a Second Amended and Restated F&amp;G Credit Agreement. Among other changes, the Second Amended and Restated F&amp;G Credit Agreement amends the Amended F&amp;G Credit Agreement to extend the maturity date to November 22, 2027, and increase the aggregate principal amount of commitments under the revolving credit facility to $750 million.</w:t>
      </w:r>
    </w:p>
    <w:p>
      <w:pPr>
        <w:spacing w:after="0" w:line="81"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Revolving loans under the Credit Agreement generally bear interest at a variable rate based on either (i) the base rate (which is the highest of (a) one-half of one percent in excess of the federal funds rate, (b) the Administrative Agent’s “prime rate”, or (c) the sum of 1% plus The Secured Overnight Financing Rate (“SOFR”) plus a margin of between 30.0 and 80.0 basis points depending on the non-credit-enhanced, senior unsecured long-term debt ratings of F&amp;G or</w:t>
      </w:r>
    </w:p>
    <w:p>
      <w:pPr>
        <w:spacing w:after="0" w:line="1" w:lineRule="exact"/>
        <w:rPr>
          <w:sz w:val="20"/>
          <w:szCs w:val="20"/>
          <w:color w:val="auto"/>
        </w:rPr>
      </w:pPr>
    </w:p>
    <w:p>
      <w:pPr>
        <w:jc w:val="both"/>
        <w:ind w:firstLine="6"/>
        <w:spacing w:after="0" w:line="247" w:lineRule="auto"/>
        <w:tabs>
          <w:tab w:leader="none" w:pos="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plus a margin of between 130.0 and 180.0 basis points depending on the non-credit-enhanced, senior unsecured long-term debt ratings of F&amp;G. In addition, F&amp;G pays a facility fee of between 20.0 and 45.0 basis points on the entire facility, also depending on the non-credit-enhanced, senior unsecured long-term debt ratings, which is payable quarterly in arrears. As of September 30, 2025 and December 31, 2024, we had $750 million of remaining borrowing availability.</w:t>
      </w:r>
    </w:p>
    <w:p>
      <w:pPr>
        <w:spacing w:after="0" w:line="8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September 17, 2021, we completed our underwritten public offering of $450 million aggregate principal amount of our 3.20% Notes due 2051 ("the 3.20% Notes"), pursuant to our registration statement on Form S-3 ASR (File No. 333-239002) and the related prospectus supplement. The net proceeds from the registered offering of the 3.20% Notes were approximately $443 million, after deducting underwriting discounts, commissions and offering expenses. We used the net proceeds from the offering for general corporate purposes.</w:t>
      </w:r>
    </w:p>
    <w:p>
      <w:pPr>
        <w:spacing w:after="0" w:line="74"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7"/>
          <w:szCs w:val="17"/>
          <w:color w:val="auto"/>
        </w:rPr>
        <w:t>On October 29, 2020, we entered into the Fifth Restated Credit Agreement for our Amended Revolving Credit Facility with Bank of America, N.A., as administrative agent and the other agents party thereto. Among other changes, the Fifth Restated Credit Agreement amends the Fourth Restated Credit Agreement to extend the maturity date from April 27, 2022 to October 29, 2025. The material terms of the Fourth Restated Credit Agreement are set forth in our Annual Report on Form 10-K for the year ended December 31, 2019. On February 16, 2024, we entered into a Sixth Amended and Restated Credit Agreement for our $800 million revolving credit facility (the "Amended Revolving Credit Facility") with Bank of America, N.A., as administrative agent and other agents party thereto (the "Sixth Restated Credit Agreement"). Among other changes, the Sixth Restated Credit Agreement amends the Amended Revolving Credit Facility to extend the maturity date from October 29, 2025, to February 16, 2029. As of September 30, 2025, there was no principal outstanding, $3 million of unamortized debt issuance costs, and $800 million of available borrowing capacity under the Amended Revolving Credit Facility.</w:t>
      </w:r>
    </w:p>
    <w:p>
      <w:pPr>
        <w:spacing w:after="0" w:line="147"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7"/>
          <w:szCs w:val="17"/>
          <w:color w:val="auto"/>
        </w:rPr>
        <w:t>On September 15, 2020, we completed our underwritten public offering of $600 million aggregate principal amount of our 2.45% Notes due March 15, 2031 (the "2.45% Notes") pursuant to an effective registration statement filed with the SEC. The net proceeds from the registered offering of the 2.45% Notes were approximately $593 million, after deducting underwriting discounts and commissions and offering expenses. We used the net proceeds from the offering</w:t>
      </w:r>
    </w:p>
    <w:p>
      <w:pPr>
        <w:spacing w:after="0" w:line="2" w:lineRule="exact"/>
        <w:rPr>
          <w:sz w:val="20"/>
          <w:szCs w:val="20"/>
          <w:color w:val="auto"/>
        </w:rPr>
      </w:pPr>
    </w:p>
    <w:p>
      <w:pPr>
        <w:jc w:val="both"/>
        <w:ind w:firstLine="6"/>
        <w:spacing w:after="0"/>
        <w:tabs>
          <w:tab w:leader="none" w:pos="2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repay all our $260 million outstanding indebtedness under our prior term loan credit agreement dated April 22, 2020, among us, as borrower, various lenders, and Bank of American N.A., as administrative agent (the "Term Loan"), which provided for an aggregate principal borrowing of $1.0 billion that we entered into to fund a portion of the acquisition of F&amp;G and (ii) for general corporate purposes.</w:t>
      </w:r>
    </w:p>
    <w:p>
      <w:pPr>
        <w:spacing w:after="0" w:line="141"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On June 12, 2020, we completed our underwritten public offering of $650 million aggregate principal amount of the 3.40% Notes due June 15, 2030 (the “3.40% Notes”) pursuant to an effective registration statement filed with the SEC. The net proceeds from the registered offering of the 3.40% Notes were approximately $642 million, after deducting underwriting discounts, and commissions and offering expenses. We used the net proceeds from the offering (i) to repay $640 million of the outstanding principal amount under the Term Loan, and (ii) for general corporate purposes.</w:t>
      </w:r>
    </w:p>
    <w:p>
      <w:pPr>
        <w:spacing w:after="0" w:line="152" w:lineRule="exact"/>
        <w:rPr>
          <w:sz w:val="20"/>
          <w:szCs w:val="20"/>
          <w:color w:val="auto"/>
        </w:rPr>
      </w:pPr>
    </w:p>
    <w:p>
      <w:pPr>
        <w:jc w:val="both"/>
        <w:ind w:firstLine="318"/>
        <w:spacing w:after="0" w:line="242" w:lineRule="auto"/>
        <w:rPr>
          <w:sz w:val="20"/>
          <w:szCs w:val="20"/>
          <w:color w:val="auto"/>
        </w:rPr>
      </w:pPr>
      <w:r>
        <w:rPr>
          <w:rFonts w:ascii="Times New Roman" w:cs="Times New Roman" w:eastAsia="Times New Roman" w:hAnsi="Times New Roman"/>
          <w:sz w:val="18"/>
          <w:szCs w:val="18"/>
          <w:color w:val="auto"/>
        </w:rPr>
        <w:t>On April 20, 2018, Fidelity &amp; Guaranty Life Holdings, Inc. (“FGLH”), F&amp;G's indirect wholly owned subsidiary, completed a debt offering of $550 million of 5.50% F&amp;G Notes due May 1, 2025 at 99.5% of face value for proceeds of $547 million. As a result of our acquisition of F&amp;G in 2020, a premium of $39 million was established for these notes and was amortized over the remaining life of the debt through 2025. In conjunction with the acquisition, we became a guarantor of FGLH's obligations under the 5.50% F&amp;G Notes and agreed to fully and unconditionally guarantee the 5.50% F&amp;G Notes, on a joint and several basis. A portion of the net proceeds of the 6.50% F&amp;G Notes were used for a $250 million cash tender offer of the 5.50% F&amp;G Notes in June 2024. On February 1, 2025, F&amp;G redeemed the outstanding $300 million aggregate principal</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 of its 5.50% Senior Notes due May 1, 2025 (the “5.50% F&amp;G Senior Notes”). The notes 5.50% F&amp;G Senior Notes were redeemed for a redemption price equal to 100% of the principal amount of the notes plus accrued and unpaid interest to, but excluding, the redemption date. On and after the redemption date, interest ceased to accrue on the notes.</w:t>
      </w:r>
    </w:p>
    <w:p>
      <w:pPr>
        <w:spacing w:after="0" w:line="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August 13, 2018, we completed an offering of $450 million in aggregate principal amount of 4.50% notes due August 2028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 On May 16, 2019, we completed an offering to exchange the 4.50% Notes for substantially identical notes registered pursuant to Rule 424 under the Securities Act of 1933 (the "4.50% Notes Exchange"). There were no material changes to the terms of the 4.50% Notes as a result of the 4.50% Notes Exchange and all holders of the 4.50% Notes accepted the offer to exchange.</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Gross principal maturities of notes payable as of September 30, 2025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9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9"/>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(remaining)</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6"/>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206"/>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92"/>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2,920</w:t>
            </w:r>
          </w:p>
        </w:tc>
      </w:tr>
      <w:tr>
        <w:trPr>
          <w:trHeight w:val="217"/>
        </w:trPr>
        <w:tc>
          <w:tcPr>
            <w:tcW w:w="98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 — Market Risk Benefits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the balances of and changes in MRBs associated with indexed annuities and fixed rate annuities for the nine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the year ended December 31,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2060" w:type="dxa"/>
            <w:vAlign w:val="bottom"/>
            <w:gridSpan w:val="4"/>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6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26"/>
        </w:trPr>
        <w:tc>
          <w:tcPr>
            <w:tcW w:w="6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Indexed</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89"/>
              <w:spacing w:after="0" w:line="126"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Indexed</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49"/>
              <w:spacing w:after="0" w:line="126" w:lineRule="exact"/>
              <w:rPr>
                <w:sz w:val="20"/>
                <w:szCs w:val="20"/>
                <w:color w:val="auto"/>
              </w:rPr>
            </w:pPr>
            <w:r>
              <w:rPr>
                <w:rFonts w:ascii="Times New Roman" w:cs="Times New Roman" w:eastAsia="Times New Roman" w:hAnsi="Times New Roman"/>
                <w:sz w:val="14"/>
                <w:szCs w:val="14"/>
                <w:b w:val="1"/>
                <w:bCs w:val="1"/>
                <w:color w:val="auto"/>
              </w:rPr>
              <w:t>Fixed rate</w:t>
            </w:r>
          </w:p>
        </w:tc>
      </w:tr>
      <w:tr>
        <w:trPr>
          <w:trHeight w:val="192"/>
        </w:trPr>
        <w:tc>
          <w:tcPr>
            <w:tcW w:w="66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annuities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annuities</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annuities</w:t>
            </w:r>
          </w:p>
        </w:tc>
      </w:tr>
      <w:tr>
        <w:trPr>
          <w:trHeight w:val="192"/>
        </w:trPr>
        <w:tc>
          <w:tcPr>
            <w:tcW w:w="66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160" w:type="dxa"/>
            <w:vAlign w:val="bottom"/>
            <w:tcBorders>
              <w:bottom w:val="single" w:sz="8" w:color="auto"/>
            </w:tcBorders>
            <w:gridSpan w:val="5"/>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r>
      <w:tr>
        <w:trPr>
          <w:trHeight w:val="198"/>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period, net liability</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8"/>
        </w:trPr>
        <w:tc>
          <w:tcPr>
            <w:tcW w:w="6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period, before effect of changes in the instrument-specific credit risk</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5"/>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Issuances and benefit payments</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Attributed fees collected and interest accrual</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Actual policyholder behavior different from expected</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assumptions and other</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Effects of market related movements</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 before effect of changes in the instrument-specific credit risk</w:t>
            </w: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changes in the instrument-specific credit risk</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 net liability</w:t>
            </w: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reinsured market risk benefits</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 net of reinsurance</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8"/>
        </w:trPr>
        <w:tc>
          <w:tcPr>
            <w:tcW w:w="6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attained age of policyholders weighted by total AV (years)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72.58</w:t>
            </w:r>
          </w:p>
        </w:tc>
      </w:tr>
      <w:tr>
        <w:trPr>
          <w:trHeight w:val="20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at risk</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reconciles MRBs by amounts in an asset position and amounts in a liability position to the MRBs amounts in the accompanying unaudited Condensed 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3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6"/>
        </w:trPr>
        <w:tc>
          <w:tcPr>
            <w:tcW w:w="374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3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Reinsured</w:t>
            </w: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1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Reinsured</w:t>
            </w: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3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MRB asset</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8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20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MRB asset</w:t>
            </w:r>
          </w:p>
        </w:tc>
        <w:tc>
          <w:tcPr>
            <w:tcW w:w="84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1"/>
        </w:trPr>
        <w:tc>
          <w:tcPr>
            <w:tcW w:w="37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2"/>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MRB liability</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8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192"/>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8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MRB liability</w:t>
            </w:r>
          </w:p>
        </w:tc>
        <w:tc>
          <w:tcPr>
            <w:tcW w:w="840" w:type="dxa"/>
            <w:vAlign w:val="bottom"/>
            <w:tcBorders>
              <w:top w:val="single" w:sz="8" w:color="auto"/>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net MRB liability increased for the nine months ended September 30, 2025, primarily as a result of collection of attributed fees, interest accrual, and MRB reserves for contracts issued within the period.</w:t>
      </w:r>
    </w:p>
    <w:p>
      <w:pPr>
        <w:spacing w:after="0" w:line="57"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For the nine months ended September 30, 2025, notable changes made to the inputs to the fair value estimates of MRBs calculations included an increase in risk-free rates leading to a favorable change in the MRBs associated with indexed annuities and decreases in the equity market related projections resulted in an increase in the net amount at risk associated with indexed annuities, leading to an unfavorable change in the value of the associated MRBs.</w:t>
      </w:r>
    </w:p>
    <w:p>
      <w:pPr>
        <w:spacing w:after="0" w:line="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net MRB liability increased for the year ended December 31, 2024, primarily as a result of collection of attributed fees, interest accrual, MRB reserves for contracts issued within the period, and changes in actuarial assumptions. These increases were partially offset by the effects of market related movements, including the impacts of higher risk-free rates and increases in the equity market related projections.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notable changes made to the inputs to the fair value estimates of MRBs calculations included an increase in risk-free rates leading to a favorable change in the MRBs associated with indexed annuities and fixed rate annuities; increases in the equity market related projections resulted in a decrease in the net amount at risk associated with indexed annuities, leading to a favorable change in the value of the associated MRBs; and an increase in the rider benefit utilization assumption, leading to an unfavorable change in the value of the associated MRBs.</w:t>
      </w:r>
    </w:p>
    <w:p>
      <w:pPr>
        <w:spacing w:after="0" w:line="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the cash flow assumptions used to calculate MRBs reflect the Company’s best estimates for policyholder behavior. F&amp;G reviews cash flow assumptions annually, generally in the third quarter. In 2024 and 2025, F&amp;G undertook a review of all significant assumptions and revised several assumptions relating to their deferred annuities (indexed annuities and fixed rate annuities) with MRBs. For the nine months ended September 30, 2025, F&amp;G updated assumptions including surrender rates, mortality, partial withdrawals, projected CPI, and option budgets. All updates to these assumptions brought F&amp;G more in line with our Company and overall industry experience since the prior assumption updates. These updates, in total, led to an increase in the net MRB liability for the nine months ended September 30, 2025. For the year ended December 31, 2024, F&amp;G updated assumptions including surrender rates, rider benefit election utilization, mortality improvement, and option budgets. All updates to these assumptions brought F&amp;G more in line with our Company and overall industry experience since the prior assumption updates. These updates, in total, led to an increase in the net MRB liability for the year ended December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 — Contractholder Funds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balances of and changes in contractholder funds’ account balances: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FABN (b)</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FHLB (b)</w:t>
            </w:r>
          </w:p>
        </w:tc>
      </w:tr>
      <w:tr>
        <w:trPr>
          <w:trHeight w:val="192"/>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30,235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17,442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2,463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Issuances</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4,862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3,444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Premiums received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Policy charges (a)</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(2,197)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(2,819)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(1,720)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638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92"/>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32,307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19,531</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3,159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3,324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w:t>
            </w:r>
          </w:p>
        </w:tc>
      </w:tr>
      <w:tr>
        <w:trPr>
          <w:trHeight w:val="192"/>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Reconciling items (c)</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liability, end of period</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32,698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19,531</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3,279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3,336</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w:t>
            </w:r>
          </w:p>
        </w:tc>
      </w:tr>
      <w:tr>
        <w:trPr>
          <w:trHeight w:val="192"/>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12,909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after reinsurance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30,244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6,622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at risk (d)</w:t>
            </w:r>
          </w:p>
        </w:tc>
        <w:tc>
          <w:tcPr>
            <w:tcW w:w="160" w:type="dxa"/>
            <w:vAlign w:val="bottom"/>
          </w:tcPr>
          <w:p>
            <w:pPr>
              <w:spacing w:after="0"/>
              <w:rPr>
                <w:sz w:val="16"/>
                <w:szCs w:val="16"/>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29,483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surrender value (e)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30,067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18,266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80" w:lineRule="exact"/>
        <w:rPr>
          <w:sz w:val="20"/>
          <w:szCs w:val="20"/>
          <w:color w:val="auto"/>
        </w:rPr>
      </w:pPr>
    </w:p>
    <w:p>
      <w:pPr>
        <w:ind w:left="180" w:hanging="174"/>
        <w:spacing w:after="0"/>
        <w:tabs>
          <w:tab w:leader="none" w:pos="1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included in the contractholder funds are generally charged a premium and/or monthly assessments on the basis of the account balance.</w:t>
      </w:r>
    </w:p>
    <w:p>
      <w:pPr>
        <w:spacing w:after="0" w:line="22" w:lineRule="exact"/>
        <w:rPr>
          <w:rFonts w:ascii="Times New Roman" w:cs="Times New Roman" w:eastAsia="Times New Roman" w:hAnsi="Times New Roman"/>
          <w:sz w:val="13"/>
          <w:szCs w:val="13"/>
          <w:color w:val="auto"/>
        </w:rPr>
      </w:pPr>
    </w:p>
    <w:p>
      <w:pPr>
        <w:ind w:right="20" w:firstLine="6"/>
        <w:spacing w:after="0" w:line="255" w:lineRule="auto"/>
        <w:tabs>
          <w:tab w:leader="none" w:pos="199"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ind w:right="20" w:firstLine="6"/>
        <w:spacing w:after="0" w:line="234" w:lineRule="auto"/>
        <w:tabs>
          <w:tab w:leader="none" w:pos="183"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reconciling items reconcile the account balance to the gross GAAP liability. For indexed annuities and universal life, the reconciling items represent embedded derivatives and include the combination of the host contracts and the fair value of the embedded derivatives. For FABN, the reconciling items represent basis adjustments due to the impact of fair value hedge accounting.</w:t>
      </w:r>
    </w:p>
    <w:p>
      <w:pPr>
        <w:ind w:firstLine="6"/>
        <w:spacing w:after="0" w:line="254" w:lineRule="auto"/>
        <w:tabs>
          <w:tab w:leader="none" w:pos="192"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those guarantees of benefits that are payable in the event of death, the net amount at risk is generally defined as the current guaranteed minimum death benefit in excess of the current account balance at the balance sheet date.</w:t>
      </w:r>
    </w:p>
    <w:p>
      <w:pPr>
        <w:ind w:left="180" w:hanging="174"/>
        <w:spacing w:after="0"/>
        <w:tabs>
          <w:tab w:leader="none" w:pos="1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are gross of reinsurance.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FABN (b)</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FHLB (b)</w:t>
            </w:r>
          </w:p>
        </w:tc>
      </w:tr>
      <w:tr>
        <w:trPr>
          <w:trHeight w:val="192"/>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27,164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13,443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2,613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Issuances</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6,649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5,125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Premiums received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Policy charges (a)</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(1,479)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w:t>
            </w:r>
          </w:p>
        </w:tc>
      </w:tr>
      <w:tr>
        <w:trPr>
          <w:trHeight w:val="206"/>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92"/>
        </w:trPr>
        <w:tc>
          <w:tcPr>
            <w:tcW w:w="3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30,235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17,442</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2,817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2,463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r>
      <w:tr>
        <w:trPr>
          <w:trHeight w:val="192"/>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 adjustment (c)</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liability, end of period</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30,454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17,442</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2,896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2,463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r>
      <w:tr>
        <w:trPr>
          <w:trHeight w:val="192"/>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w:t>
            </w:r>
          </w:p>
        </w:tc>
        <w:tc>
          <w:tcPr>
            <w:tcW w:w="16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11,009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after reinsurance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29,593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6,433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at risk (d)</w:t>
            </w:r>
          </w:p>
        </w:tc>
        <w:tc>
          <w:tcPr>
            <w:tcW w:w="160" w:type="dxa"/>
            <w:vAlign w:val="bottom"/>
          </w:tcPr>
          <w:p>
            <w:pPr>
              <w:spacing w:after="0"/>
              <w:rPr>
                <w:sz w:val="16"/>
                <w:szCs w:val="16"/>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74,279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surrender value (e)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27,865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16,266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80" w:lineRule="exact"/>
        <w:rPr>
          <w:sz w:val="20"/>
          <w:szCs w:val="20"/>
          <w:color w:val="auto"/>
        </w:rPr>
      </w:pPr>
    </w:p>
    <w:p>
      <w:pPr>
        <w:ind w:left="180" w:hanging="174"/>
        <w:spacing w:after="0"/>
        <w:tabs>
          <w:tab w:leader="none" w:pos="1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included in the contractholder funds are generally charged a premium and/or monthly assessments on the basis of the account balance.</w:t>
      </w:r>
    </w:p>
    <w:p>
      <w:pPr>
        <w:spacing w:after="0" w:line="22" w:lineRule="exact"/>
        <w:rPr>
          <w:rFonts w:ascii="Times New Roman" w:cs="Times New Roman" w:eastAsia="Times New Roman" w:hAnsi="Times New Roman"/>
          <w:sz w:val="13"/>
          <w:szCs w:val="13"/>
          <w:color w:val="auto"/>
        </w:rPr>
      </w:pPr>
    </w:p>
    <w:p>
      <w:pPr>
        <w:ind w:right="20" w:firstLine="6"/>
        <w:spacing w:after="0" w:line="255" w:lineRule="auto"/>
        <w:tabs>
          <w:tab w:leader="none" w:pos="199"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ind w:left="180" w:hanging="174"/>
        <w:spacing w:after="0" w:line="235" w:lineRule="auto"/>
        <w:tabs>
          <w:tab w:leader="none" w:pos="1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embedded derivative adjustment reconciles the account balance to the gross GAAP liability and represents the combination of the host contract and the fair value of the embedded derivatives.</w:t>
      </w:r>
    </w:p>
    <w:p>
      <w:pPr>
        <w:ind w:firstLine="6"/>
        <w:spacing w:after="0" w:line="254" w:lineRule="auto"/>
        <w:tabs>
          <w:tab w:leader="none" w:pos="192"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those guarantees of benefits that are payable in the event of death, the net amount at risk is generally defined as the current guaranteed minimum death benefit in excess of the current account balance at the balance sheet date.</w:t>
      </w:r>
    </w:p>
    <w:p>
      <w:pPr>
        <w:ind w:left="180" w:hanging="174"/>
        <w:spacing w:after="0"/>
        <w:tabs>
          <w:tab w:leader="none" w:pos="1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are gross of reinsurance.</w:t>
      </w:r>
    </w:p>
    <w:p>
      <w:pPr>
        <w:spacing w:after="0" w:line="8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following table reconciles contractholder funds’ account balances to the contractholder funds liability in the accompanying unaudited Condensed Consolidated Balance Sheets: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15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r>
      <w:tr>
        <w:trPr>
          <w:trHeight w:val="186"/>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4"/>
          </w:tcPr>
          <w:p>
            <w:pPr>
              <w:jc w:val="right"/>
              <w:ind w:right="130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30,454</w:t>
            </w:r>
          </w:p>
        </w:tc>
      </w:tr>
      <w:tr>
        <w:trPr>
          <w:trHeight w:val="191"/>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17,442</w:t>
            </w:r>
          </w:p>
        </w:tc>
      </w:tr>
      <w:tr>
        <w:trPr>
          <w:trHeight w:val="20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191"/>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Universal life</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2,896</w:t>
            </w:r>
          </w:p>
        </w:tc>
      </w:tr>
      <w:tr>
        <w:trPr>
          <w:trHeight w:val="20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1"/>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FABN</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w:t>
            </w:r>
          </w:p>
        </w:tc>
      </w:tr>
      <w:tr>
        <w:trPr>
          <w:trHeight w:val="20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FHLB</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r>
      <w:tr>
        <w:trPr>
          <w:trHeight w:val="192"/>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24"/>
        </w:trPr>
        <w:tc>
          <w:tcPr>
            <w:tcW w:w="7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61,798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56,404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7"/>
          <w:szCs w:val="17"/>
          <w:color w:val="auto"/>
        </w:rPr>
        <w:t>Annually, typically in the third quarter, F&amp;G reviews assumptions associated with reserves for policy benefits and product guarantees. For the nine months ended September 30, 2025 and the year ended December 31, 2024, based on policyholder behavior, experience, and interest rate movements, F&amp;G reflected updates to surrender assumptions for recent and expected near term policyholder behavior, as well as updated certain indexed annuities assumptions used to calculate the fair value of the embedded derivative component within Contractholder funds. These changes resulted in decreases in Contractholder funds of approximately $24 million and $89 million for the nine months ended September 30, 2025 and for the year ended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tables present the account values by range of guaranteed minimum crediting rates and the related range of difference, in basis points, between rates being credited to policyholders and the respective guaranteed minimums:</w:t>
      </w:r>
    </w:p>
    <w:p>
      <w:pPr>
        <w:sectPr>
          <w:pgSz w:w="11900" w:h="16838" w:orient="portrait"/>
          <w:cols w:equalWidth="0" w:num="1">
            <w:col w:w="11240"/>
          </w:cols>
          <w:pgMar w:left="320" w:top="121" w:right="339" w:bottom="1440" w:gutter="0" w:footer="0" w:header="0"/>
        </w:sectPr>
      </w:pPr>
    </w:p>
    <w:p>
      <w:pPr>
        <w:spacing w:after="0" w:line="345" w:lineRule="exact"/>
        <w:rPr>
          <w:sz w:val="20"/>
          <w:szCs w:val="20"/>
          <w:color w:val="auto"/>
        </w:rPr>
      </w:pPr>
    </w:p>
    <w:p>
      <w:pPr>
        <w:ind w:left="20" w:firstLine="505"/>
        <w:spacing w:after="0" w:line="319" w:lineRule="auto"/>
        <w:rPr>
          <w:sz w:val="20"/>
          <w:szCs w:val="20"/>
          <w:color w:val="auto"/>
        </w:rPr>
      </w:pPr>
      <w:r>
        <w:rPr>
          <w:rFonts w:ascii="Times New Roman" w:cs="Times New Roman" w:eastAsia="Times New Roman" w:hAnsi="Times New Roman"/>
          <w:sz w:val="14"/>
          <w:szCs w:val="14"/>
          <w:b w:val="1"/>
          <w:bCs w:val="1"/>
          <w:color w:val="auto"/>
        </w:rPr>
        <w:t>Range of guaranteed minimum crediting rate Indexed annuities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23977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080"/>
        <w:spacing w:after="0"/>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20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At Guaranteed</w:t>
            </w:r>
          </w:p>
        </w:tc>
        <w:tc>
          <w:tcPr>
            <w:tcW w:w="158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w w:val="99"/>
              </w:rPr>
              <w:t>1 Basis Point-50 Basis</w:t>
            </w:r>
          </w:p>
        </w:tc>
        <w:tc>
          <w:tcPr>
            <w:tcW w:w="174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51 Basis Points-150 Basis</w:t>
            </w:r>
          </w:p>
        </w:tc>
        <w:tc>
          <w:tcPr>
            <w:tcW w:w="1680" w:type="dxa"/>
            <w:vAlign w:val="bottom"/>
            <w:tcBorders>
              <w:top w:val="single" w:sz="8" w:color="auto"/>
            </w:tcBorders>
          </w:tcPr>
          <w:p>
            <w:pPr>
              <w:jc w:val="center"/>
              <w:ind w:right="129"/>
              <w:spacing w:after="0" w:line="148" w:lineRule="exact"/>
              <w:rPr>
                <w:sz w:val="20"/>
                <w:szCs w:val="20"/>
                <w:color w:val="auto"/>
              </w:rPr>
            </w:pPr>
            <w:r>
              <w:rPr>
                <w:rFonts w:ascii="Times New Roman" w:cs="Times New Roman" w:eastAsia="Times New Roman" w:hAnsi="Times New Roman"/>
                <w:sz w:val="14"/>
                <w:szCs w:val="14"/>
                <w:b w:val="1"/>
                <w:bCs w:val="1"/>
                <w:color w:val="auto"/>
              </w:rPr>
              <w:t>Greater Than 150</w:t>
            </w:r>
          </w:p>
        </w:tc>
        <w:tc>
          <w:tcPr>
            <w:tcW w:w="1160" w:type="dxa"/>
            <w:vAlign w:val="bottom"/>
            <w:tcBorders>
              <w:top w:val="single" w:sz="8" w:color="auto"/>
            </w:tcBorders>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Points Above</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68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2">
            <w:col w:w="3260" w:space="620"/>
            <w:col w:w="7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88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No guaranteed minimum crediting rate</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28,076</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32,307</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16,812</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19,531</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3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8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00" w:type="dxa"/>
            <w:vAlign w:val="bottom"/>
          </w:tcPr>
          <w:p>
            <w:pPr>
              <w:spacing w:after="0"/>
              <w:rPr>
                <w:sz w:val="10"/>
                <w:szCs w:val="10"/>
                <w:color w:val="auto"/>
              </w:rPr>
            </w:pPr>
          </w:p>
        </w:tc>
        <w:tc>
          <w:tcPr>
            <w:tcW w:w="11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At Guaranteed</w:t>
            </w:r>
          </w:p>
        </w:tc>
        <w:tc>
          <w:tcPr>
            <w:tcW w:w="100" w:type="dxa"/>
            <w:vAlign w:val="bottom"/>
          </w:tcPr>
          <w:p>
            <w:pPr>
              <w:spacing w:after="0"/>
              <w:rPr>
                <w:sz w:val="10"/>
                <w:szCs w:val="10"/>
                <w:color w:val="auto"/>
              </w:rPr>
            </w:pPr>
          </w:p>
        </w:tc>
        <w:tc>
          <w:tcPr>
            <w:tcW w:w="15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4"/>
                <w:szCs w:val="14"/>
                <w:b w:val="1"/>
                <w:bCs w:val="1"/>
                <w:color w:val="auto"/>
              </w:rPr>
              <w:t>1 Basis Point-50 Basis</w:t>
            </w:r>
          </w:p>
        </w:tc>
        <w:tc>
          <w:tcPr>
            <w:tcW w:w="164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51 Basis Points-150 Basis</w:t>
            </w:r>
          </w:p>
        </w:tc>
        <w:tc>
          <w:tcPr>
            <w:tcW w:w="120" w:type="dxa"/>
            <w:vAlign w:val="bottom"/>
          </w:tcPr>
          <w:p>
            <w:pPr>
              <w:spacing w:after="0"/>
              <w:rPr>
                <w:sz w:val="10"/>
                <w:szCs w:val="10"/>
                <w:color w:val="auto"/>
              </w:rPr>
            </w:pPr>
          </w:p>
        </w:tc>
        <w:tc>
          <w:tcPr>
            <w:tcW w:w="146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4"/>
                <w:szCs w:val="14"/>
                <w:b w:val="1"/>
                <w:bCs w:val="1"/>
                <w:color w:val="auto"/>
              </w:rPr>
              <w:t>Greater Than 150</w:t>
            </w:r>
          </w:p>
        </w:tc>
        <w:tc>
          <w:tcPr>
            <w:tcW w:w="300" w:type="dxa"/>
            <w:vAlign w:val="bottom"/>
          </w:tcPr>
          <w:p>
            <w:pPr>
              <w:spacing w:after="0"/>
              <w:rPr>
                <w:sz w:val="10"/>
                <w:szCs w:val="10"/>
                <w:color w:val="auto"/>
              </w:rPr>
            </w:pPr>
          </w:p>
        </w:tc>
        <w:tc>
          <w:tcPr>
            <w:tcW w:w="98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0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Points Above</w:t>
            </w:r>
          </w:p>
        </w:tc>
        <w:tc>
          <w:tcPr>
            <w:tcW w:w="160" w:type="dxa"/>
            <w:vAlign w:val="bottom"/>
          </w:tcPr>
          <w:p>
            <w:pPr>
              <w:spacing w:after="0"/>
              <w:rPr>
                <w:sz w:val="16"/>
                <w:szCs w:val="16"/>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4,004</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88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No guaranteed minimum crediting rate</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26,231</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30,235</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15,257</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17,442</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 to 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9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Q — Future Policy Benefits</w:t>
      </w:r>
    </w:p>
    <w:p>
      <w:pPr>
        <w:spacing w:after="0" w:line="166"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auto"/>
        </w:rPr>
        <w:t>The following table summarizes balances and changes in the present value of expected net premiums and the present value of the expected FPB for nonparticipating traditional contracts: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0" w:type="dxa"/>
            <w:vAlign w:val="bottom"/>
          </w:tcPr>
          <w:p>
            <w:pPr>
              <w:spacing w:after="0"/>
              <w:rPr>
                <w:sz w:val="1"/>
                <w:szCs w:val="1"/>
                <w:color w:val="auto"/>
              </w:rPr>
            </w:pPr>
          </w:p>
        </w:tc>
      </w:tr>
      <w:tr>
        <w:trPr>
          <w:trHeight w:val="192"/>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net premiums</w:t>
            </w:r>
          </w:p>
        </w:tc>
        <w:tc>
          <w:tcPr>
            <w:tcW w:w="240" w:type="dxa"/>
            <w:vAlign w:val="bottom"/>
          </w:tcPr>
          <w:p>
            <w:pPr>
              <w:spacing w:after="0"/>
              <w:rPr>
                <w:sz w:val="16"/>
                <w:szCs w:val="16"/>
                <w:color w:val="auto"/>
              </w:rPr>
            </w:pPr>
          </w:p>
        </w:tc>
        <w:tc>
          <w:tcPr>
            <w:tcW w:w="3800" w:type="dxa"/>
            <w:vAlign w:val="bottom"/>
            <w:gridSpan w:val="4"/>
          </w:tcPr>
          <w:p>
            <w:pPr>
              <w:jc w:val="right"/>
              <w:ind w:right="134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2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24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Net premiums collected</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FPB</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720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0" w:type="dxa"/>
            <w:vAlign w:val="bottom"/>
          </w:tcPr>
          <w:p>
            <w:pPr>
              <w:spacing w:after="0"/>
              <w:rPr>
                <w:sz w:val="1"/>
                <w:szCs w:val="1"/>
                <w:color w:val="auto"/>
              </w:rPr>
            </w:pP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7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7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balances and changes in the present value of the expected FPB for limited-payment contracts: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60" w:type="dxa"/>
            <w:vAlign w:val="bottom"/>
            <w:gridSpan w:val="3"/>
          </w:tcPr>
          <w:p>
            <w:pPr>
              <w:jc w:val="right"/>
              <w:ind w:right="1409"/>
              <w:spacing w:after="0"/>
              <w:rPr>
                <w:sz w:val="20"/>
                <w:szCs w:val="20"/>
                <w:color w:val="auto"/>
              </w:rPr>
            </w:pPr>
            <w:r>
              <w:rPr>
                <w:rFonts w:ascii="Times New Roman" w:cs="Times New Roman" w:eastAsia="Times New Roman" w:hAnsi="Times New Roman"/>
                <w:sz w:val="14"/>
                <w:szCs w:val="14"/>
                <w:b w:val="1"/>
                <w:bCs w:val="1"/>
                <w:color w:val="auto"/>
              </w:rPr>
              <w:t>PRT</w:t>
            </w:r>
          </w:p>
        </w:tc>
        <w:tc>
          <w:tcPr>
            <w:tcW w:w="400" w:type="dxa"/>
            <w:vAlign w:val="bottom"/>
          </w:tcPr>
          <w:p>
            <w:pPr>
              <w:spacing w:after="0"/>
              <w:rPr>
                <w:sz w:val="16"/>
                <w:szCs w:val="16"/>
                <w:color w:val="auto"/>
              </w:rPr>
            </w:pPr>
          </w:p>
        </w:tc>
      </w:tr>
      <w:tr>
        <w:trPr>
          <w:trHeight w:val="24"/>
        </w:trPr>
        <w:tc>
          <w:tcPr>
            <w:tcW w:w="72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6"/>
        </w:trPr>
        <w:tc>
          <w:tcPr>
            <w:tcW w:w="720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tcBorders>
              <w:bottom w:val="single" w:sz="8" w:color="auto"/>
            </w:tcBorders>
          </w:tcPr>
          <w:p>
            <w:pPr>
              <w:spacing w:after="0"/>
              <w:rPr>
                <w:sz w:val="16"/>
                <w:szCs w:val="16"/>
                <w:color w:val="auto"/>
              </w:rPr>
            </w:pPr>
          </w:p>
        </w:tc>
      </w:tr>
      <w:tr>
        <w:trPr>
          <w:trHeight w:val="192"/>
        </w:trPr>
        <w:tc>
          <w:tcPr>
            <w:tcW w:w="7200" w:type="dxa"/>
            <w:vAlign w:val="bottom"/>
          </w:tcPr>
          <w:p>
            <w:pPr>
              <w:spacing w:after="0"/>
              <w:rPr>
                <w:sz w:val="16"/>
                <w:szCs w:val="16"/>
                <w:color w:val="auto"/>
              </w:rPr>
            </w:pPr>
          </w:p>
        </w:tc>
        <w:tc>
          <w:tcPr>
            <w:tcW w:w="3640" w:type="dxa"/>
            <w:vAlign w:val="bottom"/>
            <w:gridSpan w:val="4"/>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580" w:type="dxa"/>
            <w:vAlign w:val="bottom"/>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6,054</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w:t>
            </w: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w:t>
            </w:r>
          </w:p>
        </w:tc>
      </w:tr>
      <w:tr>
        <w:trPr>
          <w:trHeight w:val="191"/>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w:t>
            </w: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7,492</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w:t>
            </w: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580" w:type="dxa"/>
            <w:vAlign w:val="bottom"/>
            <w:tcBorders>
              <w:bottom w:val="single" w:sz="8" w:color="auto"/>
            </w:tcBorders>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7,363</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2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21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1580" w:type="dxa"/>
            <w:vAlign w:val="bottom"/>
            <w:tcBorders>
              <w:bottom w:val="single" w:sz="8" w:color="auto"/>
            </w:tcBorders>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7,363</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3640" w:type="dxa"/>
            <w:vAlign w:val="bottom"/>
            <w:gridSpan w:val="4"/>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400" w:type="dxa"/>
            <w:vAlign w:val="bottom"/>
          </w:tcPr>
          <w:p>
            <w:pPr>
              <w:spacing w:after="0"/>
              <w:rPr>
                <w:sz w:val="16"/>
                <w:szCs w:val="16"/>
                <w:color w:val="auto"/>
              </w:rPr>
            </w:pPr>
          </w:p>
        </w:tc>
      </w:tr>
      <w:tr>
        <w:trPr>
          <w:trHeight w:val="24"/>
        </w:trPr>
        <w:tc>
          <w:tcPr>
            <w:tcW w:w="72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6"/>
        </w:trPr>
        <w:tc>
          <w:tcPr>
            <w:tcW w:w="720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tcBorders>
              <w:bottom w:val="single" w:sz="8" w:color="auto"/>
            </w:tcBorders>
          </w:tcPr>
          <w:p>
            <w:pPr>
              <w:spacing w:after="0"/>
              <w:rPr>
                <w:sz w:val="16"/>
                <w:szCs w:val="16"/>
                <w:color w:val="auto"/>
              </w:rPr>
            </w:pPr>
          </w:p>
        </w:tc>
      </w:tr>
      <w:tr>
        <w:trPr>
          <w:trHeight w:val="192"/>
        </w:trPr>
        <w:tc>
          <w:tcPr>
            <w:tcW w:w="7200" w:type="dxa"/>
            <w:vAlign w:val="bottom"/>
          </w:tcPr>
          <w:p>
            <w:pPr>
              <w:spacing w:after="0"/>
              <w:rPr>
                <w:sz w:val="16"/>
                <w:szCs w:val="16"/>
                <w:color w:val="auto"/>
              </w:rPr>
            </w:pPr>
          </w:p>
        </w:tc>
        <w:tc>
          <w:tcPr>
            <w:tcW w:w="3640" w:type="dxa"/>
            <w:vAlign w:val="bottom"/>
            <w:gridSpan w:val="4"/>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r>
      <w:tr>
        <w:trPr>
          <w:trHeight w:val="20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580" w:type="dxa"/>
            <w:vAlign w:val="bottom"/>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w:t>
            </w: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5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r>
      <w:tr>
        <w:trPr>
          <w:trHeight w:val="191"/>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6"/>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r>
      <w:tr>
        <w:trPr>
          <w:trHeight w:val="192"/>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1580" w:type="dxa"/>
            <w:vAlign w:val="bottom"/>
            <w:tcBorders>
              <w:bottom w:val="single" w:sz="8" w:color="auto"/>
            </w:tcBorders>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7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1580" w:type="dxa"/>
            <w:vAlign w:val="bottom"/>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r>
      <w:tr>
        <w:trPr>
          <w:trHeight w:val="192"/>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1580" w:type="dxa"/>
            <w:vAlign w:val="bottom"/>
            <w:tcBorders>
              <w:bottom w:val="single" w:sz="8" w:color="auto"/>
            </w:tcBorders>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balances and changes in the liability for deferred profit liability ("DPL") for limited-payment contracts: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920" w:type="dxa"/>
            <w:vAlign w:val="bottom"/>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4"/>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65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560" w:type="dxa"/>
            <w:vAlign w:val="bottom"/>
          </w:tcPr>
          <w:p>
            <w:pPr>
              <w:spacing w:after="0"/>
              <w:rPr>
                <w:sz w:val="11"/>
                <w:szCs w:val="11"/>
                <w:color w:val="auto"/>
              </w:rPr>
            </w:pPr>
          </w:p>
        </w:tc>
        <w:tc>
          <w:tcPr>
            <w:tcW w:w="900" w:type="dxa"/>
            <w:vAlign w:val="bottom"/>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Immediate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Immediate</w:t>
            </w:r>
          </w:p>
        </w:tc>
        <w:tc>
          <w:tcPr>
            <w:tcW w:w="260" w:type="dxa"/>
            <w:vAlign w:val="bottom"/>
          </w:tcPr>
          <w:p>
            <w:pPr>
              <w:spacing w:after="0"/>
              <w:rPr>
                <w:sz w:val="11"/>
                <w:szCs w:val="11"/>
                <w:color w:val="auto"/>
              </w:rPr>
            </w:pPr>
          </w:p>
        </w:tc>
        <w:tc>
          <w:tcPr>
            <w:tcW w:w="84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PRT</w:t>
            </w: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90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90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6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9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6"/>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9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adjusted for variances from expectation</w:t>
            </w: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90</w:t>
            </w: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6"/>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6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9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9"/>
        </w:trPr>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Amortization</w:t>
            </w:r>
          </w:p>
        </w:tc>
        <w:tc>
          <w:tcPr>
            <w:tcW w:w="9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(5)</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9"/>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9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92</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reconciles the net FPB to the FPB in the unaudited Condensed Consolidated Balance Sheets. The DPL for Immediate Annuities and PRT is presented together with the FPB in the unaudited Condensed Consolidated Balance Sheets and has been included as a reconciling item in the table below:</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r>
      <w:tr>
        <w:trPr>
          <w:trHeight w:val="186"/>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4"/>
          </w:tcPr>
          <w:p>
            <w:pPr>
              <w:jc w:val="right"/>
              <w:ind w:right="126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6,054</w:t>
            </w: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 DPL</w:t>
            </w: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9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 DPL</w:t>
            </w: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9"/>
        </w:trPr>
        <w:tc>
          <w:tcPr>
            <w:tcW w:w="7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8,749</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40" w:firstLine="318"/>
        <w:spacing w:after="0" w:line="258" w:lineRule="auto"/>
        <w:rPr>
          <w:sz w:val="20"/>
          <w:szCs w:val="20"/>
          <w:color w:val="auto"/>
        </w:rPr>
      </w:pPr>
      <w:r>
        <w:rPr>
          <w:rFonts w:ascii="Times New Roman" w:cs="Times New Roman" w:eastAsia="Times New Roman" w:hAnsi="Times New Roman"/>
          <w:sz w:val="18"/>
          <w:szCs w:val="18"/>
          <w:color w:val="auto"/>
        </w:rPr>
        <w:t>The following table provides the amount of undiscounted and discounted expected gross premiums and expected future benefits and expenses for nonparticipating traditional and limited-payment contracts: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Undiscounted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Discounted</w:t>
            </w:r>
          </w:p>
        </w:tc>
        <w:tc>
          <w:tcPr>
            <w:tcW w:w="94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5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2"/>
        </w:trPr>
        <w:tc>
          <w:tcPr>
            <w:tcW w:w="5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5"/>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2,569</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1,892</w:t>
            </w:r>
          </w:p>
        </w:tc>
        <w:tc>
          <w:tcPr>
            <w:tcW w:w="56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w:t>
            </w:r>
          </w:p>
        </w:tc>
      </w:tr>
      <w:tr>
        <w:trPr>
          <w:trHeight w:val="191"/>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32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875</w:t>
            </w: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650</w:t>
            </w: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r>
      <w:tr>
        <w:trPr>
          <w:trHeight w:val="20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1"/>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3,125</w:t>
            </w:r>
          </w:p>
        </w:tc>
        <w:tc>
          <w:tcPr>
            <w:tcW w:w="5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80" w:type="dxa"/>
            <w:vAlign w:val="bottom"/>
          </w:tcPr>
          <w:p>
            <w:pPr>
              <w:spacing w:after="0"/>
              <w:rPr>
                <w:sz w:val="16"/>
                <w:szCs w:val="16"/>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1,304</w:t>
            </w:r>
          </w:p>
        </w:tc>
        <w:tc>
          <w:tcPr>
            <w:tcW w:w="5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w:t>
            </w:r>
          </w:p>
        </w:tc>
      </w:tr>
      <w:tr>
        <w:trPr>
          <w:trHeight w:val="206"/>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5"/>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11,809</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7,363</w:t>
            </w:r>
          </w:p>
        </w:tc>
        <w:tc>
          <w:tcPr>
            <w:tcW w:w="56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5,470</w:t>
            </w:r>
          </w:p>
        </w:tc>
      </w:tr>
      <w:tr>
        <w:trPr>
          <w:trHeight w:val="184"/>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320" w:type="dxa"/>
            <w:vAlign w:val="bottom"/>
          </w:tcPr>
          <w:p>
            <w:pPr>
              <w:spacing w:after="0"/>
              <w:rPr>
                <w:sz w:val="15"/>
                <w:szCs w:val="15"/>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82" w:lineRule="exact"/>
        <w:rPr>
          <w:sz w:val="20"/>
          <w:szCs w:val="20"/>
          <w:color w:val="auto"/>
        </w:rPr>
      </w:pPr>
    </w:p>
    <w:p>
      <w:pPr>
        <w:jc w:val="both"/>
        <w:ind w:right="20" w:firstLine="318"/>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amount of revenue and interest related to nonparticipating traditional and limited-payment contracts recognized in the unaudited Condensed Consolidated Statements of Earnings: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Premiums (a)</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Expense (b)</w:t>
            </w:r>
          </w:p>
        </w:tc>
        <w:tc>
          <w:tcPr>
            <w:tcW w:w="86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52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2"/>
        </w:trPr>
        <w:tc>
          <w:tcPr>
            <w:tcW w:w="52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92"/>
        </w:trPr>
        <w:tc>
          <w:tcPr>
            <w:tcW w:w="5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8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9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99"/>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20"/>
        </w:trPr>
        <w:tc>
          <w:tcPr>
            <w:tcW w:w="5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00" w:hanging="194"/>
        <w:spacing w:after="0"/>
        <w:tabs>
          <w:tab w:leader="none" w:pos="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Life insurance premiums and other fees on the unaudited Condensed Consolidated Statements of Earnings.</w:t>
      </w:r>
    </w:p>
    <w:p>
      <w:pPr>
        <w:spacing w:after="0" w:line="1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Benefits and other changes in policy reserves on the unaudited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weighted-average interest rate: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5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772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accretion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discount rate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5.44 %</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accretion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discount rate</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5.31 %</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5.45 %</w:t>
            </w:r>
          </w:p>
        </w:tc>
        <w:tc>
          <w:tcPr>
            <w:tcW w:w="0" w:type="dxa"/>
            <w:vAlign w:val="bottom"/>
          </w:tcPr>
          <w:p>
            <w:pPr>
              <w:spacing w:after="0"/>
              <w:rPr>
                <w:sz w:val="1"/>
                <w:szCs w:val="1"/>
                <w:color w:val="auto"/>
              </w:rPr>
            </w:pPr>
          </w:p>
        </w:tc>
      </w:tr>
      <w:tr>
        <w:trPr>
          <w:trHeight w:val="192"/>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PRT</w:t>
            </w: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accretion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7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discount rate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5.27 %</w:t>
            </w:r>
          </w:p>
        </w:tc>
        <w:tc>
          <w:tcPr>
            <w:tcW w:w="10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5.54 %</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actual experience and expected experience for mortality and lapses of the FPB:</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500" w:type="dxa"/>
            <w:vAlign w:val="bottom"/>
          </w:tcPr>
          <w:p>
            <w:pPr>
              <w:spacing w:after="0"/>
              <w:rPr>
                <w:sz w:val="16"/>
                <w:szCs w:val="16"/>
                <w:color w:val="auto"/>
              </w:rPr>
            </w:pPr>
          </w:p>
        </w:tc>
      </w:tr>
      <w:tr>
        <w:trPr>
          <w:trHeight w:val="24"/>
        </w:trPr>
        <w:tc>
          <w:tcPr>
            <w:tcW w:w="65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5"/>
        </w:trPr>
        <w:tc>
          <w:tcPr>
            <w:tcW w:w="6520" w:type="dxa"/>
            <w:vAlign w:val="bottom"/>
          </w:tcPr>
          <w:p>
            <w:pPr>
              <w:spacing w:after="0"/>
              <w:rPr>
                <w:sz w:val="16"/>
                <w:szCs w:val="16"/>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15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PRT</w:t>
            </w:r>
          </w:p>
        </w:tc>
      </w:tr>
      <w:tr>
        <w:trPr>
          <w:trHeight w:val="16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Mortality</w:t>
            </w:r>
          </w:p>
        </w:tc>
        <w:tc>
          <w:tcPr>
            <w:tcW w:w="1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24"/>
        </w:trPr>
        <w:tc>
          <w:tcPr>
            <w:tcW w:w="6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9"/>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91"/>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20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Lapses</w:t>
            </w: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1"/>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00" w:type="dxa"/>
            <w:vAlign w:val="bottom"/>
          </w:tcPr>
          <w:p>
            <w:pPr>
              <w:spacing w:after="0"/>
              <w:rPr>
                <w:sz w:val="16"/>
                <w:szCs w:val="16"/>
                <w:color w:val="auto"/>
              </w:rPr>
            </w:pPr>
          </w:p>
        </w:tc>
      </w:tr>
      <w:tr>
        <w:trPr>
          <w:trHeight w:val="24"/>
        </w:trPr>
        <w:tc>
          <w:tcPr>
            <w:tcW w:w="65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5"/>
        </w:trPr>
        <w:tc>
          <w:tcPr>
            <w:tcW w:w="6520" w:type="dxa"/>
            <w:vAlign w:val="bottom"/>
          </w:tcPr>
          <w:p>
            <w:pPr>
              <w:spacing w:after="0"/>
              <w:rPr>
                <w:sz w:val="16"/>
                <w:szCs w:val="16"/>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Immediate annuities</w:t>
            </w:r>
          </w:p>
        </w:tc>
        <w:tc>
          <w:tcPr>
            <w:tcW w:w="15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PRT</w:t>
            </w:r>
          </w:p>
        </w:tc>
      </w:tr>
      <w:tr>
        <w:trPr>
          <w:trHeight w:val="161"/>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Mortality</w:t>
            </w:r>
          </w:p>
        </w:tc>
        <w:tc>
          <w:tcPr>
            <w:tcW w:w="1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24"/>
        </w:trPr>
        <w:tc>
          <w:tcPr>
            <w:tcW w:w="6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9"/>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91"/>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20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Lapses</w:t>
            </w: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1"/>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Actual experience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experience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3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provides additional information for periods in which a cohort has a net premium ratio ("NPR") greater than 100% (and therefore capped at 100%) (dollars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4"/>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Cohort X</w:t>
            </w:r>
          </w:p>
        </w:tc>
        <w:tc>
          <w:tcPr>
            <w:tcW w:w="336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NPR before capping</w:t>
            </w: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10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with return of premium Non-NY Cohort</w:t>
            </w:r>
          </w:p>
        </w:tc>
      </w:tr>
      <w:tr>
        <w:trPr>
          <w:trHeight w:val="191"/>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Reserves before NPR capping</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with return of premium Non-NY Cohort</w:t>
            </w:r>
          </w:p>
        </w:tc>
      </w:tr>
      <w:tr>
        <w:trPr>
          <w:trHeight w:val="20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Reserves after NPR capping</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1,172</w:t>
            </w:r>
          </w:p>
        </w:tc>
        <w:tc>
          <w:tcPr>
            <w:tcW w:w="100" w:type="dxa"/>
            <w:vAlign w:val="bottom"/>
            <w:shd w:val="clear" w:color="auto" w:fill="CCEEFF"/>
          </w:tcPr>
          <w:p>
            <w:pPr>
              <w:spacing w:after="0"/>
              <w:rPr>
                <w:sz w:val="17"/>
                <w:szCs w:val="17"/>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with return of premium Non-NY Cohort</w:t>
            </w:r>
          </w:p>
        </w:tc>
      </w:tr>
      <w:tr>
        <w:trPr>
          <w:trHeight w:val="184"/>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Expense</w:t>
            </w:r>
          </w:p>
        </w:tc>
        <w:tc>
          <w:tcPr>
            <w:tcW w:w="20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with return of premium Non-NY Cohort</w:t>
            </w:r>
          </w:p>
        </w:tc>
      </w:tr>
    </w:tbl>
    <w:p>
      <w:pPr>
        <w:spacing w:after="0" w:line="195"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F&amp;G made changes to assumptions during the nine months ended September 30, 2025 and the year ended December 31, 2024. Significant assumption inputs used in the calculation of our FPB are described below. Refer to the tables above for further details on changes to our FPB.</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Traditional life</w:t>
      </w:r>
    </w:p>
    <w:p>
      <w:pPr>
        <w:spacing w:after="0" w:line="10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 traditional life line of business primarily consists of policies that were sold prior to 2010. As this line of business continues to age, benefit payments made from these contracts will be the primary driver of the emergence of reserves, decreasing the reserve balance.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traditional life include mortality, lapses (including lapses due to nonpayment of premium and surrenders for cash surrender value), and discount rates (both accretion and current). F&amp;G reviews the cash flow assumptions annually, typically in the third quarter. In 2025, F&amp;G updated the assumptions for surrenders and lapses. Updates to these assumptions brought F&amp;G more in line with our Company and overall industry experience since the prior assumption updates. These assumption updates resulted in a decrease to the FPB liability during the nine months ended September 30, 2025. In 2024, F&amp;G made an adjustment to the calculation to reflect additional actuarial precision, unrelated to the assumptions, driving an increase to the FPB liability.</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Market data that underlies current discount rates was updated in 2025 from that utilized in 2024 resulting in decreased discount rates that drove an increase to the FPB. Market data that underlies current discount rates was updated in 2024 from that utilized in 2023 resulting in increased discount rates that drove a decrease to the FPB.</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Immediate annuities (life contingent)</w:t>
      </w:r>
    </w:p>
    <w:p>
      <w:pPr>
        <w:spacing w:after="0" w:line="100"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immediate annuities (life contingent) include mortality and discount rates (both accretion and current). F&amp;G reviews the cash flow assumptions annually, typically in the third quarter. In 2024, F&amp;G undertook a review of the significant cash flow assumptions and did not make any changes to mortality. Market data that underlies current discount rates was updated in 2025 from that utilized in 2024 resulting in decreased discount rates that drove an increase to the FPB. Market data that underlies current discount rates was updated in 2024 from that utilized in 2023 resulting in increased discount rates that drove a decrease to the FPB.</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PRT (life contingent)</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PRT line of business has issued a significant volume of contracts for 2025 and 2024, which is the primary impact in increasing the reserve balance in each of those periods.</w:t>
      </w:r>
    </w:p>
    <w:p>
      <w:pPr>
        <w:spacing w:after="0" w:line="4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PRT (life contingent) include mortality and discount rates (both accretion and current). Additionally, for PRT contracts with deferred payment streams, retirement age and elected payment form are significant assumptions. F&amp;G reviews the cash flow assumptions annually, typically in the third quarter. In 2024, F&amp;G undertook a review of the significant cash flow assumptions and did not make any changes to any significant assumptions. Market data that underlies current discount rates was updated in 2025 from that utilized in 2024 resulting in decreased discount rates that drove an increase to the FPB. Market data that underlies current discount rates was updated in 2024 from that utilized in 2023 resulting in increased discount rates that drove a decrease to the FPB.</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 deficiency testing</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F&amp;G conducts annual premium deficiency testing for its long-duration contracts except for the FPB for nonparticipating traditional and limited-payment contracts. F&amp;G also conducts annual premium deficiency testing for the VOBA of all long-duration contracts. Premium deficiency testing is performed by reviewing assumptions used to calculate the insurance liabilities and determining whether the sum of the existing contract liabilities and the present value of future gross premiums is sufficient to cover the present value of future benefits to be paid to or on behalf of policyholders and settlement costs and recover unamortized present value of future profits. Anticipated investment income, based on F&amp;G’s experience, is considered when performing premium deficiency testing for long-duration contracts. During 2024, F&amp;G did not pass premium deficiency testing for the traditional life block of business, related to the recoverability of VOBA. Due to that result, F&amp;G began accruing a liability in the fourth quarter of 2024 that increases the amortization of traditional life VOBA. The liability balance was immaterial at both September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3"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the potential impact of the F&amp;G Distribution on relationships, including employees, suppliers, customers and competitors; changes in general economic, business, and political conditions, including changes in the financial markets and geopolitical uncertainties associated with international conflicts; consumer spending; government spending; government shutdowns; the volatility and strength of the capital markets; investor and consumer confidence; foreign currency exchange rates; commodity prices; inflation levels; changes in trade policy; tariffs and trade sanctions on goods; trade wars; supply chain disruptions;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consummating and integrating acquisitions; our dependence on distributions from our title insurance underwriters as our main source of cash flow; significant competition that our operating subsidiaries face; compliance with extensive government regulation of our operating subsidiaries; and other risks detailed in the “Statement Regarding Forward-Looking Information,” “Risk Factors” and other sections of our Annual Report on Form 10-K (our "Annual Report") for the year ended December 31, 2024 and other filings with the Securities and Exchange Commission ("SEC").</w:t>
      </w:r>
    </w:p>
    <w:p>
      <w:pPr>
        <w:spacing w:after="0" w:line="76"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as used herein, the terms “we,” “us,” “our,” the “Company” or “FNF” refer collectively to Fidelity National Financial, Inc., and its subsidiaries.</w:t>
      </w:r>
    </w:p>
    <w:p>
      <w:pPr>
        <w:spacing w:after="0" w:line="72" w:lineRule="exact"/>
        <w:rPr>
          <w:sz w:val="20"/>
          <w:szCs w:val="20"/>
          <w:color w:val="auto"/>
        </w:rPr>
      </w:pPr>
    </w:p>
    <w:p>
      <w:pPr>
        <w:ind w:right="1420" w:firstLine="318"/>
        <w:spacing w:after="0" w:line="367"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our Annual Report on Form 10-K for the year ended December 31, 2024.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For a description of our business, including descriptions of segments and recent business developments, see the discussion in Note A </w:t>
      </w:r>
      <w:r>
        <w:rPr>
          <w:rFonts w:ascii="Times New Roman" w:cs="Times New Roman" w:eastAsia="Times New Roman" w:hAnsi="Times New Roman"/>
          <w:sz w:val="18"/>
          <w:szCs w:val="18"/>
          <w:i w:val="1"/>
          <w:iCs w:val="1"/>
          <w:color w:val="auto"/>
        </w:rPr>
        <w:t>Basis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in the accompanying unaudited Condensed Consolidated Financial Statements included in Item 1 of Part I of this Report, which is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into this Part I, Item 2.</w:t>
      </w:r>
    </w:p>
    <w:p>
      <w:pPr>
        <w:spacing w:after="0" w:line="69"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On June 11, 2025, the Company effected a redomestication of the Company from the State of Delaware to the State of Nevada (the “Redomestication”). As of June 11, 2025, the affairs of the Company ceased to be governed by the Delaware General Corporation Law and the Company adopted a new certificate of incorporation and bylaws governed by the Nevada Revised Statutes. The Redomestication did not result in any change in the business, physical location, management, assets, liabilities, or net worth of the Company, nor did it result in any change in location of the Company’s current employees, including management. The Redomestication did not affect any of the Company’s material contracts with any third parties, and the Company’s rights and obligations under those material contractual arrangements will continue to be the rights and obligations of the Company after the Redomestication. The daily business operations of the Company will continue as they were conducted prior to the Redomestication. The consolidated financial condition and results of operations of the Company immediately after consummation of the Redomestication remain the same as immediately before the Redomestication.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Conditions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113"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Title segment revenue is closely related to the level of real estate activity that includes sales, mortgage financing, and mortgage refinancing. Declines in the level of real estate activity or the average price of real estate sales will adversely affect our title insurance revenues.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found that residential real estate activity is generally dependent on the following factors:</w:t>
      </w:r>
    </w:p>
    <w:p>
      <w:pPr>
        <w:spacing w:after="0" w:line="98"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interest rates;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funding supply;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inventory and home prices;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demand for commercial real estate;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economy, including employment levels.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most recent forecast of the Mortgage Bankers Association ("MBA"), as of October 19, 2025, estimates (actual for fiscal year 2024) the size of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residential mortgage originations market as shown in the following table for 2024 - 2027 in its "Mortgage Finance Forecast" (in trillions):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7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originations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Refinance originations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U.S. mortgage originations forecast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October 19, 2025, the MBA expects residential purchase originations to remain flat in 2025, and increase in 2026 and 2027, and expects residential refinance and overall mortgage originations to increase in 2025, and remain flat in 2026 and 2027.</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Following a decline in inflation in 2024, the Federal Reserve reduced the benchmark rate to a range of 4.25% and 4.50% as of December 31, 2024. The Federal Reserve further reduced the benchmark rate to a range of 4.00% and 4.25% in September 2025. Average interest rates for a 30-year fixed rate mortgage were 6.6% and 6.7% for the three and nine months ended September 30, 2025, as compared to 6.5% and 6.7% for the corresponding periods in 2024. On October 29, 2025, the Federal Reserve reduced the benchmark rate by an additional 25 basis points.</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 shortage in the supply of homes for sale, increasing home prices, high mortgage interest rates, disrupted labor markets including the potential for rising unemployment, and geopolitical uncertainties associated with international conflicts created some volatility in the residential real estate market in 2024 and 2025. Government shutdowns and changes in United States trade policy, including tariffs, may create additional volatility in 2025. Existing-home sales increased 4% in September 2025 as compared to the corresponding period in 2024, while median existing-home sales prices increased to $415,700, or approximately 2%, from the corresponding period in 2024.</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economic indicators used to measure the health of the U.S. economy, including the unemployment rate, have remained strong. The unemployment rate was 4.3% and 4.1% in August 2025 and September 2024, respectively.</w:t>
      </w:r>
    </w:p>
    <w:p>
      <w:pPr>
        <w:spacing w:after="0" w:line="5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issue commercial title insurance policies in sectors including office, industrial, energy, hospitality, retail, and multi-family, among others. The demand for commercial title insurance varies based on a variety of factors such as investor appetite, financing availability, and supply and demand in a particular area. Because commercial real estate transactions tend to be generally driven by supply and demand for commercial space in a particular area rather than by interest rate fluctuations, we believe that our commercial real estate title insurance business is less dependent on the industry cycles discussed above than our residential real estate title business.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we experienced fluctuating demand in commercial real estate markets. Commercial volumes and commercial fee-per-file increased in the three and nine months ended September 30, 2025 as compared to the corresponding periods in 2024.</w:t>
      </w:r>
    </w:p>
    <w:p>
      <w:pPr>
        <w:spacing w:after="0" w:line="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7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Historically, real estate transactions have produced seasonal revenue fluctuations in the real estate industry. The first calendar quarter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We have noted short-term fluctuations through recent years in resale and refinance transactions as a result of changes in interest rates.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F&amp;G</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Market conditions can change rapidly with significant positive or negative impacts on our results. Volatility can pressure sales and reduce demand as consumers hesitate to make financial decisions. We anticipate various macroeconomic factors will continue to drive uncertainty and instability, which could have a significant impact on the Company during fiscal year 2025. These factors include, among others, consumer spending, business investment, government spending, the volatility and strength of the capital markets, investor and consumer confidence, foreign currency exchange rates, commodity prices, inflation levels, changes in trade policy, tariffs and trade sanctions on goods, trade wars, United States-China relations, and supply chain disruptions.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light of increasing uncertainty in the markets we serve, we are unable to predict how long the current environment will last or the significance of the financial and operational impacts to us. To enhance the attractiveness and profitability of our products and services, we continually monitor the behavior of our customers, as evidenced by annuitization rates and lapse rates, which vary in response to changes in market conditions. See “Part I. Item 1A. Risk Factors” in our Annual Report on Form 10-K for the year ended December 31, 2024, which was filed with the SEC on February 28, 2025, for further discussion of risk factors that could affect market conditions.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Environment</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of September 30, 2025 and December 31, 2024, our reserves, net of reinsurance, and weighted average crediting rate on our fixed rate annuities were $6.6 billion and 4.71% and $6.4 billion and 4.42%, respectively. Some of our F&amp;G products, most notably our fixed rate annuities, include guaranteed minimum crediting rates.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81" w:lineRule="exact"/>
        <w:rPr>
          <w:sz w:val="20"/>
          <w:szCs w:val="20"/>
          <w:color w:val="auto"/>
        </w:rPr>
      </w:pPr>
    </w:p>
    <w:p>
      <w:pPr>
        <w:ind w:left="320" w:right="400"/>
        <w:spacing w:after="0" w:line="345" w:lineRule="auto"/>
        <w:rPr>
          <w:sz w:val="20"/>
          <w:szCs w:val="20"/>
          <w:color w:val="auto"/>
        </w:rPr>
      </w:pPr>
      <w:r>
        <w:rPr>
          <w:rFonts w:ascii="Times New Roman" w:cs="Times New Roman" w:eastAsia="Times New Roman" w:hAnsi="Times New Roman"/>
          <w:sz w:val="18"/>
          <w:szCs w:val="18"/>
          <w:color w:val="auto"/>
        </w:rPr>
        <w:t xml:space="preserve">See Item 7A of Part II of our Annual Report on Form 10-K for the year ended December 31, 2024 for a more detailed discussion of interest rate risk. </w:t>
      </w:r>
      <w:r>
        <w:rPr>
          <w:rFonts w:ascii="Times New Roman" w:cs="Times New Roman" w:eastAsia="Times New Roman" w:hAnsi="Times New Roman"/>
          <w:sz w:val="18"/>
          <w:szCs w:val="18"/>
          <w:b w:val="1"/>
          <w:bCs w:val="1"/>
          <w:i w:val="1"/>
          <w:iCs w:val="1"/>
          <w:color w:val="auto"/>
        </w:rPr>
        <w:t>Aging of the U.S. Population</w:t>
      </w:r>
    </w:p>
    <w:p>
      <w:pPr>
        <w:spacing w:after="0" w:line="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believe that the aging of the U.S. population will continue to increase demand for retirement savings, growth, and income solutions, including demand for our indexed annuity and indexed universal life (“IUL”) products. We serve a growing retirement population, with more than 11,000 Americans turning 65 every day and a projected 30% increase in people age 65-100 over the next 25 years according to the U.S. Census Bureau. The impact of this growth may be offset to some extent by asset outflows as an increasing percentage of the population begins withdrawing assets to convert their savings into income.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Industry Factors and Trends Affecting Our Results of Operations</w:t>
      </w:r>
    </w:p>
    <w:p>
      <w:pPr>
        <w:spacing w:after="0" w:line="7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operate in the sector of the insurance industry that focuses on the needs of middle-income Americans. The underserved middle-income market represents a major growth opportunity for us. As a tool for addressing the unmet need for retirement planning, we believe that many middle-income Americans have grown to appreciate the financial certainty that we believe annuities such as our indexed annuity products afford. For example, the fixed index annuity market grew from nearly $12 billion of sales in 2002 to $130 billion of sales in 2024 and the registered index-linked annuities ("RILA") market grew from $17 billion of sales in 2019 to $62 billion of sales in 2024. Additionally, this market demand has positively impacted the IUL market as it has expanded from $100 million of annual sales in 2002 to $2 billion of annual sales in 2024.</w:t>
      </w:r>
    </w:p>
    <w:p>
      <w:pPr>
        <w:spacing w:after="0" w:line="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Item 7 of Part II of our Annual Report on Form 10-K for the year ended December 31, 2024 for a more detailed discussion of industry factors and trends affecting our Results of Operations.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The accounting estimates described in Item 7 of Part II of our Annual Report on Form 10-K for the year ended December 31, 2024 are those we consider critical in preparing our unaudited Condensed Consolidated Financial Statements. There were no changes to the Company’s critical accounting policies during the nine months ended September 30, 2025. Management is required to make estimates and assumptions that can affect the reported amounts of assets and liabilities and disclosures with respect to contingent assets and liabilities at the date of the unaudited Condensed Consolidated Financial Statements and the reported amounts of revenues and expenses during the reporting period. Actual amounts could differ from those estimates. See Note A </w:t>
      </w:r>
      <w:r>
        <w:rPr>
          <w:rFonts w:ascii="Times New Roman" w:cs="Times New Roman" w:eastAsia="Times New Roman" w:hAnsi="Times New Roman"/>
          <w:sz w:val="18"/>
          <w:szCs w:val="18"/>
          <w:i w:val="1"/>
          <w:iCs w:val="1"/>
          <w:color w:val="auto"/>
        </w:rPr>
        <w:t>Basis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included in Part I, Item 1 of this Quarterly Report on Form 10-Q for additional description of certain significant accounting policies that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followed in preparing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periods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6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280" w:type="dxa"/>
            <w:vAlign w:val="bottom"/>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6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1"/>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8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w:t>
            </w:r>
          </w:p>
        </w:tc>
      </w:tr>
      <w:tr>
        <w:trPr>
          <w:trHeight w:val="20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r>
      <w:tr>
        <w:trPr>
          <w:trHeight w:val="191"/>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w:t>
            </w:r>
          </w:p>
        </w:tc>
      </w:tr>
      <w:tr>
        <w:trPr>
          <w:trHeight w:val="20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w:t>
            </w:r>
          </w:p>
        </w:tc>
      </w:tr>
      <w:tr>
        <w:trPr>
          <w:trHeight w:val="192"/>
        </w:trPr>
        <w:tc>
          <w:tcPr>
            <w:tcW w:w="6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w:t>
            </w:r>
          </w:p>
        </w:tc>
      </w:tr>
      <w:tr>
        <w:trPr>
          <w:trHeight w:val="199"/>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revenues</w:t>
            </w: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10,060</w:t>
            </w:r>
          </w:p>
        </w:tc>
      </w:tr>
      <w:tr>
        <w:trPr>
          <w:trHeight w:val="168"/>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
        </w:trPr>
        <w:tc>
          <w:tcPr>
            <w:tcW w:w="6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w:t>
            </w:r>
          </w:p>
        </w:tc>
      </w:tr>
      <w:tr>
        <w:trPr>
          <w:trHeight w:val="191"/>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w:t>
            </w:r>
          </w:p>
        </w:tc>
      </w:tr>
      <w:tr>
        <w:trPr>
          <w:trHeight w:val="20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Agent commissions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w:t>
            </w:r>
          </w:p>
        </w:tc>
      </w:tr>
      <w:tr>
        <w:trPr>
          <w:trHeight w:val="191"/>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w:t>
            </w:r>
          </w:p>
        </w:tc>
      </w:tr>
      <w:tr>
        <w:trPr>
          <w:trHeight w:val="20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Market risk benefit losses (gains)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1"/>
        </w:trPr>
        <w:tc>
          <w:tcPr>
            <w:tcW w:w="6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r>
      <w:tr>
        <w:trPr>
          <w:trHeight w:val="20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92"/>
        </w:trPr>
        <w:tc>
          <w:tcPr>
            <w:tcW w:w="6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99"/>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8,958</w:t>
            </w:r>
          </w:p>
        </w:tc>
      </w:tr>
      <w:tr>
        <w:trPr>
          <w:trHeight w:val="185"/>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income taxes and equity in earnings of unconsolidated affiliates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w:t>
            </w:r>
          </w:p>
        </w:tc>
      </w:tr>
      <w:tr>
        <w:trPr>
          <w:trHeight w:val="20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92"/>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4"/>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revenues increased by $427 million in the three months ended September 30, 2025 and increased by $334 million in the nine months ended September 30, 2025 as compared to the corresponding periods in 2024.</w:t>
      </w:r>
    </w:p>
    <w:p>
      <w:pPr>
        <w:spacing w:after="0" w:line="1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earnings increased by $118 million in the three months ended September 30, 2025 and decreased by $118 million in the nine months ended September 30, 2025 as compared to corresponding periods in 2024.</w:t>
      </w:r>
    </w:p>
    <w:p>
      <w:pPr>
        <w:spacing w:after="0" w:line="18" w:lineRule="exact"/>
        <w:rPr>
          <w:sz w:val="20"/>
          <w:szCs w:val="20"/>
          <w:color w:val="auto"/>
        </w:rPr>
      </w:pPr>
    </w:p>
    <w:p>
      <w:pPr>
        <w:ind w:right="2000" w:firstLine="318"/>
        <w:spacing w:after="0" w:line="353" w:lineRule="auto"/>
        <w:rPr>
          <w:sz w:val="20"/>
          <w:szCs w:val="20"/>
          <w:color w:val="auto"/>
        </w:rPr>
      </w:pPr>
      <w:r>
        <w:rPr>
          <w:rFonts w:ascii="Times New Roman" w:cs="Times New Roman" w:eastAsia="Times New Roman" w:hAnsi="Times New Roman"/>
          <w:sz w:val="18"/>
          <w:szCs w:val="18"/>
          <w:color w:val="auto"/>
        </w:rPr>
        <w:t xml:space="preserve">The change in revenue and net earnings from our reportable segments is discussed in further detail at the segment level below. </w:t>
      </w:r>
      <w:r>
        <w:rPr>
          <w:rFonts w:ascii="Times New Roman" w:cs="Times New Roman" w:eastAsia="Times New Roman" w:hAnsi="Times New Roman"/>
          <w:sz w:val="18"/>
          <w:szCs w:val="18"/>
          <w:i w:val="1"/>
          <w:iCs w:val="1"/>
          <w:color w:val="auto"/>
        </w:rPr>
        <w:t>Expenses</w:t>
      </w:r>
    </w:p>
    <w:p>
      <w:pPr>
        <w:spacing w:after="0" w:line="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Other operating expenses, which in our title business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5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Agent commissions represent the portion of premiums retained by our third-party agents pursuant to the terms of their respective agency contracts.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Benefit expenses for deferred annuity, indexed annuity, and IUL policies include index credits and interest credited to contractholder account balances and benefit claims in excess of contract account balances, net of reinsurance recoveries. Other changes in policy reserves include the change in the fair value of the indexed annuity embedded derivative and the change in the reserve for secondary guarantee benefit payments. Other changes in policy reserves also include the change in reserves for life insurance products.</w:t>
      </w:r>
    </w:p>
    <w:p>
      <w:pPr>
        <w:spacing w:after="0" w:line="6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 in expenses attributable to our reportable segments is discussed in further detail at the segment level below.</w:t>
      </w:r>
    </w:p>
    <w:p>
      <w:pPr>
        <w:spacing w:after="0" w:line="111"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Income tax expense was $90 million and $44 million in the three months ended September 30, 2025 and 2024, respectively, and $217 million and $223 million in the nine months ended September 30, 2025 and 2024, respectively. Income tax expense as a percentage of earnings before income taxes was 20% and 14% in the three months ended September 30, 2025 and 2024, respectively, and 23% and 20% in the nine months ended September 30, 2025 and 2024, respectively. The increases in income tax expense as a percentage of earnings before taxes in the three and nine months ended September 30, 2025 as compared to the corresponding periods in 2024 are primarily attributable to less valuation allowance being released in the three and nine months ended September 30, 2025 as compared to the corresponding periods in 2024.</w:t>
      </w:r>
    </w:p>
    <w:p>
      <w:pPr>
        <w:spacing w:after="0" w:line="8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has developed guidance known as the Global Anti-Base Erosion Pillar Two minimum tax rules, or Pillar Two, which generally provide for a minimum effective tax rate of 15% and are intended to apply to tax years beginning in 2024. As of September 30, 2025, based on the countries in which we do business that have enacted legislation, the Company does not expect these rules to have a material impact on our income tax provision.</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On July 4, 2025, the One Big Beautiful Bill Act ("OBBBA") was signed into law. The OBBBA includes a broad range of tax reform provisions that may affect the Company’s financial results. The application of the OBBBA tax provisions did not result in material changes to the Company's total income tax expense or effective tax rate for the three and nine months ended September 30, 2025. The Company is currently evaluating the impact of these provisions on its current income tax and deferred income tax; however, it is not expected to have a material impact to our Consolidated Financial Statements.</w:t>
      </w:r>
    </w:p>
    <w:p>
      <w:pPr>
        <w:spacing w:after="0" w:line="6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considers its non-U.S. earnings to be indefinitely reinvested outside of the U.S. to the extent these earnings are not subject to the U.S. income tax under an anti-deferral tax regime. Given our intent to reinvest these earnings for an indefinite period of time, the Company has not accrued a deferred tax liability on these earnings. A determination of an unrecognized deferred tax liability related to these earnings is not practicable.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Title segment: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26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34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6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61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5"/>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80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r>
      <w:tr>
        <w:trPr>
          <w:trHeight w:val="191"/>
        </w:trPr>
        <w:tc>
          <w:tcPr>
            <w:tcW w:w="6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r>
      <w:tr>
        <w:trPr>
          <w:trHeight w:val="20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r>
      <w:tr>
        <w:trPr>
          <w:trHeight w:val="191"/>
        </w:trPr>
        <w:tc>
          <w:tcPr>
            <w:tcW w:w="6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20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5"/>
        </w:trPr>
        <w:tc>
          <w:tcPr>
            <w:tcW w:w="61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revenues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5,690</w:t>
            </w:r>
          </w:p>
        </w:tc>
      </w:tr>
      <w:tr>
        <w:trPr>
          <w:trHeight w:val="20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1"/>
        </w:trPr>
        <w:tc>
          <w:tcPr>
            <w:tcW w:w="6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w:t>
            </w:r>
          </w:p>
        </w:tc>
      </w:tr>
      <w:tr>
        <w:trPr>
          <w:trHeight w:val="20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Agent commissions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w:t>
            </w:r>
          </w:p>
        </w:tc>
      </w:tr>
      <w:tr>
        <w:trPr>
          <w:trHeight w:val="191"/>
        </w:trPr>
        <w:tc>
          <w:tcPr>
            <w:tcW w:w="6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w:t>
            </w:r>
          </w:p>
        </w:tc>
      </w:tr>
      <w:tr>
        <w:trPr>
          <w:trHeight w:val="20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92"/>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92"/>
        </w:trPr>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8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4,865</w:t>
            </w:r>
          </w:p>
        </w:tc>
      </w:tr>
      <w:tr>
        <w:trPr>
          <w:trHeight w:val="199"/>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income taxes and equity in earnings of unconsolidated affiliates</w:t>
            </w:r>
          </w:p>
        </w:tc>
        <w:tc>
          <w:tcPr>
            <w:tcW w:w="8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3"/>
        </w:trPr>
        <w:tc>
          <w:tcPr>
            <w:tcW w:w="6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191"/>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Orders opened by direct title operations (in thousands)</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r>
      <w:tr>
        <w:trPr>
          <w:trHeight w:val="20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Orders closed by direct title operations (in thousands)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r>
      <w:tr>
        <w:trPr>
          <w:trHeight w:val="184"/>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 per file (in dollars)</w:t>
            </w:r>
          </w:p>
        </w:tc>
        <w:tc>
          <w:tcPr>
            <w:tcW w:w="8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3,708</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3,892</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w:t>
            </w:r>
          </w:p>
        </w:tc>
      </w:tr>
    </w:tbl>
    <w:p>
      <w:pPr>
        <w:spacing w:after="0" w:line="1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revenues for the Title segment increased by $169 million, or 8%, in the three months ended September 30, 2025 and increased $562 million, or 10%, in the nine months ended September 30, 2025 from the corresponding periods in 2024.</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percentages of title insurance premiums generated by our direct and agency operations: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20" w:type="dxa"/>
            <w:vAlign w:val="bottom"/>
          </w:tcPr>
          <w:p>
            <w:pPr>
              <w:spacing w:after="0"/>
              <w:rPr>
                <w:sz w:val="16"/>
                <w:szCs w:val="16"/>
                <w:color w:val="auto"/>
              </w:rPr>
            </w:pPr>
          </w:p>
        </w:tc>
      </w:tr>
      <w:tr>
        <w:trPr>
          <w:trHeight w:val="24"/>
        </w:trPr>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9"/>
        </w:trPr>
        <w:tc>
          <w:tcPr>
            <w:tcW w:w="36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7"/>
        </w:trPr>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6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6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Title premiums from direct operations</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192"/>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premiums from agency operations</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10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58</w:t>
            </w:r>
          </w:p>
        </w:tc>
      </w:tr>
      <w:tr>
        <w:trPr>
          <w:trHeight w:val="224"/>
        </w:trPr>
        <w:tc>
          <w:tcPr>
            <w:tcW w:w="3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title premiums</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Title premiums increased by $208 million, or 15%, in the three months ended September 30, 2025 from the corresponding period in 2024. The increase was comprised of an increase in Title premiums from direct operations of $107 million, or 19%, and an increase in Title premiums from agency operations of $101 million, or 13%.</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Title premiums increased by $489 million, or 13%, in the nine months ended September 30, 2025 from the corresponding period in 2024. The increase was compromised of an increase in Title premiums from direct operations of $245 million, or 16%, and an increase in Title premiums from agency operations of $244 million, or 11%.</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percentages of opened and closed title insurance orders generated by purchase and refinance transactions by our direct operations: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20" w:type="dxa"/>
            <w:vAlign w:val="bottom"/>
          </w:tcPr>
          <w:p>
            <w:pPr>
              <w:spacing w:after="0"/>
              <w:rPr>
                <w:sz w:val="16"/>
                <w:szCs w:val="16"/>
                <w:color w:val="auto"/>
              </w:rPr>
            </w:pPr>
          </w:p>
        </w:tc>
      </w:tr>
      <w:tr>
        <w:trPr>
          <w:trHeight w:val="24"/>
        </w:trPr>
        <w:tc>
          <w:tcPr>
            <w:tcW w:w="6220" w:type="dxa"/>
            <w:vAlign w:val="bottom"/>
            <w:gridSpan w:val="2"/>
          </w:tcPr>
          <w:p>
            <w:pPr>
              <w:spacing w:after="0"/>
              <w:rPr>
                <w:sz w:val="2"/>
                <w:szCs w:val="2"/>
                <w:color w:val="auto"/>
              </w:rPr>
            </w:pPr>
          </w:p>
        </w:tc>
        <w:tc>
          <w:tcPr>
            <w:tcW w:w="1600" w:type="dxa"/>
            <w:vAlign w:val="bottom"/>
            <w:gridSpan w:val="3"/>
          </w:tcPr>
          <w:p>
            <w:pPr>
              <w:spacing w:after="0"/>
              <w:rPr>
                <w:sz w:val="2"/>
                <w:szCs w:val="2"/>
                <w:color w:val="auto"/>
              </w:rPr>
            </w:pPr>
          </w:p>
        </w:tc>
        <w:tc>
          <w:tcPr>
            <w:tcW w:w="144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420" w:type="dxa"/>
            <w:vAlign w:val="bottom"/>
          </w:tcPr>
          <w:p>
            <w:pPr>
              <w:spacing w:after="0"/>
              <w:rPr>
                <w:sz w:val="2"/>
                <w:szCs w:val="2"/>
                <w:color w:val="auto"/>
              </w:rPr>
            </w:pPr>
          </w:p>
        </w:tc>
      </w:tr>
      <w:tr>
        <w:trPr>
          <w:trHeight w:val="186"/>
        </w:trPr>
        <w:tc>
          <w:tcPr>
            <w:tcW w:w="5300" w:type="dxa"/>
            <w:vAlign w:val="bottom"/>
          </w:tcPr>
          <w:p>
            <w:pPr>
              <w:spacing w:after="0"/>
              <w:rPr>
                <w:sz w:val="16"/>
                <w:szCs w:val="16"/>
                <w:color w:val="auto"/>
              </w:rPr>
            </w:pPr>
          </w:p>
        </w:tc>
        <w:tc>
          <w:tcPr>
            <w:tcW w:w="9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6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tcBorders>
          </w:tcPr>
          <w:p>
            <w:pPr>
              <w:spacing w:after="0"/>
              <w:rPr>
                <w:sz w:val="16"/>
                <w:szCs w:val="16"/>
                <w:color w:val="auto"/>
              </w:rPr>
            </w:pPr>
          </w:p>
        </w:tc>
      </w:tr>
      <w:tr>
        <w:trPr>
          <w:trHeight w:val="19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Opened title insurance orders from purchase transactions (1)</w:t>
            </w:r>
          </w:p>
        </w:tc>
        <w:tc>
          <w:tcPr>
            <w:tcW w:w="9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77 %</w:t>
            </w:r>
          </w:p>
        </w:tc>
      </w:tr>
      <w:tr>
        <w:trPr>
          <w:trHeight w:val="19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Opened title insurance orders from refinance transactions (1)</w:t>
            </w: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w:t>
            </w:r>
          </w:p>
        </w:tc>
      </w:tr>
      <w:tr>
        <w:trPr>
          <w:trHeight w:val="192"/>
        </w:trPr>
        <w:tc>
          <w:tcPr>
            <w:tcW w:w="5300" w:type="dxa"/>
            <w:vAlign w:val="bottom"/>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100 %</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00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38"/>
        </w:trPr>
        <w:tc>
          <w:tcPr>
            <w:tcW w:w="5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r>
      <w:tr>
        <w:trPr>
          <w:trHeight w:val="191"/>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Closed title insurance orders from purchase transactions (1)</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79 %</w:t>
            </w:r>
          </w:p>
        </w:tc>
      </w:tr>
      <w:tr>
        <w:trPr>
          <w:trHeight w:val="19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Closed title insurance orders from refinance transactions (1)</w:t>
            </w: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w:t>
            </w:r>
          </w:p>
        </w:tc>
      </w:tr>
      <w:tr>
        <w:trPr>
          <w:trHeight w:val="192"/>
        </w:trPr>
        <w:tc>
          <w:tcPr>
            <w:tcW w:w="5300" w:type="dxa"/>
            <w:vAlign w:val="bottom"/>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100 %</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00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6"/>
        </w:trPr>
        <w:tc>
          <w:tcPr>
            <w:tcW w:w="5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bl>
    <w:p>
      <w:pPr>
        <w:spacing w:after="0" w:line="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Percentages exclude consideration of an immaterial number of non-purchase and non-refinance orders.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Title premiums from direct operations increased in the three and nine months ended September 30, 2025 from the corresponding periods in 2024. The increase was attributable to increases in the average fee per file and closed order volume.</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experienced an increase in closed title insurance order volumes from both purchase and refinance transactions in the three and nine months ended September 30, 2025 from the corresponding periods in 2024. Total closed order volume was 250,000 in the three months ended September 30, 2025 compared to 232,000 in the three months ended September 30, 2024 and 697,000 in the nine months ended September 30, 2025 compared to 647,000 in the nine months ended September 30, 2024. This represented an overall increase of 8% in the three and nine months ended September 30, 2025 from the corresponding periods in 2024. The increases were primarily attributable to higher housing inventory in the three and nine months ended September 30, 2025 as compared to the corresponding periods in 2024.</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opened title insurance order volumes increased in the three and nine months ended September 30, 2025 from the corresponding periods in 2024.</w:t>
      </w:r>
    </w:p>
    <w:p>
      <w:pPr>
        <w:spacing w:after="0" w:line="11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average fee per file in our direct operations was $3,994 and $3,892 in the three and nine months ended September 30, 2025, respectively, compared to $3,708 and $3,682 in the three and nine months ended September 30, 2024, respectively. The increases in average fee per file in the three and nine months ended September 30, 2025 as compared to the corresponding periods in 2024 are primarily attributable to home price appreciation.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Title premiums from agency operations increased $101 million, or 13%, in the three months ended September 30, 2025 and increased $244 million, or 11%, in the nine months ended September 30, 2025 from the corresponding periods in 2024.</w:t>
      </w:r>
    </w:p>
    <w:p>
      <w:pPr>
        <w:spacing w:after="0" w:line="57"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Escrow, title-related and other fees increased by $53 million, or 9%, in the three months ended September 30, 2025 and increased $136 million, or 8%, in the nine months ended September 30, 2025 from the corresponding periods in 2024. Escrow and title-related fees increased by $25 million, or 11%, in the three months ended September 30, 2025 and $65 million, or 11%, in the nine months ended September 30, 2025 from the corresponding periods in 2024. The increases in escrow and title-related fees in the three and nine months ended September 30, 2025 as compared to the corresponding periods in 2024 are due to increased closed order volume. Other fees, excluding escrow and title-related fees, increased by $28 million, or 8%, in the three months ended September 30, 2025 and increased $71 million, or 7%, in the nine months ended September 30, 2025. The increases in Other fees, excluding escrow and title-related fees, in the three and nine months ended September 30, 2025 as compared to the corresponding periods in 2024 were attributable to various immaterial items.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and investment income levels are primarily a function of securities markets, interest rates, and the amount of cash available for investment.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and investment income was relatively flat in the three and nine months ended September 30, 2025 as compared to the corresponding period in 2024.</w:t>
      </w:r>
    </w:p>
    <w:p>
      <w:pPr>
        <w:spacing w:after="0" w:line="10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recognized losses were $38 million and $20 million in the three and nine months ended September 30, 2025, respectively. Net recognized gains were $63 million and $51 million in the three and nine months ended September 30, 2024, respectively. The fluctuations in recognized gains and losses, net in the three and nine months ended September 30, 2025 as compared to the corresponding periods in 2024, are primarily attributable to fluctuations in non-cash valuation changes on our equity and preferred security holdings in addition to various other immaterial items.</w:t>
      </w:r>
    </w:p>
    <w:p>
      <w:pPr>
        <w:spacing w:after="0" w:line="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increased $78 million, or 11%, in the three months ended September 30, 2025 and increased $201 million, or 10% in the nine months ended September 30, 2025 from the corresponding periods in 2024. The increases are due to elevated health claims, inflationary salary increases, and increased variable costs from a modest increase in revenues in the three and nine months ended September 30, 2025 as compared to the corresponding periods in 2024. Personnel costs as a percentage of total revenues from direct title premiums and escrow, title-related and other fees were 58% and 60% for the three months ended September 30, 2025 and 2024, and 61% and 62% for the nine months ended September 30, 2025 and 2024, respectively. Average employee count in the Title segment was 22,600 and 21,493 in the three months ended September 30, 2025 and 2024, respectively, and 22,072 and 21,167 in the nine months ended September 30, 2025 and 2024, respectively.</w:t>
      </w:r>
    </w:p>
    <w:p>
      <w:pPr>
        <w:spacing w:after="0" w:line="8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operating expenses increased by $13 million, or 4%, in the three months ended September 30, 2025, and increased by $72 million, or 8%, in the nine months ended September 30, 2025 from the corresponding periods in 2024. Other operating expenses as a percentage of total revenue excluding agency premiums, interest and investment income, and recognized gains and losses were 26% and 28% in the three months ended September 30, 2025 and 2024, respectively, and 28% and 29% in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illustrates the relationship of agent premiums and agent commissions: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40" w:type="dxa"/>
            <w:vAlign w:val="bottom"/>
          </w:tcPr>
          <w:p>
            <w:pPr>
              <w:spacing w:after="0"/>
              <w:rPr>
                <w:sz w:val="16"/>
                <w:szCs w:val="16"/>
                <w:color w:val="auto"/>
              </w:rPr>
            </w:pPr>
          </w:p>
        </w:tc>
      </w:tr>
      <w:tr>
        <w:trPr>
          <w:trHeight w:val="24"/>
        </w:trPr>
        <w:tc>
          <w:tcPr>
            <w:tcW w:w="30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302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gridSpan w:val="2"/>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2"/>
        </w:trPr>
        <w:tc>
          <w:tcPr>
            <w:tcW w:w="3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premiums</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100 %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6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224"/>
        </w:trPr>
        <w:tc>
          <w:tcPr>
            <w:tcW w:w="3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retained agent premiums</w:t>
            </w:r>
          </w:p>
        </w:tc>
        <w:tc>
          <w:tcPr>
            <w:tcW w:w="620" w:type="dxa"/>
            <w:vAlign w:val="bottom"/>
            <w:tcBorders>
              <w:top w:val="single" w:sz="8" w:color="auto"/>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claim loss provision for title insurance was $70 million and $61 million for the three months ended September 30, 2025 and 2024, respectively, and $190 million and $168 million for the nine months ended September 30, 2025 and 2024, respectively. The provision reflects an average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F&amp;G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Overview</w:t>
      </w:r>
    </w:p>
    <w:p>
      <w:pPr>
        <w:spacing w:after="0" w:line="8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Through our majority-owned F&amp;G subsidiary, we have five distribution channels across retail and institutional markets. Our three retail channels include agent-based Independent Marketing Organizations ("IMOs"), banks, and broker dealers. We have deep, long-tenured relationships with our network of leading IMOs and their agents to serve the needs of the middle-income market and develop competitive annuity and life products to align with their evolving needs. Upon FNF’s ownership and F&amp;G’s subsequent rating upgrades in mid-2020, we launched into banks and broker dealers. Further, in 2021, we launched into two institutional markets to originate Funding Agreement Backed Notes ("FABN") and pension risk transfer ("PRT") transactions. The FABN Program offers funding agreements to institutional clients by means of capital markets transactions through investment banks. The funding agreements issued under the FABN Program are in addition to those issued to the Federal Home Loan Bank of Atlanta ("FHLB"). The PRT solutions business is supported by an experienced team, and we partner with brokers and institutional consultants for distribution. These markets leverage our existing team's spread-based capabilities as well as our strategic partnership with Blackstone ISG-I Advisors LLC (“Blackstone”).</w:t>
      </w:r>
    </w:p>
    <w:p>
      <w:pPr>
        <w:spacing w:after="0" w:line="81"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In setting the features and pricing of our flagship indexed annuity products relative to our targeted net margin, we take into account our expectations regarding (1)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Historical Results of Operations</w:t>
      </w:r>
    </w:p>
    <w:p>
      <w:pPr>
        <w:spacing w:after="0" w:line="113" w:lineRule="exact"/>
        <w:rPr>
          <w:sz w:val="20"/>
          <w:szCs w:val="20"/>
          <w:color w:val="auto"/>
        </w:rPr>
      </w:pPr>
    </w:p>
    <w:p>
      <w:pPr>
        <w:jc w:val="both"/>
        <w:ind w:firstLine="437"/>
        <w:spacing w:after="0" w:line="248" w:lineRule="auto"/>
        <w:rPr>
          <w:sz w:val="20"/>
          <w:szCs w:val="20"/>
          <w:color w:val="auto"/>
        </w:rPr>
      </w:pPr>
      <w:r>
        <w:rPr>
          <w:rFonts w:ascii="Times New Roman" w:cs="Times New Roman" w:eastAsia="Times New Roman" w:hAnsi="Times New Roman"/>
          <w:sz w:val="18"/>
          <w:szCs w:val="18"/>
          <w:color w:val="auto"/>
        </w:rPr>
        <w:t>Through our insurance subsidiaries, we issue a broad portfolio of deferred annuities (indexed annuities and fixed rate annuities), IUL insurance, immediate annuities, funding agreements and PRT solutions. A deferred annuity is a type of contract that accumulates value on a tax deferred basis and typically begins making specified periodic or lump sum payments a certain number of years after the contract has been issued. IUL insurance is a complementary type of contract that accumulates value in a cash value account and provides a payment to designated beneficiaries upon the policyholder’s death. An immediate annuity is a type of contract that begins making specified payments within one annuity period (e.g., one month or one year) and typically makes payments of principal and interest earnings over a period of time. As defined by the Iowa Insurance Division, a funding agreement is an agreement for an insurer to accept and accumulate funds and to make one or more payments at future dates in amounts that are not based on mortality or morbidity contingencies of the person to whom the funding agreement is issued. In essence, funding agreement providers issue fixed maturity contracts with fixed or floating interest rates in exchange for a single upfront premium. Our PRT products are comparable to income annuities, as we generally receive a single, upfront premium in exchange for paying a guaranteed stream of future income payments, which are typically fixed in nature but may vary in duration based on participant mortality experience.</w:t>
      </w:r>
    </w:p>
    <w:p>
      <w:pPr>
        <w:spacing w:after="0" w:line="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 GAAP, premium collections for deferred annuities (indexed annuities and fixed rate annuities), immediate annuities and PRT without life contingency, and deposits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deposit liabilities are net investment income, surrender charges, cost of insurance and other charges deducted from contractholder funds (i.e., amortization of URL),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VOBA, DAC and DSI, and other operating costs and expenses.</w:t>
      </w:r>
    </w:p>
    <w:p>
      <w:pPr>
        <w:spacing w:after="0" w:line="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F&amp;G hedges certain portions of its exposure to product related equity market risk by entering into derivative transactions. We purchase derivatives consisting predominantly of equity options and, to a lesser degree, futures contracts (specifically for indexed annuity contracts) on the equity indices underlying the applicable policy. These derivatives are used to offset the reserve impact of the index credits due to policyholders under the indexed annuity and IUL contracts. The majority of all such equity options are one-year options purchased to match the funding requirements underlying the indexed annuity/IUL contracts. We attempt to manage the cost of these purchases through the terms of our indexed annuity/IUL contracts, which permit us to change caps, spread, or participation rates on each policy's annual anniversary, subject to certain guaranteed minimums that must be maintained. The equity options and futures contracts are marked to fair value with the change in fair value included as a component of net investment gains (losses). The change in fair value of the equity options and futures contracts includes the gains and losses recognized at the expiration of the instruments’ terms or upon early termination and the changes in fair value of open positions. In addition, to reduce market risks from interest rate changes on our earnings associated with our floating rate investments, during 2023, we began to execute pay-float and receive-fixed interest rate swaps.</w:t>
      </w:r>
    </w:p>
    <w:p>
      <w:pPr>
        <w:spacing w:after="0" w:line="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Market risk benefits (“MRBs”) are contracts or contract features that both provide protection to the contract holder from other-than-nominal capital market risk (equity, interest and foreign exchange risk) and expose the Company to other-than-nominal capital market risk. MRBs (inclusive of reinsured MRBs) are measured at fair value using a risk neutral valuation method, which is based on current net amounts at risk, market data, internal and industry experience, and other factors. The change in fair value of MRBs generally reflects impacts from actual policyholder behavior (including surrenders of the benefit), changes in interest rates, and changes in equity market returns. Generally higher interest rates and equity returns result in gains whereas lower interest rates and equity returns result in losses. Reinsured MRBs are valued using a methodology consistent with direct MRBs, with the exception of the non-performance spread, which reflects the credit of the reinsurer.</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Earnings from products accounted for as deposit liabilities are primarily generated from the excess of net investment income earned over the sum of interest credited to policyholders and the cost of hedging our risk on indexed annuity/IUL policies, which includes the expenses incurred to fund the index credit with respect to indexed annuities/IULs. Proceeds received upon expiration or early termination of equity options purchased to fund annual index credits are recorded as part of the change in fair value of derivatives and are largely offset by an expense for index credits earned on annuity contractholder fund balances.</w:t>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F&amp;G Results of Operations</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results of operations of our F&amp;G segment for the three and nine months ended September 30, 2025 and 2024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5"/>
        </w:trPr>
        <w:tc>
          <w:tcPr>
            <w:tcW w:w="5320" w:type="dxa"/>
            <w:vAlign w:val="bottom"/>
          </w:tcPr>
          <w:p>
            <w:pPr>
              <w:spacing w:after="0"/>
              <w:rPr>
                <w:sz w:val="16"/>
                <w:szCs w:val="16"/>
                <w:color w:val="auto"/>
              </w:rPr>
            </w:pP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5"/>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Life insurance premiums and other fees</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r>
      <w:tr>
        <w:trPr>
          <w:trHeight w:val="191"/>
        </w:trPr>
        <w:tc>
          <w:tcPr>
            <w:tcW w:w="5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960" w:type="dxa"/>
            <w:vAlign w:val="bottom"/>
          </w:tcPr>
          <w:p>
            <w:pPr>
              <w:spacing w:after="0"/>
              <w:rPr>
                <w:sz w:val="16"/>
                <w:szCs w:val="16"/>
                <w:color w:val="auto"/>
              </w:rPr>
            </w:pP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748</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r>
      <w:tr>
        <w:trPr>
          <w:trHeight w:val="20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Owned distribution revenues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92"/>
        </w:trPr>
        <w:tc>
          <w:tcPr>
            <w:tcW w:w="5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r>
      <w:tr>
        <w:trPr>
          <w:trHeight w:val="19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revenues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1,694</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4,185</w:t>
            </w:r>
          </w:p>
        </w:tc>
      </w:tr>
      <w:tr>
        <w:trPr>
          <w:trHeight w:val="19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Benefits and expenses</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5"/>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w:t>
            </w:r>
          </w:p>
        </w:tc>
      </w:tr>
      <w:tr>
        <w:trPr>
          <w:trHeight w:val="191"/>
        </w:trPr>
        <w:tc>
          <w:tcPr>
            <w:tcW w:w="5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Market risk benefit (gains) losses</w:t>
            </w:r>
          </w:p>
        </w:tc>
        <w:tc>
          <w:tcPr>
            <w:tcW w:w="960" w:type="dxa"/>
            <w:vAlign w:val="bottom"/>
          </w:tcPr>
          <w:p>
            <w:pPr>
              <w:spacing w:after="0"/>
              <w:rPr>
                <w:sz w:val="16"/>
                <w:szCs w:val="16"/>
                <w:color w:val="auto"/>
              </w:rPr>
            </w:pP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91"/>
        </w:trPr>
        <w:tc>
          <w:tcPr>
            <w:tcW w:w="5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Personnel costs</w:t>
            </w:r>
          </w:p>
        </w:tc>
        <w:tc>
          <w:tcPr>
            <w:tcW w:w="960" w:type="dxa"/>
            <w:vAlign w:val="bottom"/>
          </w:tcPr>
          <w:p>
            <w:pPr>
              <w:spacing w:after="0"/>
              <w:rPr>
                <w:sz w:val="16"/>
                <w:szCs w:val="16"/>
                <w:color w:val="auto"/>
              </w:rPr>
            </w:pP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20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192"/>
        </w:trPr>
        <w:tc>
          <w:tcPr>
            <w:tcW w:w="5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9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benefits and expenses</w:t>
            </w:r>
          </w:p>
        </w:tc>
        <w:tc>
          <w:tcPr>
            <w:tcW w:w="9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1,563</w:t>
            </w:r>
          </w:p>
        </w:tc>
        <w:tc>
          <w:tcPr>
            <w:tcW w:w="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1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3,819</w:t>
            </w:r>
          </w:p>
        </w:tc>
      </w:tr>
      <w:tr>
        <w:trPr>
          <w:trHeight w:val="19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6"/>
                <w:szCs w:val="16"/>
                <w:color w:val="auto"/>
              </w:rPr>
            </w:pPr>
          </w:p>
        </w:tc>
        <w:tc>
          <w:tcPr>
            <w:tcW w:w="10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tcPr>
          <w:p>
            <w:pPr>
              <w:spacing w:after="0"/>
              <w:rPr>
                <w:sz w:val="16"/>
                <w:szCs w:val="16"/>
                <w:color w:val="auto"/>
              </w:rPr>
            </w:pP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r>
      <w:tr>
        <w:trPr>
          <w:trHeight w:val="20"/>
        </w:trPr>
        <w:tc>
          <w:tcPr>
            <w:tcW w:w="5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Life insurance premiums and other fees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Life insurance premiums and other fees primarily reflect premiums on life-contingent PRTs and traditional life insurance products, which are recognized as revenue when due from the policyholder, as well as policy rider fees primarily on indexed annuity policies, the cost of insurance on IUL policies, and surrender charges assessed against policy withdrawals in excess of the policyholder's allowable penalty-free amounts (up to 10% of the prior year's value, subject to certain limitations). The following table summarizes the Life insurance premiums and other fees, on the unaudited Condensed Consolidated Statements of Earnings, for the three and nine months ended September 30, 2025 and 2024:</w:t>
      </w:r>
    </w:p>
    <w:p>
      <w:pPr>
        <w:spacing w:after="0" w:line="113"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29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44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300" w:type="dxa"/>
            <w:vAlign w:val="bottom"/>
          </w:tcPr>
          <w:p>
            <w:pPr>
              <w:spacing w:after="0"/>
              <w:rPr>
                <w:sz w:val="16"/>
                <w:szCs w:val="16"/>
                <w:color w:val="auto"/>
              </w:rPr>
            </w:pPr>
          </w:p>
        </w:tc>
        <w:tc>
          <w:tcPr>
            <w:tcW w:w="9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Life-contingent pension risk transfer premiums</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r>
      <w:tr>
        <w:trPr>
          <w:trHeight w:val="191"/>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Traditional life insurance and life-contingent immediate annuity premiums</w:t>
            </w:r>
          </w:p>
        </w:tc>
        <w:tc>
          <w:tcPr>
            <w:tcW w:w="9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Surrender charges</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92"/>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Policyholder fees and other income</w:t>
            </w: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224"/>
        </w:trPr>
        <w:tc>
          <w:tcPr>
            <w:tcW w:w="5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Life insurance premiums and other fees</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1,808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40" w:hanging="316"/>
        <w:spacing w:after="0" w:line="272"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Life-contingent pension risk transfer premiums increased for the three and nine months ended September 30, 2025, compared to the three and nine months ended September 30, 2024, respectively, reflecting the timing of PRT transactions. PRT premiums are subject to fluctuation period to period.</w:t>
      </w:r>
    </w:p>
    <w:p>
      <w:pPr>
        <w:jc w:val="both"/>
        <w:ind w:left="640" w:hanging="316"/>
        <w:spacing w:after="0" w:line="247"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charges decreased for the three months ended September 30, 2025 and were relatively unchanged for the nine months ended September 30, 2025, compared to the three and nine months ended September 30, 2024, respectively. These charges primarily reflect withdrawals from policyholders with surrender charges and market value adjustments (“MVAs”), primarily on our indexed annuities policies, and are subject to changes in the interest rate environment.</w:t>
      </w:r>
    </w:p>
    <w:p>
      <w:pPr>
        <w:spacing w:after="0" w:line="29"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Policyholder fees and other income increased for the three and nine months ended September 30, 2025, compared to the three and nine months ended September 30, 2024, primarily reflecting increased cost of insurance charges, net of changes in unearned revenue liabilities (“URL”) on IUL policies from growth in business and higher guaranteed minimum withdrawal benefit (“GMWB”) rider fees. GMWB rider fees are based on the policyholder's benefit base and are collected at the end of the policy year. The increase for the nine months ended September 30, 2025 also includes a reinsurance true-up adjustment.</w:t>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Interest and investment income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interest and investment income for the three and nine months ended September 30, 2025 and 2024:</w:t>
      </w:r>
    </w:p>
    <w:p>
      <w:pPr>
        <w:spacing w:after="0" w:line="92"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60" w:type="dxa"/>
            <w:vAlign w:val="bottom"/>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5200" w:type="dxa"/>
            <w:vAlign w:val="bottom"/>
          </w:tcPr>
          <w:p>
            <w:pPr>
              <w:spacing w:after="0"/>
              <w:rPr>
                <w:sz w:val="16"/>
                <w:szCs w:val="16"/>
                <w:color w:val="auto"/>
              </w:rPr>
            </w:pP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w:t>
            </w:r>
          </w:p>
        </w:tc>
      </w:tr>
      <w:tr>
        <w:trPr>
          <w:trHeight w:val="191"/>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940" w:type="dxa"/>
            <w:vAlign w:val="bottom"/>
          </w:tcPr>
          <w:p>
            <w:pPr>
              <w:spacing w:after="0"/>
              <w:rPr>
                <w:sz w:val="16"/>
                <w:szCs w:val="16"/>
                <w:color w:val="auto"/>
              </w:rPr>
            </w:pP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1"/>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940" w:type="dxa"/>
            <w:vAlign w:val="bottom"/>
          </w:tcPr>
          <w:p>
            <w:pPr>
              <w:spacing w:after="0"/>
              <w:rPr>
                <w:sz w:val="16"/>
                <w:szCs w:val="16"/>
                <w:color w:val="auto"/>
              </w:rPr>
            </w:pP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0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Invested cash and short-term investments</w:t>
            </w: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91"/>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940" w:type="dxa"/>
            <w:vAlign w:val="bottom"/>
          </w:tcPr>
          <w:p>
            <w:pPr>
              <w:spacing w:after="0"/>
              <w:rPr>
                <w:sz w:val="16"/>
                <w:szCs w:val="16"/>
                <w:color w:val="auto"/>
              </w:rPr>
            </w:pP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20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9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5"/>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Gross investment income</w:t>
            </w:r>
          </w:p>
        </w:tc>
        <w:tc>
          <w:tcPr>
            <w:tcW w:w="9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815</w:t>
            </w: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2,228</w:t>
            </w:r>
          </w:p>
        </w:tc>
      </w:tr>
      <w:tr>
        <w:trPr>
          <w:trHeight w:val="19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expense</w:t>
            </w:r>
          </w:p>
        </w:tc>
        <w:tc>
          <w:tcPr>
            <w:tcW w:w="9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199"/>
        </w:trPr>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tc>
        <w:tc>
          <w:tcPr>
            <w:tcW w:w="9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748</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2,012</w:t>
            </w:r>
          </w:p>
        </w:tc>
      </w:tr>
      <w:tr>
        <w:trPr>
          <w:trHeight w:val="20"/>
        </w:trPr>
        <w:tc>
          <w:tcPr>
            <w:tcW w:w="5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$219 million and $592 million for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three and nine months ended September 30, 2025, respectively, and $181 million and $463 million for the three and nine months ended September 30, 2024,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Recognized gains and losses, net</w:t>
      </w:r>
    </w:p>
    <w:p>
      <w:pPr>
        <w:spacing w:after="0" w:line="113"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8"/>
          <w:szCs w:val="18"/>
          <w:color w:val="auto"/>
        </w:rPr>
        <w:t>Below is a summary of the major components included in recognized gains and (losses), net for the three and nine months ended September 30, 2025 and 2024:</w:t>
      </w: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9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44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9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5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Net realized and unrealized (losses) gains on fixed maturity available-for-sale securities, equity</w:t>
            </w:r>
          </w:p>
        </w:tc>
        <w:tc>
          <w:tcPr>
            <w:tcW w:w="960" w:type="dxa"/>
            <w:vAlign w:val="bottom"/>
            <w:vMerge w:val="restart"/>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9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and other invested assets</w:t>
            </w:r>
          </w:p>
        </w:tc>
        <w:tc>
          <w:tcPr>
            <w:tcW w:w="960" w:type="dxa"/>
            <w:vAlign w:val="bottom"/>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tc>
        <w:tc>
          <w:tcPr>
            <w:tcW w:w="9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and unrealized gains on certain derivatives instruments</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0" w:type="dxa"/>
            <w:vAlign w:val="bottom"/>
          </w:tcPr>
          <w:p>
            <w:pPr>
              <w:spacing w:after="0"/>
              <w:rPr>
                <w:sz w:val="1"/>
                <w:szCs w:val="1"/>
                <w:color w:val="auto"/>
              </w:rPr>
            </w:pP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w:t>
            </w:r>
          </w:p>
        </w:tc>
        <w:tc>
          <w:tcPr>
            <w:tcW w:w="9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9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tc>
        <w:tc>
          <w:tcPr>
            <w:tcW w:w="9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9"/>
        </w:trPr>
        <w:tc>
          <w:tcPr>
            <w:tcW w:w="55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Recognized gains and (losses), net is shown net of amounts attributable to certain funds withheld reinsurance agreements, which is passed along to the reinsurer in accordance with the terms of these agreements. Recognized gains and losses attributable to these agreements, and thus excluded from the totals in the table above, was $(77) million and $(176) million for the three and nine month periods ended September 30, 2025, and $(177) million and $(186) million for the three and nine month periods ended September 30, 2024, respectively.</w:t>
      </w:r>
    </w:p>
    <w:p>
      <w:pPr>
        <w:spacing w:after="0" w:line="21" w:lineRule="exact"/>
        <w:rPr>
          <w:sz w:val="20"/>
          <w:szCs w:val="20"/>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2025, net realized and unrealized gains (losses) on fixed maturity available-for-sale securities, equity securities, and other invested assets is primarily the result of net realized losses on fixed maturity available-for-sale securities.</w:t>
      </w:r>
    </w:p>
    <w:p>
      <w:pPr>
        <w:spacing w:after="0" w:line="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2025, net realized and unrealized gains (losses) on fixed maturity available-for-sale securities, equity securities and other invested assets is primarily the result of mark-to-market losses on our equity securities and net realized losses on fixed maturity available-for-sale securities.</w:t>
      </w:r>
    </w:p>
    <w:p>
      <w:pPr>
        <w:spacing w:after="0" w:line="1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2024, net realized and unrealized gains (losses) on fixed maturity available-for-sale securities, equity securities and other invested assets is primarily the result of mark-to-market gains on our preferred and equity securities.</w:t>
      </w:r>
    </w:p>
    <w:p>
      <w:pPr>
        <w:spacing w:after="0" w:line="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2024, net realized and unrealized gains (losses) on fixed maturity available-for-sale securities, equity securities and other invested assets is primarily the result of unrealized FVO gains on owned distribution investments and mark-to-market gains on our preferred and equity securities.</w:t>
      </w:r>
    </w:p>
    <w:p>
      <w:pPr>
        <w:spacing w:after="0" w:line="1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allowance for expected credit losses primarily relates to available for sale securities.</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periods, net realized and unrealized gains (losses) on certain derivative instruments primarily relate to the net realized and unrealized gains (losses) on equity options and futures used to hedge indexed annuity and IUL products, including gains on option and futures expiration and changes in the fair value of interest rate swaps. See the table below for primary drivers of gains (losses) on certain derivatives.</w:t>
      </w:r>
    </w:p>
    <w:p>
      <w:pPr>
        <w:spacing w:after="0" w:line="1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reinsurance related embedded derivative is based on the change in fair value of the underlying assets held in the funds withheld (“FWH”) portfolio.</w:t>
      </w:r>
    </w:p>
    <w:p>
      <w:pPr>
        <w:spacing w:after="0" w:line="19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utilize a combination of static (equity options) and dynamic (long futures contracts) instruments in our product hedging strategy. Equity options and futures contracts are generally based upon the performance of various equity indices, such as the S&amp;P 500 Index, as well as other bond and gold market indices.</w:t>
      </w:r>
    </w:p>
    <w:p>
      <w:pPr>
        <w:spacing w:after="0" w:line="204"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utilize interest rate swaps to reduce market risks from interest rate changes on our earnings associated with our floating rate investments and we utilize foreign currency swaps to reduce market risks from fluctuations in foreign exchange rates that impact earnings associated with our foreign currency denominated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The components of the realized and unrealized gains (losses) on certain derivative instruments hedging our indexed annuities, universal life products and floating rate investments are summarized in the table below:</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18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78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4980" w:type="dxa"/>
            <w:vAlign w:val="bottom"/>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4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options: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1"/>
        </w:trPr>
        <w:tc>
          <w:tcPr>
            <w:tcW w:w="4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Realized (losses) gains</w:t>
            </w: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49</w:t>
            </w:r>
          </w:p>
        </w:tc>
      </w:tr>
      <w:tr>
        <w:trPr>
          <w:trHeight w:val="20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unrealized gains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438</w:t>
            </w:r>
          </w:p>
        </w:tc>
      </w:tr>
      <w:tr>
        <w:trPr>
          <w:trHeight w:val="19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Futures contracts:</w:t>
            </w: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Gains on futures contracts expiration</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r>
      <w:tr>
        <w:trPr>
          <w:trHeight w:val="191"/>
        </w:trPr>
        <w:tc>
          <w:tcPr>
            <w:tcW w:w="4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unrealized gains</w:t>
            </w:r>
          </w:p>
        </w:tc>
        <w:tc>
          <w:tcPr>
            <w:tcW w:w="980" w:type="dxa"/>
            <w:vAlign w:val="bottom"/>
          </w:tcPr>
          <w:p>
            <w:pPr>
              <w:spacing w:after="0"/>
              <w:rPr>
                <w:sz w:val="16"/>
                <w:szCs w:val="16"/>
                <w:color w:val="auto"/>
              </w:rPr>
            </w:pPr>
          </w:p>
        </w:tc>
        <w:tc>
          <w:tcPr>
            <w:tcW w:w="5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r>
      <w:tr>
        <w:trPr>
          <w:trHeight w:val="20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swaps losses</w:t>
            </w:r>
          </w:p>
        </w:tc>
        <w:tc>
          <w:tcPr>
            <w:tcW w:w="9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 (losses) gains</w:t>
            </w:r>
          </w:p>
        </w:tc>
        <w:tc>
          <w:tcPr>
            <w:tcW w:w="980" w:type="dxa"/>
            <w:vAlign w:val="bottom"/>
          </w:tcPr>
          <w:p>
            <w:pPr>
              <w:spacing w:after="0"/>
              <w:rPr>
                <w:sz w:val="16"/>
                <w:szCs w:val="16"/>
                <w:color w:val="auto"/>
              </w:rPr>
            </w:pPr>
          </w:p>
        </w:tc>
        <w:tc>
          <w:tcPr>
            <w:tcW w:w="5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r>
      <w:tr>
        <w:trPr>
          <w:trHeight w:val="20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derivative investments: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2"/>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Gains (losses) on other derivative investments</w:t>
            </w: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r>
      <w:tr>
        <w:trPr>
          <w:trHeight w:val="22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change in fair value</w:t>
            </w: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515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4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9"/>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Annual Point-to-Point Change in S&amp;P 500 Index during the periods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r>
      <w:tr>
        <w:trPr>
          <w:trHeight w:val="184"/>
        </w:trPr>
        <w:tc>
          <w:tcPr>
            <w:tcW w:w="4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Secured Overnight Financing Rates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4.24 %</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4.96 %</w:t>
            </w:r>
          </w:p>
        </w:tc>
      </w:tr>
    </w:tbl>
    <w:p>
      <w:pPr>
        <w:spacing w:after="0" w:line="156" w:lineRule="exact"/>
        <w:rPr>
          <w:sz w:val="20"/>
          <w:szCs w:val="20"/>
          <w:color w:val="auto"/>
        </w:rPr>
      </w:pPr>
    </w:p>
    <w:p>
      <w:pPr>
        <w:ind w:left="64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gains and (losses) on certain derivative instruments are directly correlated to the performance of the indices upon which the equity options and futures contracts are based and the value of the derivatives at the time of expiration compared to the value at the time of purchase.</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unrealized gains (losses) due to the net changes in fair value of equity options and futures contracts are driven by the underlying performance of the indices, such as the S&amp;P 500 Index, upon which the equity options and futures contracts are based during each respective period relative to the respective indices on the policyholder buy dates.</w:t>
      </w:r>
    </w:p>
    <w:p>
      <w:pPr>
        <w:spacing w:after="0" w:line="1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change in fair value of the foreign currency and interest rate swaps were primarily driven by fluctuations in the foreign currency exchange rate and interest rate indexes underlying the swap contracts.</w:t>
      </w:r>
    </w:p>
    <w:p>
      <w:pPr>
        <w:spacing w:after="0" w:line="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average index credits to policyholders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27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56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67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6"/>
        </w:trPr>
        <w:tc>
          <w:tcPr>
            <w:tcW w:w="592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Crediting Rate</w:t>
            </w: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9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S&amp;P 500 Index:</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6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Point-to-point strategy</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91"/>
        </w:trPr>
        <w:tc>
          <w:tcPr>
            <w:tcW w:w="67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Monthly average strategy</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06"/>
        </w:trPr>
        <w:tc>
          <w:tcPr>
            <w:tcW w:w="6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Monthly point-to-point strategy</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4"/>
        </w:trPr>
        <w:tc>
          <w:tcPr>
            <w:tcW w:w="67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3 year high water mark</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bl>
    <w:p>
      <w:pPr>
        <w:spacing w:after="0" w:line="116" w:lineRule="exact"/>
        <w:rPr>
          <w:sz w:val="20"/>
          <w:szCs w:val="20"/>
          <w:color w:val="auto"/>
        </w:rPr>
      </w:pPr>
    </w:p>
    <w:p>
      <w:pPr>
        <w:jc w:val="both"/>
        <w:ind w:left="640" w:hanging="316"/>
        <w:spacing w:after="0" w:line="253"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amounts credited to contractholder fund balances may differ from the index appreciation due to contractual features in the indexed annuity contracts and certain IUL contracts (caps, spreads and participation rates), which allow us to manage the cost of the options purchased to fund the annual index credits.</w:t>
      </w:r>
    </w:p>
    <w:p>
      <w:pPr>
        <w:ind w:left="640" w:hanging="316"/>
        <w:spacing w:after="0" w:line="251"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credits for the periods presented were based on comparing the S&amp;P 500 Index on each issue date in the period to the same issue date in the respective prior year periods.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Benefits and other changes in policy reserves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Benefits and other changes in policy reserves: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9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2540" w:type="dxa"/>
            <w:vAlign w:val="bottom"/>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320" w:type="dxa"/>
            <w:vAlign w:val="bottom"/>
          </w:tcPr>
          <w:p>
            <w:pPr>
              <w:spacing w:after="0"/>
              <w:rPr>
                <w:sz w:val="16"/>
                <w:szCs w:val="16"/>
                <w:color w:val="auto"/>
              </w:rPr>
            </w:pP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 agreements</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w:t>
            </w:r>
          </w:p>
        </w:tc>
      </w:tr>
      <w:tr>
        <w:trPr>
          <w:trHeight w:val="191"/>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Indexed annuities/IUL market related liability movements</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r>
      <w:tr>
        <w:trPr>
          <w:trHeight w:val="20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 credits, interest credited and bonuses</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r>
      <w:tr>
        <w:trPr>
          <w:trHeight w:val="192"/>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changes in policy reserves</w:t>
            </w: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24"/>
        </w:trPr>
        <w:tc>
          <w:tcPr>
            <w:tcW w:w="5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Benefits and other changes in policy reserves</w:t>
            </w: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left="640" w:hanging="316"/>
        <w:spacing w:after="0" w:line="259" w:lineRule="auto"/>
        <w:tabs>
          <w:tab w:leader="none" w:pos="63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PRT agreements, primarily representing the change in reserves associated with PRT premiums during the periods, increased for the three and nine months ended September 30, 2025, compared to the three and nine months ended September 30, 2024, reflecting the timing of PRT transactions. PRT transactions are subject to fluctuation period to period.</w:t>
      </w:r>
    </w:p>
    <w:p>
      <w:pPr>
        <w:spacing w:after="0" w:line="71" w:lineRule="exact"/>
        <w:rPr>
          <w:rFonts w:ascii="Times New Roman" w:cs="Times New Roman" w:eastAsia="Times New Roman" w:hAnsi="Times New Roman"/>
          <w:sz w:val="18"/>
          <w:szCs w:val="18"/>
          <w:i w:val="1"/>
          <w:iCs w:val="1"/>
          <w:color w:val="auto"/>
        </w:rPr>
      </w:pPr>
    </w:p>
    <w:p>
      <w:pPr>
        <w:jc w:val="both"/>
        <w:ind w:left="640" w:hanging="316"/>
        <w:spacing w:after="0" w:line="249" w:lineRule="auto"/>
        <w:tabs>
          <w:tab w:leader="none" w:pos="63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indexed annuities/IUL market related liability movements during the three and nine months ended September 30, 2025 and September 30, 2024, respectively, are mainly driven by changes in the equity markets, non-performance spreads, and risk free rates during the respective periods. The change in risk free rates and non-performance spreads increased the direct indexed annuities market related liability by $92 million and $255 million during the three months ended September 30, 2025 and September 30, 2024, respectively. The change in risk free rates and non-performance spreads increased the direct indexed annuities market related liability by $175 million and $87 million during the nine months ended September 30, 2025 and September 30, 2024, respectively. The remaining changes in market value of the market related liability movements for all periods were primarily driven by equity market impacts. See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Recognized gains and (losses), net”</w:t>
      </w:r>
      <w:r>
        <w:rPr>
          <w:rFonts w:ascii="Times New Roman" w:cs="Times New Roman" w:eastAsia="Times New Roman" w:hAnsi="Times New Roman"/>
          <w:sz w:val="18"/>
          <w:szCs w:val="18"/>
          <w:color w:val="auto"/>
        </w:rPr>
        <w:t xml:space="preserve"> above for summary and discussion of net unrealized gains (losses) on certain derivative instruments.</w:t>
      </w:r>
    </w:p>
    <w:p>
      <w:pPr>
        <w:spacing w:after="0" w:line="31" w:lineRule="exact"/>
        <w:rPr>
          <w:rFonts w:ascii="Times New Roman" w:cs="Times New Roman" w:eastAsia="Times New Roman" w:hAnsi="Times New Roman"/>
          <w:sz w:val="18"/>
          <w:szCs w:val="18"/>
          <w:i w:val="1"/>
          <w:iCs w:val="1"/>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Annually, typically in the third quarter, we review assumptions associated with reserves for policy benefits and product guarantees.</w:t>
      </w:r>
    </w:p>
    <w:p>
      <w:pPr>
        <w:spacing w:after="0" w:line="58" w:lineRule="exact"/>
        <w:rPr>
          <w:rFonts w:ascii="Times New Roman" w:cs="Times New Roman" w:eastAsia="Times New Roman" w:hAnsi="Times New Roman"/>
          <w:sz w:val="18"/>
          <w:szCs w:val="18"/>
          <w:i w:val="1"/>
          <w:iCs w:val="1"/>
          <w:color w:val="auto"/>
        </w:rPr>
      </w:pPr>
    </w:p>
    <w:p>
      <w:pPr>
        <w:jc w:val="both"/>
        <w:ind w:left="1280" w:hanging="320"/>
        <w:spacing w:after="0" w:line="251"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September 30, 2025 and September 30, 2024, based on policyholder behavior, experience and interest rate movements, we reflected updates to surrender assumptions for recent and expected near term policyholder behavior, as well as updated certain FIA assumptions used to calculate the fair value of the embedded derivative component within contractholder funds. These changes resulted in increases (decreases) in total benefits and other changes in policy reserves of approximately $(4) million and ($136) million for the three months ended September 30, 2025 and September 30, 2024, respectively, and $(30) million and ($79) million for the nine months ended September 30, 2025 and September 30, 2024, respectively.</w:t>
      </w:r>
    </w:p>
    <w:p>
      <w:pPr>
        <w:spacing w:after="0" w:line="26"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Index credits, interest credited, and bonuses for the three and nine months ended September 30, 2025 were higher compared to the three and nine months ended September 30, 2024, primarily reflecting higher index credits and interest credited on indexed annuities and other policies as a result of market movement during the respective periods and higher interest credited associated with the growth in PRT agreements.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Benefit (gains) losses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market risk benefit losses: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460" w:type="dxa"/>
            <w:vAlign w:val="bottom"/>
            <w:gridSpan w:val="4"/>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5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2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risk benefit (gains) losses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640" w:hanging="316"/>
        <w:spacing w:after="0" w:line="259" w:lineRule="auto"/>
        <w:tabs>
          <w:tab w:leader="none" w:pos="63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Market risk benefit (gains) losses are primarily driven by issuances, attributed fees collected, effects of market related movements (including changes in equity markets and risk-free rates), actual policyholder behavior as compared with expected changes in assumptions during the periods. Market risk benefit losses are reported net of reinsurance, reflecting an amended reinsurance agreement effective July 1, 2024.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0" w:hanging="316"/>
        <w:spacing w:after="0" w:line="255" w:lineRule="auto"/>
        <w:tabs>
          <w:tab w:leader="none" w:pos="63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Changes in market risk benefit (gains) losses for the three months ended September 30, 2025, compared to the three months ended September 30, 2024, primarily reflect favorable market related movements. Changes in market risk benefit losses for the nine months ended September 30, 2025, compared to the nine months ended September 30, 2024, primarily reflect unfavorable market related movements and unfavorable actual policyholder behavior as compared to expected.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depreciation and amortization: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720" w:type="dxa"/>
            <w:vAlign w:val="bottom"/>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20" w:type="dxa"/>
            <w:vAlign w:val="bottom"/>
            <w:gridSpan w:val="4"/>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4820" w:type="dxa"/>
            <w:vAlign w:val="bottom"/>
          </w:tcPr>
          <w:p>
            <w:pPr>
              <w:spacing w:after="0"/>
              <w:rPr>
                <w:sz w:val="16"/>
                <w:szCs w:val="16"/>
                <w:color w:val="auto"/>
              </w:rPr>
            </w:pPr>
          </w:p>
        </w:tc>
        <w:tc>
          <w:tcPr>
            <w:tcW w:w="10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DAC, VOBA and DSI</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r>
      <w:tr>
        <w:trPr>
          <w:trHeight w:val="192"/>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other intangible assets and fixed asset depreciation</w:t>
            </w:r>
          </w:p>
        </w:tc>
        <w:tc>
          <w:tcPr>
            <w:tcW w:w="10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24"/>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640" w:hanging="316"/>
        <w:spacing w:after="0" w:line="251" w:lineRule="auto"/>
        <w:tabs>
          <w:tab w:leader="none" w:pos="63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DAC, VOBA, and DSI are amortized on a constant level basis for the grouped contracts over the expected term of the related contracts to approximate straight-line amortization. Depreciation and amortization increased for the three and nine months ended September 30, 2025, compared to the three and nine months ended September 30, 2024, primarily reflecting increased DAC and DSI associated with the growth of the business. In addition, as a result of our annual actuarial assumption update process, amortization rates on some DAC and DSI balances increased primarily for indexed annuities. Amortization of VOBA also increased approximately $15 million for the nine months ended September 30, 2024, reflecting other actuarial model updates and refinements.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Personnel Costs and Other Operating Expenses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personnel costs and other operating expenses: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260" w:type="dxa"/>
            <w:vAlign w:val="bottom"/>
          </w:tcPr>
          <w:p>
            <w:pPr>
              <w:spacing w:after="0"/>
              <w:rPr>
                <w:sz w:val="16"/>
                <w:szCs w:val="16"/>
                <w:color w:val="auto"/>
              </w:rPr>
            </w:pPr>
          </w:p>
        </w:tc>
        <w:tc>
          <w:tcPr>
            <w:tcW w:w="1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Personnel costs</w:t>
            </w: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92"/>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0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24"/>
        </w:trPr>
        <w:tc>
          <w:tcPr>
            <w:tcW w:w="5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personnel costs and other operating expenses</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both"/>
        <w:ind w:left="640" w:hanging="316"/>
        <w:spacing w:after="0" w:line="255" w:lineRule="auto"/>
        <w:tabs>
          <w:tab w:leader="none" w:pos="63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Personnel costs and other operating expenses were lower for the three and nine months ended September 30, 2025, compared to the three and nine months ended September 30, 2024, respectively, primarily reflecting costs in line with sales volumes and growth in assets, disciplined expense management, including one-time management actions taken in the second quarter, and one-time transaction costs in the third quarter, along with continued investments in our operating platform.</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11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5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investment portfolio is designed to contribute stable earnings, excluding short term mark to market effects, and balance risk across diverse asset classes and is primarily invested in high quality fixed income securities.</w:t>
      </w:r>
    </w:p>
    <w:p>
      <w:pPr>
        <w:spacing w:after="0" w:line="5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As of September 30, 2025 and December 31, 2024, the fair value of our investment portfolio was approximately $67 billion and $60 billion, respectively, and was divided among the following asset classes and sectors:</w:t>
      </w: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2440" w:type="dxa"/>
            <w:vAlign w:val="bottom"/>
            <w:gridSpan w:val="3"/>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9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United States Government sponsored entities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Governments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Corporate securities: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9,116</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8,611</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5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2,971</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Wholesale/retail trade</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1"/>
        </w:trPr>
        <w:tc>
          <w:tcPr>
            <w:tcW w:w="5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4,913</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4,547</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Hybrid securities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2,784</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Commercial mortgage-backed securities (a)</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1"/>
        </w:trPr>
        <w:tc>
          <w:tcPr>
            <w:tcW w:w="5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Asset-backed securities ("ABS") (a)</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7,476</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10,270</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Collateral loan obligations and loan backed-private obligations ("CLO") (a)</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10,783</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5"/>
        </w:trPr>
        <w:tc>
          <w:tcPr>
            <w:tcW w:w="5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51,601</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46,317</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 (b)</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Private equity</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1"/>
        </w:trPr>
        <w:tc>
          <w:tcPr>
            <w:tcW w:w="5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 assets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Credit</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5"/>
        </w:trPr>
        <w:tc>
          <w:tcPr>
            <w:tcW w:w="59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Limited partnerships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4"/>
        </w:trPr>
        <w:tc>
          <w:tcPr>
            <w:tcW w:w="59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Other (primarily derivatives, company owned life insurance and unconsolidated owned distribution</w:t>
            </w: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1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1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5"/>
        </w:trPr>
        <w:tc>
          <w:tcPr>
            <w:tcW w:w="5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66,938</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59,503</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ind w:left="220" w:hanging="196"/>
        <w:spacing w:after="0"/>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at September 30, 2025 reflect classifications consistent with the NAIC Principles Based Bond Definition Project effective January 1, 2025.</w:t>
      </w:r>
    </w:p>
    <w:p>
      <w:pPr>
        <w:spacing w:after="0" w:line="28" w:lineRule="exact"/>
        <w:rPr>
          <w:rFonts w:ascii="Times New Roman" w:cs="Times New Roman" w:eastAsia="Times New Roman" w:hAnsi="Times New Roman"/>
          <w:sz w:val="14"/>
          <w:szCs w:val="14"/>
          <w:color w:val="auto"/>
        </w:rPr>
      </w:pPr>
    </w:p>
    <w:p>
      <w:pPr>
        <w:ind w:left="220" w:hanging="196"/>
        <w:spacing w:after="0"/>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investment grade non-redeemable preferred stocks ($204 million and $222 million as of September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-213360</wp:posOffset>
            </wp:positionV>
            <wp:extent cx="33909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90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 primarily high-grade fixed-income assets across a wide range of sectors, including Corporate securities, U.S. Government and government-sponsored agency securities, and Structured securities, among others.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assigning a NAIC designation or unit price. Typically, if a security has been rated by a nationally recognized statistical rating organization ("NRSRO"), the SVO utilizes that rating and assigns a NAIC designation based upon the NAIC published comparison of NRSRO ratings to NAIC designations.</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NAIC determines ratings for non-agency residential mortgage backed securities (“RMBS”) and commercial mortgage backed securities using modeling that estimates security level expected losses under a variety of economic scenarios. For such assets issued prior to January 1, 2013, an insurer’s amortized cost basis in applicable assets can impact the assigned rating. In the tables below, we present the rating of structured securities based on ratings from the NAIC rating methodologies described above (which in some cases do not correspond to rating agency designations). All NAIC designations (e.g., NAIC 1-6) are based on the NAIC methodologies.</w:t>
      </w:r>
    </w:p>
    <w:p>
      <w:pPr>
        <w:spacing w:after="0" w:line="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fixed income portfolio as of September 30, 2025 and December 31, 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1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780" w:type="dxa"/>
            <w:vAlign w:val="bottom"/>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Fair Value Percent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Fair Value Percent</w:t>
            </w:r>
          </w:p>
        </w:tc>
        <w:tc>
          <w:tcPr>
            <w:tcW w:w="0" w:type="dxa"/>
            <w:vAlign w:val="bottom"/>
          </w:tcPr>
          <w:p>
            <w:pPr>
              <w:spacing w:after="0"/>
              <w:rPr>
                <w:sz w:val="1"/>
                <w:szCs w:val="1"/>
                <w:color w:val="auto"/>
              </w:rPr>
            </w:pPr>
          </w:p>
        </w:tc>
      </w:tr>
      <w:tr>
        <w:trPr>
          <w:trHeight w:val="186"/>
        </w:trPr>
        <w:tc>
          <w:tcPr>
            <w:tcW w:w="17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AAA/AA/A</w:t>
            </w:r>
          </w:p>
        </w:tc>
        <w:tc>
          <w:tcPr>
            <w:tcW w:w="16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34,104</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32,582</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31,258</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29,174</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16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17,379</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16,680</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16,254</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15,082</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16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16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CCC</w:t>
            </w:r>
          </w:p>
        </w:tc>
        <w:tc>
          <w:tcPr>
            <w:tcW w:w="16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CC and lower</w:t>
            </w:r>
          </w:p>
        </w:tc>
        <w:tc>
          <w:tcPr>
            <w:tcW w:w="16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14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17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54,005</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49,729</w:t>
            </w:r>
          </w:p>
        </w:tc>
        <w:tc>
          <w:tcPr>
            <w:tcW w:w="2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Concentrations</w:t>
      </w:r>
    </w:p>
    <w:p>
      <w:pPr>
        <w:spacing w:after="0" w:line="8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tables below present the top ten structured security and industry categories of our fixed maturity and equity securities including the fair value and percent of total fixed maturity and equity securities fair value as of September 30, 2025 and December 31, 2024.</w:t>
      </w:r>
    </w:p>
    <w:p>
      <w:pPr>
        <w:spacing w:after="0" w:line="38"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3"/>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Top 10 Concentrations</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8"/>
              </w:rPr>
              <w:t>Fair Value (In</w:t>
            </w:r>
          </w:p>
        </w:tc>
        <w:tc>
          <w:tcPr>
            <w:tcW w:w="1400" w:type="dxa"/>
            <w:vAlign w:val="bottom"/>
          </w:tcPr>
          <w:p>
            <w:pPr>
              <w:jc w:val="right"/>
              <w:ind w:right="9"/>
              <w:spacing w:after="0" w:line="128" w:lineRule="exact"/>
              <w:rPr>
                <w:sz w:val="20"/>
                <w:szCs w:val="20"/>
                <w:color w:val="auto"/>
              </w:rPr>
            </w:pPr>
            <w:r>
              <w:rPr>
                <w:rFonts w:ascii="Times New Roman" w:cs="Times New Roman" w:eastAsia="Times New Roman" w:hAnsi="Times New Roman"/>
                <w:sz w:val="14"/>
                <w:szCs w:val="14"/>
                <w:b w:val="1"/>
                <w:bCs w:val="1"/>
                <w:color w:val="auto"/>
              </w:rPr>
              <w:t>Percent of Total Fair</w:t>
            </w:r>
          </w:p>
        </w:tc>
        <w:tc>
          <w:tcPr>
            <w:tcW w:w="0" w:type="dxa"/>
            <w:vAlign w:val="bottom"/>
          </w:tcPr>
          <w:p>
            <w:pPr>
              <w:spacing w:after="0"/>
              <w:rPr>
                <w:sz w:val="1"/>
                <w:szCs w:val="1"/>
                <w:color w:val="auto"/>
              </w:rPr>
            </w:pPr>
          </w:p>
        </w:tc>
      </w:tr>
      <w:tr>
        <w:trPr>
          <w:trHeight w:val="191"/>
        </w:trPr>
        <w:tc>
          <w:tcPr>
            <w:tcW w:w="8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40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CLO (a)</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10,782</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ABS (a)</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7,476</w:t>
            </w:r>
          </w:p>
        </w:tc>
        <w:tc>
          <w:tcPr>
            <w:tcW w:w="10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6"/>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backed securities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10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6"/>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Whole loan collateralized mortgage obligation</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Banking</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6"/>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Municipal</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Pipelines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4"/>
        </w:trPr>
        <w:tc>
          <w:tcPr>
            <w:tcW w:w="8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38,118</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ind w:left="640" w:hanging="634"/>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at September 30, 2025, reflect classifications consistent with the NAIC Principles Based Bond Definition Project effective January 1,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3"/>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8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Top 10 Concentrations</w:t>
            </w:r>
          </w:p>
        </w:tc>
        <w:tc>
          <w:tcPr>
            <w:tcW w:w="220" w:type="dxa"/>
            <w:vAlign w:val="bottom"/>
          </w:tcPr>
          <w:p>
            <w:pPr>
              <w:spacing w:after="0"/>
              <w:rPr>
                <w:sz w:val="10"/>
                <w:szCs w:val="10"/>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20" w:type="dxa"/>
            <w:vAlign w:val="bottom"/>
          </w:tcPr>
          <w:p>
            <w:pPr>
              <w:jc w:val="right"/>
              <w:ind w:right="9"/>
              <w:spacing w:after="0" w:line="126" w:lineRule="exact"/>
              <w:rPr>
                <w:sz w:val="20"/>
                <w:szCs w:val="20"/>
                <w:color w:val="auto"/>
              </w:rPr>
            </w:pPr>
            <w:r>
              <w:rPr>
                <w:rFonts w:ascii="Times New Roman" w:cs="Times New Roman" w:eastAsia="Times New Roman" w:hAnsi="Times New Roman"/>
                <w:sz w:val="14"/>
                <w:szCs w:val="14"/>
                <w:b w:val="1"/>
                <w:bCs w:val="1"/>
                <w:color w:val="auto"/>
              </w:rPr>
              <w:t>Percent of Total Fair</w:t>
            </w:r>
          </w:p>
        </w:tc>
        <w:tc>
          <w:tcPr>
            <w:tcW w:w="0" w:type="dxa"/>
            <w:vAlign w:val="bottom"/>
          </w:tcPr>
          <w:p>
            <w:pPr>
              <w:spacing w:after="0"/>
              <w:rPr>
                <w:sz w:val="1"/>
                <w:szCs w:val="1"/>
                <w:color w:val="auto"/>
              </w:rPr>
            </w:pPr>
          </w:p>
        </w:tc>
      </w:tr>
      <w:tr>
        <w:trPr>
          <w:trHeight w:val="192"/>
        </w:trPr>
        <w:tc>
          <w:tcPr>
            <w:tcW w:w="8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2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8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10,270</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91"/>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CLO</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6"/>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1"/>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4,271</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6"/>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Whole loan collateralized mortgage obligation</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Banking</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6"/>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Municipal</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Pharmaceuticals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4"/>
        </w:trPr>
        <w:tc>
          <w:tcPr>
            <w:tcW w:w="8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34,765</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The amortized cost and fair value of fixed maturity AFS securities by contractual maturities as of September 30, 2025 are shown below. Actual maturities may differ from contractual maturities because issuers may have the right to call or prepay obligations.</w:t>
      </w:r>
    </w:p>
    <w:tbl>
      <w:tblPr>
        <w:tblLayout w:type="fixed"/>
        <w:tblInd w:w="46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4"/>
        </w:trPr>
        <w:tc>
          <w:tcPr>
            <w:tcW w:w="7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7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r>
      <w:tr>
        <w:trPr>
          <w:trHeight w:val="192"/>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Non-structured Hybrids, Municipal and Government securities:</w:t>
            </w:r>
          </w:p>
        </w:tc>
        <w:tc>
          <w:tcPr>
            <w:tcW w:w="1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r>
      <w:tr>
        <w:trPr>
          <w:trHeight w:val="205"/>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in one year or less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537</w:t>
            </w:r>
          </w:p>
        </w:tc>
      </w:tr>
      <w:tr>
        <w:trPr>
          <w:trHeight w:val="191"/>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4,140</w:t>
            </w:r>
          </w:p>
        </w:tc>
      </w:tr>
      <w:tr>
        <w:trPr>
          <w:trHeight w:val="20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5,161</w:t>
            </w:r>
          </w:p>
        </w:tc>
      </w:tr>
      <w:tr>
        <w:trPr>
          <w:trHeight w:val="192"/>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17,412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15,198</w:t>
            </w:r>
          </w:p>
        </w:tc>
      </w:tr>
      <w:tr>
        <w:trPr>
          <w:trHeight w:val="19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Subtotal</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25,036</w:t>
            </w:r>
          </w:p>
        </w:tc>
      </w:tr>
      <w:tr>
        <w:trPr>
          <w:trHeight w:val="192"/>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securities, which provide for periodic payments: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5"/>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18,259</w:t>
            </w:r>
          </w:p>
        </w:tc>
      </w:tr>
      <w:tr>
        <w:trPr>
          <w:trHeight w:val="191"/>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Commercial-mortgage-backed securities</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5,342</w:t>
            </w:r>
          </w:p>
        </w:tc>
      </w:tr>
      <w:tr>
        <w:trPr>
          <w:trHeight w:val="20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2,964</w:t>
            </w:r>
          </w:p>
        </w:tc>
      </w:tr>
      <w:tr>
        <w:trPr>
          <w:trHeight w:val="185"/>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Subtotal</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26,788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26,565</w:t>
            </w:r>
          </w:p>
        </w:tc>
      </w:tr>
      <w:tr>
        <w:trPr>
          <w:trHeight w:val="224"/>
        </w:trPr>
        <w:tc>
          <w:tcPr>
            <w:tcW w:w="7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fixed maturity available-for-sale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51,601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Non-Agency RMBS Exposure</w:t>
      </w:r>
    </w:p>
    <w:p>
      <w:pPr>
        <w:spacing w:after="0" w:line="1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our investments in subprime securities and Alt-A RMBS securities were $3 million and $42 million as of September 30, 2025, respectively, and $29 million and $44 million as of December 31, 2024, respectively. As of September 30, 2025 and December 31, 2024, approximately 96% and 93%, respectively, of the subprime and Alt-A RMBS exposures were rated NAIC 2 or higher.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and CLO Exposures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ABS exposures are largely diversified by underlying collateral and issuer type. Our CLO exposures are generally senior tranches of CLOs, which have leveraged loans as their underlying collateral.</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2025, the CLO and ABS positions were trading at a net unrealized gain of $69 million and a net unrealized loss of $130 million, respectively. As of December 31, 2024, the CLO and ABS positions were trading at a net unrealized gain of $92 million and a net unrealized loss of $207 million, respectively.</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AFS ABS portfolio as of September 30, 2025 and December 31, 2024. Balances as of September 30, 2025 reflect classifications consistent with the NAIC Principles Based Bond Definition Project effective January 1, 2025.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3"/>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19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185"/>
        </w:trPr>
        <w:tc>
          <w:tcPr>
            <w:tcW w:w="19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tcBorders>
              <w:top w:val="single" w:sz="8" w:color="auto"/>
              <w:bottom w:val="single" w:sz="8" w:color="auto"/>
            </w:tcBorders>
            <w:gridSpan w:val="2"/>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2"/>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402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20" w:type="dxa"/>
            <w:vAlign w:val="bottom"/>
          </w:tcPr>
          <w:p>
            <w:pPr>
              <w:spacing w:after="0"/>
              <w:rPr>
                <w:sz w:val="16"/>
                <w:szCs w:val="16"/>
                <w:color w:val="auto"/>
              </w:rPr>
            </w:pPr>
          </w:p>
        </w:tc>
      </w:tr>
      <w:tr>
        <w:trPr>
          <w:trHeight w:val="205"/>
        </w:trPr>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AAA/AA/A</w:t>
            </w:r>
          </w:p>
        </w:tc>
        <w:tc>
          <w:tcPr>
            <w:tcW w:w="40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191"/>
        </w:trPr>
        <w:tc>
          <w:tcPr>
            <w:tcW w:w="1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BBB</w:t>
            </w:r>
          </w:p>
        </w:tc>
        <w:tc>
          <w:tcPr>
            <w:tcW w:w="40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w:t>
            </w:r>
          </w:p>
        </w:tc>
      </w:tr>
      <w:tr>
        <w:trPr>
          <w:trHeight w:val="206"/>
        </w:trPr>
        <w:tc>
          <w:tcPr>
            <w:tcW w:w="1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BB</w:t>
            </w:r>
          </w:p>
        </w:tc>
        <w:tc>
          <w:tcPr>
            <w:tcW w:w="40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r>
      <w:tr>
        <w:trPr>
          <w:trHeight w:val="191"/>
        </w:trPr>
        <w:tc>
          <w:tcPr>
            <w:tcW w:w="1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40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r>
      <w:tr>
        <w:trPr>
          <w:trHeight w:val="206"/>
        </w:trPr>
        <w:tc>
          <w:tcPr>
            <w:tcW w:w="1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CCC</w:t>
            </w:r>
          </w:p>
        </w:tc>
        <w:tc>
          <w:tcPr>
            <w:tcW w:w="40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1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CC and lower</w:t>
            </w:r>
          </w:p>
        </w:tc>
        <w:tc>
          <w:tcPr>
            <w:tcW w:w="40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7,476</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10,270</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AFS CLO portfolio as of September 30, 2025 and December 31, 2024. Balances as of September 30, 2025 reflect classifications consistent with the NAIC Principles Based Bond Definition Project effective January 1, 2025.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3"/>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20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179"/>
        </w:trPr>
        <w:tc>
          <w:tcPr>
            <w:tcW w:w="20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top w:val="single" w:sz="8" w:color="auto"/>
            </w:tcBorders>
            <w:gridSpan w:val="2"/>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87"/>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416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40" w:type="dxa"/>
            <w:vAlign w:val="bottom"/>
          </w:tcPr>
          <w:p>
            <w:pPr>
              <w:spacing w:after="0"/>
              <w:rPr>
                <w:sz w:val="16"/>
                <w:szCs w:val="16"/>
                <w:color w:val="auto"/>
              </w:rPr>
            </w:pPr>
          </w:p>
        </w:tc>
      </w:tr>
      <w:tr>
        <w:trPr>
          <w:trHeight w:val="24"/>
        </w:trPr>
        <w:tc>
          <w:tcPr>
            <w:tcW w:w="20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9"/>
        </w:trPr>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AAA/AA/A</w:t>
            </w:r>
          </w:p>
        </w:tc>
        <w:tc>
          <w:tcPr>
            <w:tcW w:w="41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7,912</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63%</w:t>
            </w:r>
          </w:p>
        </w:tc>
      </w:tr>
      <w:tr>
        <w:trPr>
          <w:trHeight w:val="191"/>
        </w:trPr>
        <w:tc>
          <w:tcPr>
            <w:tcW w:w="2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BBB</w:t>
            </w:r>
          </w:p>
        </w:tc>
        <w:tc>
          <w:tcPr>
            <w:tcW w:w="416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8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r>
      <w:tr>
        <w:trPr>
          <w:trHeight w:val="206"/>
        </w:trPr>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BB</w:t>
            </w:r>
          </w:p>
        </w:tc>
        <w:tc>
          <w:tcPr>
            <w:tcW w:w="41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r>
      <w:tr>
        <w:trPr>
          <w:trHeight w:val="191"/>
        </w:trPr>
        <w:tc>
          <w:tcPr>
            <w:tcW w:w="2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416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CCC</w:t>
            </w:r>
          </w:p>
        </w:tc>
        <w:tc>
          <w:tcPr>
            <w:tcW w:w="41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2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CC and lower</w:t>
            </w:r>
          </w:p>
        </w:tc>
        <w:tc>
          <w:tcPr>
            <w:tcW w:w="416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r>
      <w:tr>
        <w:trPr>
          <w:trHeight w:val="224"/>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10,783</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Bond Exposure</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municipal bond exposure as of September 30, 2025 and December 31, 2024.</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6"/>
                <w:szCs w:val="16"/>
                <w:color w:val="auto"/>
              </w:rPr>
            </w:pPr>
          </w:p>
        </w:tc>
        <w:tc>
          <w:tcPr>
            <w:tcW w:w="2700" w:type="dxa"/>
            <w:vAlign w:val="bottom"/>
            <w:gridSpan w:val="4"/>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6"/>
        </w:trPr>
        <w:tc>
          <w:tcPr>
            <w:tcW w:w="53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obligation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24"/>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revenue bonds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1,309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r>
      <w:tr>
        <w:trPr>
          <w:trHeight w:val="192"/>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Certificate participations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24"/>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1,575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1,592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Across all municipal bonds, the largest issuer represented 4% and 5% respectively, of the category and less than 1% of the total portfolio for both September 30, 2025 and December 31, 2024, and is rated NAIC 1 as of September 30, 2025. Our focus within municipal bonds is on NAIC 1 rated instruments, with 98% and 97% respectively, of our municipal bond exposure rated NAIC 1 as of September 30, 2025 and December 31,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Commercial Mortgage Loans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diversify our commercial mortgage loans ("CMLs") portfolio by geographic region and property type to attempt to reduce concentration risk. We continuously evaluate CMLs based on relevant current information to ensure properties are performing at a level to secure the related debt. Loan-to value ("LTV") and debt-service coverage ("DSC") ratios are utilized to assess the risk and quality of CMLs. As of September 30, 2025 and December 31, 2024, our mortgage loans on real estate portfolio had a weighted average DSC ratio of 2.2 times and 2.3 times, respectively, and a weighted average LTV ratio of 57% for both periods.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We consider a CML delinquent when a loan payment is greater than 30 days past due. For mortgage loans that are determined to require foreclosure, the carrying value is reduced to the fair value of the underlying collateral, net of estimated costs to obtain and sell at the point of foreclosure. As of September 30, 2025 and December 31, 2024, we had one CML that was delinquent in principal or interest payments. We had no CMLs in the process of foreclosure as of September 30, 2025 and December 31, 2024. See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this report for additional information on our CMLs, including our distribution by property type, geographic region, LTV, and DSC ratios.</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Residential Mortgage Loans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F&amp;G's residential mortgage loans ("RMLs") are primarily closed end, amortizing loans, and 100% of the properties are in the United States. F&amp;G diversifies its RML portfolio by state to attempt to reduce concentration risk. RMLs have a primary credit quality indicator of either a performing or non-performing loan. F&amp;G defines non-performing RMLs as those that are 90 or more days past due and/or in non-accrual status.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Loans are placed on non-accrual status when they are over 90 days delinquent. If a loan becomes over 90 days delinquent, it is our general policy to initiate foreclosure proceedings unless a workout arrangement to bring the loan current can be put in place. See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this Quarterly Report on Form 10-Q for additional information on our RMLs.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Losses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and fair value of the fixed maturity securities and the equity securities that were in an unrealized loss position as of September 30,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December 31, 2024,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40" w:type="dxa"/>
            <w:vAlign w:val="bottom"/>
          </w:tcPr>
          <w:p>
            <w:pPr>
              <w:spacing w:after="0"/>
              <w:rPr>
                <w:sz w:val="10"/>
                <w:szCs w:val="10"/>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60" w:type="dxa"/>
            <w:vAlign w:val="bottom"/>
          </w:tcPr>
          <w:p>
            <w:pPr>
              <w:spacing w:after="0"/>
              <w:rPr>
                <w:sz w:val="10"/>
                <w:szCs w:val="10"/>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1200" w:type="dxa"/>
            <w:vAlign w:val="bottom"/>
            <w:gridSpan w:val="3"/>
          </w:tcPr>
          <w:p>
            <w:pPr>
              <w:jc w:val="right"/>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91"/>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Government sponsored agencies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0" w:type="dxa"/>
            <w:vAlign w:val="bottom"/>
          </w:tcPr>
          <w:p>
            <w:pPr>
              <w:spacing w:after="0"/>
              <w:rPr>
                <w:sz w:val="1"/>
                <w:szCs w:val="1"/>
                <w:color w:val="auto"/>
              </w:rPr>
            </w:pPr>
          </w:p>
        </w:tc>
      </w:tr>
      <w:tr>
        <w:trPr>
          <w:trHeight w:val="191"/>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Governments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3,996</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0" w:type="dxa"/>
            <w:vAlign w:val="bottom"/>
          </w:tcPr>
          <w:p>
            <w:pPr>
              <w:spacing w:after="0"/>
              <w:rPr>
                <w:sz w:val="1"/>
                <w:szCs w:val="1"/>
                <w:color w:val="auto"/>
              </w:rPr>
            </w:pPr>
          </w:p>
        </w:tc>
      </w:tr>
      <w:tr>
        <w:trPr>
          <w:trHeight w:val="191"/>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Wholesale/retail trade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0" w:type="dxa"/>
            <w:vAlign w:val="bottom"/>
          </w:tcPr>
          <w:p>
            <w:pPr>
              <w:spacing w:after="0"/>
              <w:rPr>
                <w:sz w:val="1"/>
                <w:szCs w:val="1"/>
                <w:color w:val="auto"/>
              </w:rPr>
            </w:pPr>
          </w:p>
        </w:tc>
      </w:tr>
      <w:tr>
        <w:trPr>
          <w:trHeight w:val="191"/>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2,996</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9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0" w:type="dxa"/>
            <w:vAlign w:val="bottom"/>
          </w:tcPr>
          <w:p>
            <w:pPr>
              <w:spacing w:after="0"/>
              <w:rPr>
                <w:sz w:val="1"/>
                <w:szCs w:val="1"/>
                <w:color w:val="auto"/>
              </w:rPr>
            </w:pPr>
          </w:p>
        </w:tc>
      </w:tr>
      <w:tr>
        <w:trPr>
          <w:trHeight w:val="192"/>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4,004</w:t>
            </w:r>
          </w:p>
        </w:tc>
        <w:tc>
          <w:tcPr>
            <w:tcW w:w="0" w:type="dxa"/>
            <w:vAlign w:val="bottom"/>
          </w:tcPr>
          <w:p>
            <w:pPr>
              <w:spacing w:after="0"/>
              <w:rPr>
                <w:sz w:val="1"/>
                <w:szCs w:val="1"/>
                <w:color w:val="auto"/>
              </w:rPr>
            </w:pPr>
          </w:p>
        </w:tc>
      </w:tr>
      <w:tr>
        <w:trPr>
          <w:trHeight w:val="199"/>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20,031</w:t>
            </w:r>
          </w:p>
        </w:tc>
        <w:tc>
          <w:tcPr>
            <w:tcW w:w="0" w:type="dxa"/>
            <w:vAlign w:val="bottom"/>
          </w:tcPr>
          <w:p>
            <w:pPr>
              <w:spacing w:after="0"/>
              <w:rPr>
                <w:sz w:val="1"/>
                <w:szCs w:val="1"/>
                <w:color w:val="auto"/>
              </w:rPr>
            </w:pPr>
          </w:p>
        </w:tc>
      </w:tr>
      <w:tr>
        <w:trPr>
          <w:trHeight w:val="192"/>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224"/>
        </w:trPr>
        <w:tc>
          <w:tcPr>
            <w:tcW w:w="5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40" w:type="dxa"/>
            <w:vAlign w:val="bottom"/>
          </w:tcPr>
          <w:p>
            <w:pPr>
              <w:spacing w:after="0"/>
              <w:rPr>
                <w:sz w:val="10"/>
                <w:szCs w:val="10"/>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60" w:type="dxa"/>
            <w:vAlign w:val="bottom"/>
          </w:tcPr>
          <w:p>
            <w:pPr>
              <w:spacing w:after="0"/>
              <w:rPr>
                <w:sz w:val="10"/>
                <w:szCs w:val="10"/>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1200" w:type="dxa"/>
            <w:vAlign w:val="bottom"/>
            <w:gridSpan w:val="3"/>
          </w:tcPr>
          <w:p>
            <w:pPr>
              <w:jc w:val="right"/>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3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0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Government sponsored agencies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1"/>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Governments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9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5,868</w:t>
            </w:r>
          </w:p>
        </w:tc>
        <w:tc>
          <w:tcPr>
            <w:tcW w:w="0" w:type="dxa"/>
            <w:vAlign w:val="bottom"/>
          </w:tcPr>
          <w:p>
            <w:pPr>
              <w:spacing w:after="0"/>
              <w:rPr>
                <w:sz w:val="1"/>
                <w:szCs w:val="1"/>
                <w:color w:val="auto"/>
              </w:rPr>
            </w:pPr>
          </w:p>
        </w:tc>
      </w:tr>
      <w:tr>
        <w:trPr>
          <w:trHeight w:val="191"/>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0" w:type="dxa"/>
            <w:vAlign w:val="bottom"/>
          </w:tcPr>
          <w:p>
            <w:pPr>
              <w:spacing w:after="0"/>
              <w:rPr>
                <w:sz w:val="1"/>
                <w:szCs w:val="1"/>
                <w:color w:val="auto"/>
              </w:rPr>
            </w:pPr>
          </w:p>
        </w:tc>
      </w:tr>
      <w:tr>
        <w:trPr>
          <w:trHeight w:val="191"/>
        </w:trPr>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Wholesale/retail trade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3,805</w:t>
            </w:r>
          </w:p>
        </w:tc>
        <w:tc>
          <w:tcPr>
            <w:tcW w:w="0" w:type="dxa"/>
            <w:vAlign w:val="bottom"/>
          </w:tcPr>
          <w:p>
            <w:pPr>
              <w:spacing w:after="0"/>
              <w:rPr>
                <w:sz w:val="1"/>
                <w:szCs w:val="1"/>
                <w:color w:val="auto"/>
              </w:rPr>
            </w:pPr>
          </w:p>
        </w:tc>
      </w:tr>
      <w:tr>
        <w:trPr>
          <w:trHeight w:val="19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0" w:type="dxa"/>
            <w:vAlign w:val="bottom"/>
          </w:tcPr>
          <w:p>
            <w:pPr>
              <w:spacing w:after="0"/>
              <w:rPr>
                <w:sz w:val="1"/>
                <w:szCs w:val="1"/>
                <w:color w:val="auto"/>
              </w:rPr>
            </w:pPr>
          </w:p>
        </w:tc>
      </w:tr>
      <w:tr>
        <w:trPr>
          <w:trHeight w:val="19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w:t>
            </w:r>
          </w:p>
        </w:tc>
        <w:tc>
          <w:tcPr>
            <w:tcW w:w="0" w:type="dxa"/>
            <w:vAlign w:val="bottom"/>
          </w:tcPr>
          <w:p>
            <w:pPr>
              <w:spacing w:after="0"/>
              <w:rPr>
                <w:sz w:val="1"/>
                <w:szCs w:val="1"/>
                <w:color w:val="auto"/>
              </w:rPr>
            </w:pPr>
          </w:p>
        </w:tc>
      </w:tr>
      <w:tr>
        <w:trPr>
          <w:trHeight w:val="185"/>
        </w:trPr>
        <w:tc>
          <w:tcPr>
            <w:tcW w:w="5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25,240</w:t>
            </w:r>
          </w:p>
        </w:tc>
        <w:tc>
          <w:tcPr>
            <w:tcW w:w="0" w:type="dxa"/>
            <w:vAlign w:val="bottom"/>
          </w:tcPr>
          <w:p>
            <w:pPr>
              <w:spacing w:after="0"/>
              <w:rPr>
                <w:sz w:val="1"/>
                <w:szCs w:val="1"/>
                <w:color w:val="auto"/>
              </w:rPr>
            </w:pPr>
          </w:p>
        </w:tc>
      </w:tr>
      <w:tr>
        <w:trPr>
          <w:trHeight w:val="20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92"/>
        </w:trPr>
        <w:tc>
          <w:tcPr>
            <w:tcW w:w="5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29,405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gross unrealized loss position on the fixed maturity available-for-sale fixed and equity portfolio was $3,063 million and $3,837 million as of September 30, 2025 and December 31, 2024, respectively. Most components of the portfolio exhibited price appreciation caused primarily by lower treasury rates. The total amortized cost of all securities in an unrealized loss position was $23,390 million and $29,405 million as of September 30, 2025 and December 31, 2024, respectively. The average market value/book value of the investment category with the largest unrealized loss position was 80% and 81% for services, media and other for September 30, 2025 and December 31, 2024, respectively. In the aggregate, services, media and other represented 24% and 23% of the total unrealized loss position for September 30, 2025 and December 31, 2024, respectively.</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amortized cost and fair value of fixed maturity available for sale securities under watch list analysis and the number of months in a loss position with investment grade securities (NRSRO rating of BBB/Baa or higher) as of September 30, 2025 and December 31, 2024 were as follows:</w:t>
      </w:r>
    </w:p>
    <w:tbl>
      <w:tblPr>
        <w:tblLayout w:type="fixed"/>
        <w:tblInd w:w="6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12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1"/>
                <w:szCs w:val="11"/>
                <w:color w:val="auto"/>
              </w:rPr>
            </w:pPr>
          </w:p>
        </w:tc>
        <w:tc>
          <w:tcPr>
            <w:tcW w:w="10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12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2"/>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grade: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85"/>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investment grade</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left="6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86"/>
        </w:trPr>
        <w:tc>
          <w:tcPr>
            <w:tcW w:w="50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Below investment grade: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5"/>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24"/>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12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1"/>
                <w:szCs w:val="11"/>
                <w:color w:val="auto"/>
              </w:rPr>
            </w:pPr>
          </w:p>
        </w:tc>
        <w:tc>
          <w:tcPr>
            <w:tcW w:w="10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12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2"/>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grade: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185"/>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investment grade</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left="6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185"/>
        </w:trPr>
        <w:tc>
          <w:tcPr>
            <w:tcW w:w="50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Below investment grade: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5"/>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left="6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24"/>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and Watch List</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watch list excludes structured securities as we have separate processes to evaluate the credit quality on the structured securities.</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78 and 45 structured securities with a fair value of $156 million and $146 million to which we had potential credit exposure as of September 30, 2025 and December 31, 2024, respectively. Our analysis of these structured securities, which included cash flow testing, resulted in allowances for expected credit losses of $77 million and $62 million as of September 30, 2025 and December 31,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to Sovereign Debt and Certain Other Exposures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investment portfolio had an immaterial amount of direct exposure to European sovereign debt as of September 30, 2025 and December 31, 2024, respectively. We have no exposure to investments in Russia or Ukraine and de minimis investments in peripheral countries in the region.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1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For discussion regarding our interest and investment income and recognized gains and (losses), net refer to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AFS Securities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For additional information regarding our AFS securities, including the amortized cost, gross unrealized gains (losses), and fair value as well as the amortized cost and fair value of fixed maturity AFS securities by contractual maturities, as of September 30, 2025 and December 31, 2024, refer to Note D </w:t>
      </w: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to the unaudited Condensed Consolidated Financial Statements included in Item 1 of Part I of this Quarterly Report on Form 10-Q.</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Financial Instruments</w:t>
      </w:r>
    </w:p>
    <w:p>
      <w:pPr>
        <w:spacing w:after="0" w:line="11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For certain information regarding our concentrations of financial instruments, refer to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exposed to credit loss in the event of non-performance by our counterparties on derivative instruments. We attempt to reduce this credit risk by purchasing such derivative instruments from large, well-established financial institutions.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also hold cash and cash equivalents received from counterparties for derivative instrument collateral, as well as U.S. Government securities pledged as derivative instrument collateral, if our counterparty’s net exposures exceed pre-determined thresholds.</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required to pay counterparties the effective federal funds rate each day for cash collateral posted to F&amp;G for daily mark to market margin changes. We reduce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accompanying unaudited Condensed Consolidated Balance Sheets.</w:t>
      </w:r>
    </w:p>
    <w:p>
      <w:pPr>
        <w:spacing w:after="0" w:line="7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See Note E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 for additional information regarding our derivatives and our exposure to credit loss on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15" w:lineRule="exact"/>
        <w:rPr>
          <w:sz w:val="20"/>
          <w:szCs w:val="20"/>
          <w:color w:val="auto"/>
        </w:rPr>
      </w:pPr>
    </w:p>
    <w:p>
      <w:pPr>
        <w:jc w:val="both"/>
        <w:ind w:firstLine="238"/>
        <w:spacing w:after="0" w:line="274" w:lineRule="auto"/>
        <w:rPr>
          <w:sz w:val="20"/>
          <w:szCs w:val="20"/>
          <w:color w:val="auto"/>
        </w:rPr>
      </w:pPr>
      <w:r>
        <w:rPr>
          <w:rFonts w:ascii="Times New Roman" w:cs="Times New Roman" w:eastAsia="Times New Roman" w:hAnsi="Times New Roman"/>
          <w:sz w:val="18"/>
          <w:szCs w:val="18"/>
          <w:color w:val="auto"/>
        </w:rPr>
        <w:t>The Corporate and Other segment consists of the operations of the parent holding company and our real estate technology subsidiaries. This segment also includes certain other unallocated corporate overhead expenses and eliminations of revenues and expenses between it and our Title segment.</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the results of operations of our Corporate and Other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26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22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6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5"/>
        </w:trPr>
        <w:tc>
          <w:tcPr>
            <w:tcW w:w="6280" w:type="dxa"/>
            <w:vAlign w:val="bottom"/>
          </w:tcPr>
          <w:p>
            <w:pPr>
              <w:spacing w:after="0"/>
              <w:rPr>
                <w:sz w:val="16"/>
                <w:szCs w:val="16"/>
                <w:color w:val="auto"/>
              </w:rPr>
            </w:pP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5"/>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8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91"/>
        </w:trPr>
        <w:tc>
          <w:tcPr>
            <w:tcW w:w="6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06"/>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5"/>
        </w:trPr>
        <w:tc>
          <w:tcPr>
            <w:tcW w:w="6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revenues</w:t>
            </w:r>
          </w:p>
        </w:tc>
        <w:tc>
          <w:tcPr>
            <w:tcW w:w="8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20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1"/>
        </w:trPr>
        <w:tc>
          <w:tcPr>
            <w:tcW w:w="6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06"/>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91"/>
        </w:trPr>
        <w:tc>
          <w:tcPr>
            <w:tcW w:w="6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6"/>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5"/>
        </w:trPr>
        <w:tc>
          <w:tcPr>
            <w:tcW w:w="62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2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 before income taxes and equity in earnings of unconsolidated affiliates</w:t>
            </w:r>
          </w:p>
        </w:tc>
        <w:tc>
          <w:tcPr>
            <w:tcW w:w="86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238"/>
        <w:spacing w:after="0" w:line="274" w:lineRule="auto"/>
        <w:rPr>
          <w:sz w:val="20"/>
          <w:szCs w:val="20"/>
          <w:color w:val="auto"/>
        </w:rPr>
      </w:pPr>
      <w:r>
        <w:rPr>
          <w:rFonts w:ascii="Times New Roman" w:cs="Times New Roman" w:eastAsia="Times New Roman" w:hAnsi="Times New Roman"/>
          <w:sz w:val="18"/>
          <w:szCs w:val="18"/>
          <w:color w:val="auto"/>
        </w:rPr>
        <w:t>The revenue in the Corporate and Other segment represents revenue generated by our non-title real estate technology subsidiaries as well as mark-to-market valuation changes on certain corporate deferred compensation plans.</w:t>
      </w:r>
    </w:p>
    <w:p>
      <w:pPr>
        <w:spacing w:after="0" w:line="57" w:lineRule="exact"/>
        <w:rPr>
          <w:sz w:val="20"/>
          <w:szCs w:val="20"/>
          <w:color w:val="auto"/>
        </w:rPr>
      </w:pPr>
    </w:p>
    <w:p>
      <w:pPr>
        <w:jc w:val="both"/>
        <w:ind w:firstLine="238"/>
        <w:spacing w:after="0" w:line="250" w:lineRule="auto"/>
        <w:rPr>
          <w:sz w:val="20"/>
          <w:szCs w:val="20"/>
          <w:color w:val="auto"/>
        </w:rPr>
      </w:pPr>
      <w:r>
        <w:rPr>
          <w:rFonts w:ascii="Times New Roman" w:cs="Times New Roman" w:eastAsia="Times New Roman" w:hAnsi="Times New Roman"/>
          <w:sz w:val="18"/>
          <w:szCs w:val="18"/>
          <w:color w:val="auto"/>
        </w:rPr>
        <w:t>Total revenues in the Corporate and Other segment increased $11 million, or 12%, in the three months ended September 30, 2025 and decreased $4 million, or 2%, in the nine months ended September 30, 2025 from the corresponding periods in 2024. The increase in the three months ended September 30, 2025 from the corresponding period in 2024 is primarily attributable to an increase in valuations associated with our deferred compensation plan assets of $9 million. The decrease in the nine months ended September 30, 2025 from the corresponding period in 2024 is attributable to a various immaterial items. Interest and investment income includes dividends received from F&amp;G of $29 million and $85 million in the three and nine months ended September 30, 2025, respectively, and $26 million and $80 million in the three and nine months ended September 30, 2024, respectively. The dividends received from F&amp;G are eliminated upon consolidation.</w:t>
      </w:r>
    </w:p>
    <w:p>
      <w:pPr>
        <w:spacing w:after="0" w:line="81" w:lineRule="exact"/>
        <w:rPr>
          <w:sz w:val="20"/>
          <w:szCs w:val="20"/>
          <w:color w:val="auto"/>
        </w:rPr>
      </w:pPr>
    </w:p>
    <w:p>
      <w:pPr>
        <w:jc w:val="both"/>
        <w:ind w:firstLine="238"/>
        <w:spacing w:after="0" w:line="252" w:lineRule="auto"/>
        <w:rPr>
          <w:sz w:val="20"/>
          <w:szCs w:val="20"/>
          <w:color w:val="auto"/>
        </w:rPr>
      </w:pPr>
      <w:r>
        <w:rPr>
          <w:rFonts w:ascii="Times New Roman" w:cs="Times New Roman" w:eastAsia="Times New Roman" w:hAnsi="Times New Roman"/>
          <w:sz w:val="18"/>
          <w:szCs w:val="18"/>
          <w:color w:val="auto"/>
        </w:rPr>
        <w:t>Personnel costs in the Corporate and Other segment increased $12 million, or 29%, in the three months ended September 30, 2025, and increased $11 million, or 10%, in the nine months ended September 30, 2025 from the corresponding periods in 2024. The increase in the three months ended September 30, 2025 from the corresponding period in 2024 is primarily attributable to the aforementioned increase in valuations associated with our deferred compensation plan assets of $9 million, which increased both revenue and personnel costs, and increased stock compensation expense. The increase in the nine months ended September 30, 2025 from the corresponding period in 2024 is primarily attributable to increased stock compensation expense.</w:t>
      </w:r>
    </w:p>
    <w:p>
      <w:pPr>
        <w:spacing w:after="0" w:line="79" w:lineRule="exact"/>
        <w:rPr>
          <w:sz w:val="20"/>
          <w:szCs w:val="20"/>
          <w:color w:val="auto"/>
        </w:rPr>
      </w:pPr>
    </w:p>
    <w:p>
      <w:pPr>
        <w:jc w:val="both"/>
        <w:ind w:firstLine="238"/>
        <w:spacing w:after="0" w:line="259" w:lineRule="auto"/>
        <w:rPr>
          <w:sz w:val="20"/>
          <w:szCs w:val="20"/>
          <w:color w:val="auto"/>
        </w:rPr>
      </w:pPr>
      <w:r>
        <w:rPr>
          <w:rFonts w:ascii="Times New Roman" w:cs="Times New Roman" w:eastAsia="Times New Roman" w:hAnsi="Times New Roman"/>
          <w:sz w:val="18"/>
          <w:szCs w:val="18"/>
          <w:color w:val="auto"/>
        </w:rPr>
        <w:t>Other operating expenses in the Corporate and Other segment increased $5 million, or 22%, in the three months ended September 30, 2025 and increased $4 million, or 5%, in the nine months ended September 30, 2025 from the corresponding periods in 2024. The increase in the three and nine months ended September 30, 2025 from the corresponding periods in 2024 are attributable to various immaterial items.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current cash requirements include personnel costs, operating expenses, claim payments, taxes, payments of interest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debt, capital expenditures, business acquisitions, stock repurchases, and dividends on our common stock. We paid dividends of $0.50 per share in the third quarter of 2025, or approximately $135 million to our common shareholders. On November 6, 2025, our Board of Directors declared cash dividends of $0.52 per share, payable on December 31, 2025, to FNF common shareholders of record as of December 17, 2025.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w:t>
      </w:r>
    </w:p>
    <w:p>
      <w:pPr>
        <w:spacing w:after="0" w:line="8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of September 30, 2025, we had cash and cash equivalents of $3,494 million, short term investments of $1,663 million, available capacity under our Revolving Credit Facility of $800 million, and available capacity under the Amended F&amp;G Credit agreement of $750 million. On January 13, 2025, F&amp;G completed its public offering of its 7.30% Junior Subordinated Notes due 2065 with an aggregate principal amount of $375 million. F&amp;G is using the net proceeds of this offering for general corporate purposes, including the repurchase, redemption, or repayment at maturity of outstanding indebtedness. On February 1, 2025, F&amp;G redeemed the outstanding $300 million aggregate principal amount of its 5.50% Senior Notes due May 1, 2025. The notes were redeemed for a redemption price equal to 100% of the principal amount of the notes plus accrued and unpaid interest to, but excluding, the redemption date. On March 24, 2025, F&amp;G completed a public offering of 8,000,000 shares of F&amp;G common stock, par value $0.001 per share, for net proceeds of $269 million. Pursuant to the underwriting agreement, the underwriters agreed to resell to FNF 4,500,000 shares of F&amp;G common stock at the same price per share paid by the underwriters. F&amp;G is using the net proceeds from the offering for general corporate purposes, including the support of organic growth opportunities.</w:t>
      </w:r>
    </w:p>
    <w:p>
      <w:pPr>
        <w:spacing w:after="0" w:line="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7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2024, $1,141 million of our net assets were restricted from dividend payments without prior approval from the relevant departments of insurance. Our title insurance subsidiaries can pay or make dividends in the remainder of 2025 of approximately $177 million. Our underwritten title companies and non-insurance subsidiaries are not regulated to the same extent as our insurance subsidiaries.</w:t>
      </w:r>
    </w:p>
    <w:p>
      <w:pPr>
        <w:spacing w:after="0" w:line="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5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Operating Cash Flow</w:t>
      </w:r>
      <w:r>
        <w:rPr>
          <w:rFonts w:ascii="Times New Roman" w:cs="Times New Roman" w:eastAsia="Times New Roman" w:hAnsi="Times New Roman"/>
          <w:sz w:val="18"/>
          <w:szCs w:val="18"/>
          <w:color w:val="auto"/>
        </w:rPr>
        <w:t>. Our cash flows provided by operations for the nine months ended September 30, 2025 and 2024 totaled $4,322 million and $5,320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decrease in cash provided by operating activities in the 2025 period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$998 million was primarily attributable to the decrease in net earnings of $118 million, reduced net cash inflows associated with the change in derivative liabilities of $400 million, reduced net cash inflows associated with the change in future policy benefits of $102 million, and reduced net cash inflows associated with the change in funds withheld from reinsurers of $247 million, partially offset by reduced net cash outflows associated with the change in other assets and liabilities of $134 million.</w:t>
      </w:r>
    </w:p>
    <w:p>
      <w:pPr>
        <w:spacing w:after="0" w:line="72"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Our cash flows used in investing activities for the nine months ended September 30, 2025 and 2024 were $6,326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$5,016 million, respectively. The increase in cash used in investing activities in the 2025 period of $1,310 million was primarily attributable to increased cash outflows for purchases of investment securities of $3,876 million and increased cash outflows for additional investments in unconsolidated affiliates of $704 million, partially offset by increased cash inflows from proceeds from sales, calls and maturities of investment securities of $2,114 million and increased cash inflows from net proceeds from sales and maturities of short-term investment securities of $556 million.</w:t>
      </w:r>
    </w:p>
    <w:p>
      <w:pPr>
        <w:spacing w:after="0" w:line="7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Total capital expenditures for property and equipment and capitalized software were $113 million and $116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nine months ended September 30, 2025 and 2024, respectively.</w:t>
      </w:r>
    </w:p>
    <w:p>
      <w:pPr>
        <w:spacing w:after="0" w:line="5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Our cash flows provided by financing activities for the nine months ended September 30, 2025 and 2024 were $2,019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$1,899 million, respectively. The increase in cash provided by financing activities in the 2025 period of $120 million was primarily attributable to increased cash inflows associated with contractholder deposits of $417 million, increased net cash inflows associated with the change in secured trust deposits of $148 million and increased cash inflows from the F&amp;G common stock offering of $117 million, partially offset by increased cash outflows for purchases of treasury stock of $221 million and reduced cash inflows from debt offerings of $175 million.</w:t>
      </w:r>
    </w:p>
    <w:p>
      <w:pPr>
        <w:spacing w:after="0" w:line="7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Financing Arrangements. </w:t>
      </w:r>
      <w:r>
        <w:rPr>
          <w:rFonts w:ascii="Times New Roman" w:cs="Times New Roman" w:eastAsia="Times New Roman" w:hAnsi="Times New Roman"/>
          <w:sz w:val="18"/>
          <w:szCs w:val="18"/>
          <w:color w:val="auto"/>
        </w:rPr>
        <w:t>For a description of our financing arrangements see Note G</w:t>
      </w:r>
      <w:r>
        <w:rPr>
          <w:rFonts w:ascii="Times New Roman" w:cs="Times New Roman" w:eastAsia="Times New Roman" w:hAnsi="Times New Roman"/>
          <w:sz w:val="18"/>
          <w:szCs w:val="18"/>
          <w:i w:val="1"/>
          <w:iCs w:val="1"/>
          <w:color w:val="auto"/>
        </w:rPr>
        <w:t xml:space="preserve"> Notes Payable </w:t>
      </w:r>
      <w:r>
        <w:rPr>
          <w:rFonts w:ascii="Times New Roman" w:cs="Times New Roman" w:eastAsia="Times New Roman" w:hAnsi="Times New Roman"/>
          <w:sz w:val="18"/>
          <w:szCs w:val="18"/>
          <w:color w:val="auto"/>
        </w:rPr>
        <w:t>included in Item 8 of Part II of our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year ended December 31, 2024.</w:t>
      </w:r>
    </w:p>
    <w:p>
      <w:pPr>
        <w:spacing w:after="0" w:line="5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Capital Stock Transactions</w:t>
      </w:r>
      <w:r>
        <w:rPr>
          <w:rFonts w:ascii="Times New Roman" w:cs="Times New Roman" w:eastAsia="Times New Roman" w:hAnsi="Times New Roman"/>
          <w:sz w:val="18"/>
          <w:szCs w:val="18"/>
          <w:color w:val="auto"/>
        </w:rPr>
        <w:t>. On July 31, 2024, our Board of Directors approved a new three-year stock repurchase program effective July 31,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Repurchase Program") under which we are authorized to purchase up to 25 million shares of our FNF common stock through July 31, 2027. We repurchased 3,901,224 shares of FNF common stock under the 2024 Repurchase Program during the nine months ended September 30, 2025 for approximately $221 million, at an average price of $56.69. Subsequent to September 30, 2025 and through market close on November 6, 2025, we repurchased a total of 60,000 shares for approximately $4 million, at an average price of $59.71 under this program.</w:t>
      </w:r>
    </w:p>
    <w:p>
      <w:pPr>
        <w:spacing w:after="0" w:line="75" w:lineRule="exact"/>
        <w:rPr>
          <w:sz w:val="20"/>
          <w:szCs w:val="20"/>
          <w:color w:val="auto"/>
        </w:rPr>
      </w:pPr>
    </w:p>
    <w:p>
      <w:pPr>
        <w:jc w:val="both"/>
        <w:ind w:right="2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and Preferred Security Investments. </w:t>
      </w:r>
      <w:r>
        <w:rPr>
          <w:rFonts w:ascii="Times New Roman" w:cs="Times New Roman" w:eastAsia="Times New Roman" w:hAnsi="Times New Roman"/>
          <w:sz w:val="18"/>
          <w:szCs w:val="18"/>
          <w:color w:val="auto"/>
        </w:rPr>
        <w:t>Our equity and preferred security investments may be subject to significant volatility. Currently prevailing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require us to record the change in fair value of equity and preferred security investments held as of any given period end within earnings. Our results of operations in future periods are anticipated to be subject to such volatility.</w:t>
      </w:r>
    </w:p>
    <w:p>
      <w:pPr>
        <w:spacing w:after="0" w:line="67"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Other than our unfunded investment commitments discussed below, there have been no significant changes to our off-balance sheet arrangements since our Annual Report on Form 10-K for the year ended December 31, 2024.</w:t>
      </w:r>
    </w:p>
    <w:p>
      <w:pPr>
        <w:spacing w:after="0" w:line="56"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 xml:space="preserve">We have unfunded investment commitments as of September 30, 2025 based upon the timing of when investments are executed compared to when the actual investments are funded, as some investments require that funding occur over a period of months or years. Please refer to Note F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to the unaudited Condensed Consolidated Financial Statements included in Item 1 of Part I of this Quarterly Report on Form 10-Q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details on unfunded investment commitments.</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have been no material changes in the market risks described in our Annual Report on Form 10-K for the year ended December 31, 2024.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and nine months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1"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See discussion of legal proceedings in Note F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 which is incorporated by reference into this Item 1 of Part II.</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to the information set forth in this Quarterly Report on Form 10-Q, you should carefully consider the "Risk Factors" disclosed under "Item 1A. Risk Factors" in our Annual Report on Form 10-K for the year ended December 31, 2024.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F&amp;G segment is highly regulated and subject to numerous legal restrictions and regulations.</w:t>
      </w:r>
    </w:p>
    <w:p>
      <w:pPr>
        <w:spacing w:after="0" w:line="102"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State insurance regulators, the NAIC, and federal regulators continually reexamine existing laws and regulations and may impose changes in the future. New interpretations of existing laws and the passage of new legislation may harm our ability to sell new policies, increase our claims exposure on policies we issued previously, and adversely affect our profitability and financial strength. We are also subject to the risk that compliance with any particular regulator’s interpretation of a legal or accounting issue may not result in compliance with another regulator’s interpretation of the same issue, particularly when compliance is judged in hindsight. Regulators and other authorities have the power to bring administrative or judicial proceedings against us, which could result in, among other things, suspension or revocation of our licenses, cease and desist orders, fines, civil penalties, criminal penalties or other disciplinary action, which could materially harm our results of operations and financial condition.</w:t>
      </w:r>
    </w:p>
    <w:p>
      <w:pPr>
        <w:spacing w:after="0" w:line="77"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We cannot predict what form any future changes in these or other areas of regulation affecting the insurance industry might take or what effect, if any, such proposals might have on us if enacted into law. In addition, because our activities are relatively concentrated in a small number of lines of business, any change in law or regulation affecting one of those lines of business could have a disproportionate impact on us as compared to other more diversified insurance companies.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State Regulation</w:t>
      </w:r>
    </w:p>
    <w:p>
      <w:pPr>
        <w:spacing w:after="0" w:line="100"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Our business is subject to government regulation in each of the states in which we conduct business and is concerned primarily with the protection of policyholders and other customers rather than shareholders. Such regulation is vested in state agencies having broad administrative and discretionary authority, which may include, among other things, premium rates and increases thereto, underwriting practices, reserve requirements, marketing practices, advertising, privacy, policy forms, reinsurance reserve requirements, acquisitions, mergers, and capital adequacy. At any given time, we and our insurance subsidiaries may be the subject of a number of ongoing financial or market conduct, audits or inquiries. From time to time, regulators raise issues during such examinations or audits that could have a material impact on our business.</w:t>
      </w:r>
    </w:p>
    <w:p>
      <w:pPr>
        <w:spacing w:after="0" w:line="77"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Under insurance guaranty fund laws in most states, insurance companies doing business therein can be assessed up to prescribed limits for policyholder losses incurred by insolvent companies. We cannot predict the amount or timing of any such future assessments and therefore the liability we have established for these potential assessments may not be adequate. In addition, regulators may change their interpretation or application of existing laws and regulations such as the case with broadening the scope of carriers that must contribute towards Long Term Care insolvencies.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NAIC</w:t>
      </w:r>
    </w:p>
    <w:p>
      <w:pPr>
        <w:spacing w:after="0" w:line="100"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Although our business is subject to regulation in each state in which we conduct business, in many instances the state regulatory models emanate from the NAIC. Some of the NAIC pronouncements, particularly as they affect accounting issues, take effect automatically in the various states without affirmative action by the states. Statutes, regulations, and interpretations may be applied with retroactive impact, particularly in areas such as accounting and reserve requirements. The NAIC continues to work to reform state regulation in various areas, including comprehensive reforms relating to cybersecurity regulations, best interest standards, RBC, and life insurance reserves.</w:t>
      </w:r>
    </w:p>
    <w:p>
      <w:pPr>
        <w:spacing w:after="0" w:line="73"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Our insurance subsidiaries are subject to minimum capitalization requirements based on RBC formulas for life insurance companies that establish capital requirements relating to insurance, business, asset, interest rate, and certain other risks. Changes to statutory reserve or RBC requirements may increase the amount of reserves or capital our insurance companies are required to hold and may impact our ability to pay dividends. In addition, changes in statutory reserve or risk-based capital requirements may adversely impact our financial strength ratings. Changes currently under consideration include adding an operational risk component, factors for asset credit risk and group wide capital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Regulations under the Employee Retirement Income Security Act of 1974 ("ERISA"), including the United States Department of Labor’s (“DOL”) implementation of the “fiduciary rule.”</w:t>
      </w:r>
    </w:p>
    <w:p>
      <w:pPr>
        <w:spacing w:after="0" w:line="55"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The prohibited transaction rules of ERISA and the Internal Revenue Code of 1986, as amended (the “Code”) generally restrict the provision of investment advice to ERISA plans and participants and IRA owners, if the investment recommendation results in fees paid to the individual advisor, his or her firm, or their affiliates, which vary according to the investment recommendation chosen. In recent years, the DOL has issued or proposed several regulations that increase the level of disclosure that must be provided to plan sponsors and participants. These ERISA disclosure requirements could increase the Company’s regulatory and compliance burden, resulting in increased costs.</w:t>
      </w:r>
    </w:p>
    <w:p>
      <w:pPr>
        <w:spacing w:after="0" w:line="7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December 2020, the DOL issued its final version of an investment advice rule replacing the previous “Fiduciary Rule” that had been challenged by industry participants and vacated in March 2018 by the United States Fifth Circuit Court of Appeals. The new investment advice rule reinstates the five-part test for determining whether a person is considered a fiduciary for purposes of ERISA and the Code, and sets forth a new exemption, referred to as prohibited transaction class exemption (“PTE”) 2020-02. The rule’s preamble also contains the DOL’s reinterpretation of elements of the five-part test that appears to encompass more insurance agents selling IRA products and withdraws the DOL’s longstanding position that rollover recommendations out of employer plans are not subject to ERISA. The new rule took effect on February 16, 2021. The DOL left in place PTE 84-24, which is a longstanding class exemption providing prohibited transaction relief for insurance agents selling annuity products, provided that certain disclosures are made to the plan fiduciary, which is the policyholder in the case of an IRA, and certain other conditions are met. Among other things, these disclosures include the agent’s relationship to the insurer and commissions received in connection with the annuity sale. We, along with FGL Insurance and FGL NY Insurance, designed and launched a compliance program in January 2022 requiring all agents selling IRA products to submit an acknowledgment with each IRA application indicating the agent has satisfied PTE 84-24 requirements on a precautionary basis in case the agent acted or is found to have acted as a fiduciary.</w:t>
      </w:r>
    </w:p>
    <w:p>
      <w:pPr>
        <w:spacing w:after="0" w:line="8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On April 23, 2024, following previous attempts to expand fiduciary regulation for advisers, the DOL released a new rule, the “New Fiduciary Rule”, which significantly broadens the definition of “fiduciary” under ERISA and Section 4975 when advisers provide investment recommendations to plans subject to ERISA and Section 4975 of the Code. Among other requirements, the New Fiduciary Rule provides that any person will be an investment advice fiduciary if such person provides investment advice or makes an investment recommendation to a retirement investor (i.e., a plan, a discretionary plan fiduciary, a plan participant or beneficiary, an IRA, an IRA owner or beneficiary, or an IRA fiduciary) for a fee or other compensation, the person makes professional investment recommendations to investors on a regular basis as part of their business, and the recommendation is provided under circumstances that would indicate to a reasonable investor in like circumstances that the recommendation is based on a review of the particular needs or individual investor circumstances of the retirement investor, reflects the application of professional or expert judgment to the retirement investor’s particular needs or individual circumstances, and may be relied upon by the retirement investor as intended to advance the retirement investor’s best interest. Unlike the current ERISA standard, the New Fiduciary Rule subjects non-discretionary investment advice to retirement plans and accounts under the care and loyalty standards that also apply to investment advisors with discretionary authority or control over such plans and accounts. In addition, on the same date, the DOL issued amended versions of PTE 2020-02 and PTE 84-24, either or both of which provide prohibited transaction exemptive relief to insurance companies and insurance producers who make insurance product recommendations to retirement investors, subject to certain conditions. The New Fiduciary Rule likely means that certain of the Company’s agents will be considered fiduciaries for purposes of ERISA and the Code, subjecting the Company, and the insurance industry on the whole, to greater regulatory risk.</w:t>
      </w:r>
    </w:p>
    <w:p>
      <w:pPr>
        <w:spacing w:after="0" w:line="9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 xml:space="preserve">The DOL’s New Fiduciary Rule, which was scheduled to become effective on September 23, 2024, has been challenged. On July 25, 2024, in the case of </w:t>
      </w:r>
      <w:r>
        <w:rPr>
          <w:rFonts w:ascii="Times New Roman" w:cs="Times New Roman" w:eastAsia="Times New Roman" w:hAnsi="Times New Roman"/>
          <w:sz w:val="17"/>
          <w:szCs w:val="17"/>
          <w:i w:val="1"/>
          <w:iCs w:val="1"/>
          <w:color w:val="auto"/>
        </w:rPr>
        <w:t xml:space="preserve">Federation of Americans for Consumer Choice, Inc., et al. v. United States Department of Labor, et al., </w:t>
      </w:r>
      <w:r>
        <w:rPr>
          <w:rFonts w:ascii="Times New Roman" w:cs="Times New Roman" w:eastAsia="Times New Roman" w:hAnsi="Times New Roman"/>
          <w:sz w:val="17"/>
          <w:szCs w:val="17"/>
          <w:color w:val="auto"/>
        </w:rPr>
        <w:t>(“Federation of Americans”) the United States District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Court for the Eastern District of Texas issued an order staying the effective date of the DOL’s New Fiduciary Rule (and related amendments to PTE 84-24) that was issued in March 2024. The District Court, in part relying on the Supreme Court’s recent ruling in </w:t>
      </w:r>
      <w:r>
        <w:rPr>
          <w:rFonts w:ascii="Times New Roman" w:cs="Times New Roman" w:eastAsia="Times New Roman" w:hAnsi="Times New Roman"/>
          <w:sz w:val="17"/>
          <w:szCs w:val="17"/>
          <w:i w:val="1"/>
          <w:iCs w:val="1"/>
          <w:color w:val="auto"/>
        </w:rPr>
        <w:t>Loper Bright Enterprises v. Raimondo</w:t>
      </w:r>
      <w:r>
        <w:rPr>
          <w:rFonts w:ascii="Times New Roman" w:cs="Times New Roman" w:eastAsia="Times New Roman" w:hAnsi="Times New Roman"/>
          <w:sz w:val="17"/>
          <w:szCs w:val="17"/>
          <w:color w:val="auto"/>
        </w:rPr>
        <w:t>, found that the plaintiffs (primarily insurance agents) were likely to succeed on their arguments that the New Final Rule improperly expanded the definition of an “investment advice fiduciary” under ERISA. As a result, the New Final Rule’s original effective date of September 23, 2024 was delayed until further notice.</w:t>
      </w:r>
    </w:p>
    <w:p>
      <w:pPr>
        <w:spacing w:after="0" w:line="6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In addition, on July 26, 2024, a companion case to </w:t>
      </w:r>
      <w:r>
        <w:rPr>
          <w:rFonts w:ascii="Times New Roman" w:cs="Times New Roman" w:eastAsia="Times New Roman" w:hAnsi="Times New Roman"/>
          <w:sz w:val="18"/>
          <w:szCs w:val="18"/>
          <w:i w:val="1"/>
          <w:iCs w:val="1"/>
          <w:color w:val="auto"/>
        </w:rPr>
        <w:t>Federation of Americans</w:t>
      </w:r>
      <w:r>
        <w:rPr>
          <w:rFonts w:ascii="Times New Roman" w:cs="Times New Roman" w:eastAsia="Times New Roman" w:hAnsi="Times New Roman"/>
          <w:sz w:val="18"/>
          <w:szCs w:val="18"/>
          <w:color w:val="auto"/>
        </w:rPr>
        <w:t xml:space="preserve"> filed in the United States District Court for the Northern District of Texas, </w:t>
      </w:r>
      <w:r>
        <w:rPr>
          <w:rFonts w:ascii="Times New Roman" w:cs="Times New Roman" w:eastAsia="Times New Roman" w:hAnsi="Times New Roman"/>
          <w:sz w:val="18"/>
          <w:szCs w:val="18"/>
          <w:i w:val="1"/>
          <w:iCs w:val="1"/>
          <w:color w:val="auto"/>
        </w:rPr>
        <w:t xml:space="preserve">American Council of Life Insurers, et al. v. United States Dep’t of Labor, et al., </w:t>
      </w:r>
      <w:r>
        <w:rPr>
          <w:rFonts w:ascii="Times New Roman" w:cs="Times New Roman" w:eastAsia="Times New Roman" w:hAnsi="Times New Roman"/>
          <w:sz w:val="18"/>
          <w:szCs w:val="18"/>
          <w:color w:val="auto"/>
        </w:rPr>
        <w:t>held the remaining PTE amendments included in the New Final Rule (PTEs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2020-02, 75-1, 77-4, 80-83, 83-1 and 86-128) that were not challenged in </w:t>
      </w:r>
      <w:r>
        <w:rPr>
          <w:rFonts w:ascii="Times New Roman" w:cs="Times New Roman" w:eastAsia="Times New Roman" w:hAnsi="Times New Roman"/>
          <w:sz w:val="18"/>
          <w:szCs w:val="18"/>
          <w:i w:val="1"/>
          <w:iCs w:val="1"/>
          <w:color w:val="auto"/>
        </w:rPr>
        <w:t>Federation of Americans</w:t>
      </w:r>
      <w:r>
        <w:rPr>
          <w:rFonts w:ascii="Times New Roman" w:cs="Times New Roman" w:eastAsia="Times New Roman" w:hAnsi="Times New Roman"/>
          <w:sz w:val="18"/>
          <w:szCs w:val="18"/>
          <w:color w:val="auto"/>
        </w:rPr>
        <w:t xml:space="preserve"> were also stayed, noting that the Northern District fully agreed with the Eastern District’s analysis and decision to stay the effective date of the New Final Rule.</w:t>
      </w:r>
    </w:p>
    <w:p>
      <w:pPr>
        <w:spacing w:after="0" w:line="7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September 20, 2024, the DOL appealed both rulings to the Fifth Circuit Court of Appeals. In early 2025, the DOL filed successive unopposed motions to hold the appeals in abeyance to allow new agency officials time to become familiar with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issues in these cases and determine how they wish to proceed. The motions were granted so the appeals are in abeyance. A Fifth Circuit reversal of the Texas District Court rulings could have harmful effects on the insurance industry, creating additional hurdles to operate our business.</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cannot predict the final outcome of the pending litigation regarding the New Fiduciary Rule; however, management believes these current and emerging developments relating to market conduct standards for the financial services industry may, over time, materially affect the way in which our agents do business, the role of IMOs, sale of IRA products including IRA-to-IRA and employer plan rollovers, how we supervise our distribution force, compensation practices and liability exposure and costs, all of which could adversely impact our business, results of operations and/or financial condition. In addition to implementing the compliance procedures described above, management is monitoring further developments closely and will be working with IMOs and distributors to adapt to these evolving regulatory requirements and risks.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Bermuda and Cayman Islands Regulation</w:t>
      </w:r>
    </w:p>
    <w:p>
      <w:pPr>
        <w:spacing w:after="0" w:line="100"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Our business is subject to regulation in Bermuda and the Cayman Islands, including the BMA and the CIMA. These regulations may limit or curtail our activities, including activities that might be profitable, and changes to existing regulations may affect our ability to continue to offer our existing products and services, or new products and services we may wish to offer in the future.</w:t>
      </w:r>
    </w:p>
    <w:p>
      <w:pPr>
        <w:spacing w:after="0" w:line="71"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Our reinsurance subsidiary, F&amp;G Life Re, is registered in Bermuda under the Bermuda Insurance Act and subject to the rules and regulations promulgated thereunder. The BMA has sought regulatory equivalency, which enables Bermuda’s commercial insurers to transact business with the European Union on a “level playing field.” In connection with its initial efforts to achieve equivalency under the European Union’s Directive (2009/138/EC) (“Solvency II”), the BMA implemented and imposed additional requirements on the companies it regulates. The European Commission in 2016 granted Bermuda’s commercial insurers full equivalence in all areas of Solvency II for an indefinite period of time.</w:t>
      </w:r>
    </w:p>
    <w:p>
      <w:pPr>
        <w:spacing w:after="0" w:line="77"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Our reinsurance subsidiary, F&amp;G Cayman Re, is licensed in the Cayman Islands by the CIMA and is subject to supervision by CIMA and CIMA may at any time direct F&amp;G Cayman Re, in relation to a policy, a line of business or the entire business, to cease or refrain from committing an act or pursing a course of conduct and to perform such acts as in the opinion of CIMA are necessary to remedy or ameliorate the situation.</w:t>
      </w:r>
    </w:p>
    <w:p>
      <w:pPr>
        <w:spacing w:after="0" w:line="8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as of the date of this Quarterly Report on Form 10-Q to the risk factors disclosed in “Item 1A. Risk Factors” included in our Annual Report on Form 10-K for the year ended December 31, 2024 other than those described above.</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repurchases of equity securities by FNF during the three months ended September 30, 2025:</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2"/>
                <w:szCs w:val="12"/>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20" w:type="dxa"/>
            <w:vAlign w:val="bottom"/>
          </w:tcPr>
          <w:p>
            <w:pPr>
              <w:spacing w:after="0"/>
              <w:rPr>
                <w:sz w:val="12"/>
                <w:szCs w:val="12"/>
                <w:color w:val="auto"/>
              </w:rPr>
            </w:pPr>
          </w:p>
        </w:tc>
        <w:tc>
          <w:tcPr>
            <w:tcW w:w="16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46"/>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3"/>
        </w:trPr>
        <w:tc>
          <w:tcPr>
            <w:tcW w:w="4440" w:type="dxa"/>
            <w:vAlign w:val="bottom"/>
            <w:gridSpan w:val="2"/>
            <w:vMerge w:val="continue"/>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12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(2)</w:t>
            </w:r>
          </w:p>
        </w:tc>
        <w:tc>
          <w:tcPr>
            <w:tcW w:w="0" w:type="dxa"/>
            <w:vAlign w:val="bottom"/>
          </w:tcPr>
          <w:p>
            <w:pPr>
              <w:spacing w:after="0"/>
              <w:rPr>
                <w:sz w:val="1"/>
                <w:szCs w:val="1"/>
                <w:color w:val="auto"/>
              </w:rPr>
            </w:pPr>
          </w:p>
        </w:tc>
      </w:tr>
      <w:tr>
        <w:trPr>
          <w:trHeight w:val="224"/>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7/1/2025 - 7/31/2025</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91,224</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21,638,776</w:t>
            </w: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8/1/2025 - 8/31/2025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21,413,776</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9/1/2025 - 9/30/2025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21,098,776</w:t>
            </w:r>
          </w:p>
        </w:tc>
        <w:tc>
          <w:tcPr>
            <w:tcW w:w="0" w:type="dxa"/>
            <w:vAlign w:val="bottom"/>
          </w:tcPr>
          <w:p>
            <w:pPr>
              <w:spacing w:after="0"/>
              <w:rPr>
                <w:sz w:val="1"/>
                <w:szCs w:val="1"/>
                <w:color w:val="auto"/>
              </w:rPr>
            </w:pPr>
          </w:p>
        </w:tc>
      </w:tr>
      <w:tr>
        <w:trPr>
          <w:trHeight w:val="225"/>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631,224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631,224</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960" w:hanging="636"/>
        <w:spacing w:after="0" w:line="274" w:lineRule="auto"/>
        <w:tabs>
          <w:tab w:leader="none" w:pos="7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2024, our Board of Directors approved a three-year stock repurchase program effective July 31, 2024, under which we are authorized to purchase up to 25 million shares of our FNF common stock through July 31, 2027.</w:t>
      </w:r>
    </w:p>
    <w:p>
      <w:pPr>
        <w:spacing w:after="0" w:line="44"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and nine months ended September 30,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95"/>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5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Exhibits:</w:t>
            </w:r>
          </w:p>
        </w:tc>
        <w:tc>
          <w:tcPr>
            <w:tcW w:w="15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12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31.1**</w:t>
            </w:r>
          </w:p>
        </w:tc>
        <w:tc>
          <w:tcPr>
            <w:tcW w:w="260" w:type="dxa"/>
            <w:vAlign w:val="bottom"/>
          </w:tcPr>
          <w:p>
            <w:pPr>
              <w:spacing w:after="0"/>
              <w:rPr>
                <w:sz w:val="18"/>
                <w:szCs w:val="18"/>
                <w:color w:val="auto"/>
              </w:rPr>
            </w:pPr>
          </w:p>
        </w:tc>
        <w:tc>
          <w:tcPr>
            <w:tcW w:w="7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Certification of Chief Executive Officer pursuant to Section 302 of the Sarbanes-Oxley Act of 2002.</w:t>
            </w:r>
          </w:p>
        </w:tc>
        <w:tc>
          <w:tcPr>
            <w:tcW w:w="2600" w:type="dxa"/>
            <w:vAlign w:val="bottom"/>
            <w:gridSpan w:val="3"/>
          </w:tcPr>
          <w:p>
            <w:pPr>
              <w:spacing w:after="0"/>
              <w:rPr>
                <w:sz w:val="18"/>
                <w:szCs w:val="18"/>
                <w:color w:val="auto"/>
              </w:rPr>
            </w:pPr>
          </w:p>
        </w:tc>
      </w:tr>
      <w:tr>
        <w:trPr>
          <w:trHeight w:val="311"/>
        </w:trPr>
        <w:tc>
          <w:tcPr>
            <w:tcW w:w="12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31.2**</w:t>
            </w:r>
          </w:p>
        </w:tc>
        <w:tc>
          <w:tcPr>
            <w:tcW w:w="260" w:type="dxa"/>
            <w:vAlign w:val="bottom"/>
          </w:tcPr>
          <w:p>
            <w:pPr>
              <w:spacing w:after="0"/>
              <w:rPr>
                <w:sz w:val="24"/>
                <w:szCs w:val="24"/>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0"/>
        </w:trPr>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540" w:type="dxa"/>
            <w:vAlign w:val="bottom"/>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32.1***</w:t>
            </w:r>
          </w:p>
        </w:tc>
        <w:tc>
          <w:tcPr>
            <w:tcW w:w="260" w:type="dxa"/>
            <w:vAlign w:val="bottom"/>
          </w:tcPr>
          <w:p>
            <w:pPr>
              <w:spacing w:after="0"/>
              <w:rPr>
                <w:sz w:val="24"/>
                <w:szCs w:val="24"/>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of Periodic Financial Reports pursuant to Section 906 of the Sarbanes-Oxley Act of 2002, 18</w:t>
            </w:r>
          </w:p>
        </w:tc>
      </w:tr>
      <w:tr>
        <w:trPr>
          <w:trHeight w:val="152"/>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U.S.C. Section 1350.</w:t>
            </w:r>
          </w:p>
        </w:tc>
        <w:tc>
          <w:tcPr>
            <w:tcW w:w="81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64"/>
        </w:trPr>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32.2***</w:t>
            </w:r>
          </w:p>
        </w:tc>
        <w:tc>
          <w:tcPr>
            <w:tcW w:w="260" w:type="dxa"/>
            <w:vAlign w:val="bottom"/>
          </w:tcPr>
          <w:p>
            <w:pPr>
              <w:spacing w:after="0"/>
              <w:rPr>
                <w:sz w:val="24"/>
                <w:szCs w:val="24"/>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of Periodic Financial Reports pursuant to Section 906 of the Sarbanes-Oxley Act of 2002, 18</w:t>
            </w:r>
          </w:p>
        </w:tc>
      </w:tr>
      <w:tr>
        <w:trPr>
          <w:trHeight w:val="152"/>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U.S.C. Section 1350.</w:t>
            </w:r>
          </w:p>
        </w:tc>
        <w:tc>
          <w:tcPr>
            <w:tcW w:w="816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05"/>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543"/>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71"/>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71"/>
        </w:trPr>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71"/>
        </w:trPr>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71"/>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pacing w:after="0" w:line="140" w:lineRule="exact"/>
        <w:rPr>
          <w:sz w:val="20"/>
          <w:szCs w:val="20"/>
          <w:color w:val="auto"/>
        </w:rPr>
      </w:pPr>
    </w:p>
    <w:p>
      <w:pPr>
        <w:ind w:left="1520" w:hanging="1097"/>
        <w:spacing w:after="0"/>
        <w:tabs>
          <w:tab w:leader="none" w:pos="15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12"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hanging="174"/>
        <w:spacing w:after="0"/>
        <w:tabs>
          <w:tab w:leader="none" w:pos="1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9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5"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SIGNATURES</w:t>
      </w:r>
    </w:p>
    <w:p>
      <w:pPr>
        <w:spacing w:after="0" w:line="111" w:lineRule="exact"/>
        <w:rPr>
          <w:sz w:val="20"/>
          <w:szCs w:val="20"/>
          <w:color w:val="auto"/>
        </w:rPr>
      </w:pPr>
    </w:p>
    <w:p>
      <w:pPr>
        <w:ind w:firstLine="159"/>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160"/>
          </w:cols>
          <w:pgMar w:left="320" w:top="121" w:right="419" w:bottom="1440" w:gutter="0" w:footer="0" w:header="0"/>
        </w:sectPr>
      </w:pP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Date: November 10, 2025</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Times New Roman" w:cs="Times New Roman" w:eastAsia="Times New Roman" w:hAnsi="Times New Roman"/>
          <w:sz w:val="17"/>
          <w:szCs w:val="17"/>
          <w:color w:val="auto"/>
        </w:rPr>
        <w:t>FIDELITY NATIONAL FINANCIAL,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182" w:lineRule="exact"/>
        <w:rPr>
          <w:sz w:val="20"/>
          <w:szCs w:val="20"/>
          <w:color w:val="auto"/>
        </w:rPr>
      </w:pPr>
    </w:p>
    <w:p>
      <w:pPr>
        <w:sectPr>
          <w:pgSz w:w="11900" w:h="16838" w:orient="portrait"/>
          <w:cols w:equalWidth="0" w:num="2">
            <w:col w:w="4720" w:space="720"/>
            <w:col w:w="5720"/>
          </w:cols>
          <w:pgMar w:left="320" w:top="121" w:right="419" w:bottom="1440" w:gutter="0" w:footer="0" w:header="0"/>
          <w:type w:val="continuous"/>
        </w:sectPr>
      </w:pPr>
    </w:p>
    <w:p>
      <w:pPr>
        <w:spacing w:after="0" w:line="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27006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5700" w:space="220"/>
            <w:col w:w="5240"/>
          </w:cols>
          <w:pgMar w:left="320" w:top="121" w:right="419" w:bottom="1440" w:gutter="0" w:footer="0" w:header="0"/>
          <w:type w:val="continuous"/>
        </w:sectPr>
      </w:pPr>
    </w:p>
    <w:p>
      <w:pPr>
        <w:ind w:left="5920"/>
        <w:spacing w:after="0"/>
        <w:rPr>
          <w:sz w:val="20"/>
          <w:szCs w:val="20"/>
          <w:color w:val="auto"/>
        </w:rPr>
      </w:pPr>
      <w:r>
        <w:rPr>
          <w:rFonts w:ascii="Times New Roman" w:cs="Times New Roman" w:eastAsia="Times New Roman" w:hAnsi="Times New Roman"/>
          <w:sz w:val="18"/>
          <w:szCs w:val="18"/>
          <w:color w:val="auto"/>
        </w:rPr>
        <w:t>Anthony J. Park</w:t>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ind w:left="59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1160"/>
          </w:cols>
          <w:pgMar w:left="320" w:top="121" w:right="419" w:bottom="1440" w:gutter="0" w:footer="0" w:header="0"/>
          <w:type w:val="continuous"/>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Nolan, certify that:</w:t>
      </w:r>
    </w:p>
    <w:p>
      <w:pPr>
        <w:spacing w:after="0" w:line="145" w:lineRule="exact"/>
        <w:rPr>
          <w:sz w:val="20"/>
          <w:szCs w:val="20"/>
          <w:color w:val="auto"/>
        </w:rPr>
      </w:pPr>
    </w:p>
    <w:p>
      <w:pPr>
        <w:ind w:left="180" w:hanging="174"/>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Fidelity National Financial, Inc.;</w:t>
      </w:r>
    </w:p>
    <w:p>
      <w:pPr>
        <w:spacing w:after="0" w:line="164"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firstLine="6"/>
        <w:spacing w:after="0" w:line="259" w:lineRule="auto"/>
        <w:tabs>
          <w:tab w:leader="none" w:pos="1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440" w:hanging="957"/>
        <w:spacing w:after="0" w:line="274" w:lineRule="auto"/>
        <w:tabs>
          <w:tab w:leader="none" w:pos="143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firstLine="6"/>
        <w:spacing w:after="0" w:line="274" w:lineRule="auto"/>
        <w:tabs>
          <w:tab w:leader="none" w:pos="20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1440" w:hanging="957"/>
        <w:spacing w:after="0" w:line="274" w:lineRule="auto"/>
        <w:tabs>
          <w:tab w:leader="none" w:pos="143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440" w:hanging="957"/>
        <w:spacing w:after="0" w:line="274" w:lineRule="auto"/>
        <w:tabs>
          <w:tab w:leader="none" w:pos="143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43" w:lineRule="exact"/>
        <w:rPr>
          <w:sz w:val="20"/>
          <w:szCs w:val="20"/>
          <w:color w:val="auto"/>
        </w:rPr>
      </w:pPr>
    </w:p>
    <w:p>
      <w:pPr>
        <w:ind w:left="46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15875</wp:posOffset>
            </wp:positionV>
            <wp:extent cx="26333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Michael J. Nolan</w:t>
      </w:r>
    </w:p>
    <w:p>
      <w:pPr>
        <w:ind w:left="11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7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Park, certify that:</w:t>
      </w:r>
    </w:p>
    <w:p>
      <w:pPr>
        <w:spacing w:after="0" w:line="145" w:lineRule="exact"/>
        <w:rPr>
          <w:sz w:val="20"/>
          <w:szCs w:val="20"/>
          <w:color w:val="auto"/>
        </w:rPr>
      </w:pPr>
    </w:p>
    <w:p>
      <w:pPr>
        <w:ind w:left="180" w:hanging="174"/>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Fidelity National Financial, Inc.;</w:t>
      </w:r>
    </w:p>
    <w:p>
      <w:pPr>
        <w:spacing w:after="0" w:line="164"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firstLine="6"/>
        <w:spacing w:after="0" w:line="259" w:lineRule="auto"/>
        <w:tabs>
          <w:tab w:leader="none" w:pos="1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440" w:hanging="957"/>
        <w:spacing w:after="0" w:line="274" w:lineRule="auto"/>
        <w:tabs>
          <w:tab w:leader="none" w:pos="143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440" w:hanging="957"/>
        <w:spacing w:after="0" w:line="259" w:lineRule="auto"/>
        <w:tabs>
          <w:tab w:leader="none" w:pos="143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firstLine="6"/>
        <w:spacing w:after="0" w:line="274" w:lineRule="auto"/>
        <w:tabs>
          <w:tab w:leader="none" w:pos="2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1440" w:hanging="957"/>
        <w:spacing w:after="0" w:line="274" w:lineRule="auto"/>
        <w:tabs>
          <w:tab w:leader="none" w:pos="143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440" w:hanging="957"/>
        <w:spacing w:after="0" w:line="274" w:lineRule="auto"/>
        <w:tabs>
          <w:tab w:leader="none" w:pos="143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8" w:lineRule="exact"/>
        <w:rPr>
          <w:sz w:val="20"/>
          <w:szCs w:val="20"/>
          <w:color w:val="auto"/>
        </w:rPr>
      </w:pPr>
    </w:p>
    <w:p>
      <w:pPr>
        <w:ind w:left="2300"/>
        <w:spacing w:after="0"/>
        <w:tabs>
          <w:tab w:leader="none" w:pos="2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1871345</wp:posOffset>
            </wp:positionH>
            <wp:positionV relativeFrom="paragraph">
              <wp:posOffset>15875</wp:posOffset>
            </wp:positionV>
            <wp:extent cx="26333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Anthony J. Park</w:t>
      </w:r>
    </w:p>
    <w:p>
      <w:pPr>
        <w:ind w:left="2980"/>
        <w:spacing w:after="0" w:line="191" w:lineRule="auto"/>
        <w:rPr>
          <w:sz w:val="20"/>
          <w:szCs w:val="20"/>
          <w:color w:val="auto"/>
        </w:rPr>
      </w:pPr>
      <w:r>
        <w:rPr>
          <w:rFonts w:ascii="Times New Roman" w:cs="Times New Roman" w:eastAsia="Times New Roman" w:hAnsi="Times New Roman"/>
          <w:sz w:val="13"/>
          <w:szCs w:val="13"/>
          <w:color w:val="auto"/>
        </w:rPr>
        <w:t>Chief Financial Officer</w:t>
      </w:r>
    </w:p>
    <w:p>
      <w:pPr>
        <w:spacing w:after="0"/>
        <w:rPr>
          <w:sz w:val="20"/>
          <w:szCs w:val="20"/>
          <w:color w:val="auto"/>
        </w:rPr>
      </w:pPr>
      <w:r>
        <w:rPr>
          <w:rFonts w:ascii="Times New Roman" w:cs="Times New Roman" w:eastAsia="Times New Roman" w:hAnsi="Times New Roman"/>
          <w:sz w:val="18"/>
          <w:szCs w:val="18"/>
          <w:color w:val="auto"/>
        </w:rPr>
        <w:t>Date: November 10, 2025</w:t>
      </w:r>
    </w:p>
    <w:p>
      <w:pPr>
        <w:sectPr>
          <w:pgSz w:w="11900" w:h="16838" w:orient="portrait"/>
          <w:cols w:equalWidth="0" w:num="1">
            <w:col w:w="11240"/>
          </w:cols>
          <w:pgMar w:left="320" w:top="87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46" w:lineRule="exact"/>
        <w:rPr>
          <w:sz w:val="20"/>
          <w:szCs w:val="20"/>
          <w:color w:val="auto"/>
        </w:rPr>
      </w:pPr>
    </w:p>
    <w:p>
      <w:pPr>
        <w:ind w:firstLine="363"/>
        <w:spacing w:after="0" w:line="274"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0" w:lineRule="exact"/>
        <w:rPr>
          <w:sz w:val="20"/>
          <w:szCs w:val="20"/>
          <w:color w:val="auto"/>
        </w:rPr>
      </w:pPr>
    </w:p>
    <w:p>
      <w:pPr>
        <w:ind w:left="880" w:hanging="874"/>
        <w:spacing w:after="0" w:line="274"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89" w:lineRule="exact"/>
        <w:rPr>
          <w:rFonts w:ascii="Times New Roman" w:cs="Times New Roman" w:eastAsia="Times New Roman" w:hAnsi="Times New Roman"/>
          <w:sz w:val="18"/>
          <w:szCs w:val="18"/>
          <w:color w:val="auto"/>
        </w:rPr>
      </w:pPr>
    </w:p>
    <w:p>
      <w:pPr>
        <w:ind w:left="880" w:hanging="874"/>
        <w:spacing w:after="0" w:line="274"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Michael J. Nolan</w:t>
            </w: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Nolan</w:t>
            </w:r>
          </w:p>
        </w:tc>
        <w:tc>
          <w:tcPr>
            <w:tcW w:w="0" w:type="dxa"/>
            <w:vAlign w:val="bottom"/>
          </w:tcPr>
          <w:p>
            <w:pPr>
              <w:spacing w:after="0"/>
              <w:rPr>
                <w:sz w:val="1"/>
                <w:szCs w:val="1"/>
                <w:color w:val="auto"/>
              </w:rPr>
            </w:pPr>
          </w:p>
        </w:tc>
      </w:tr>
      <w:tr>
        <w:trPr>
          <w:trHeight w:val="231"/>
        </w:trPr>
        <w:tc>
          <w:tcPr>
            <w:tcW w:w="2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06"/>
        </w:trPr>
        <w:tc>
          <w:tcPr>
            <w:tcW w:w="2680" w:type="dxa"/>
            <w:vAlign w:val="bottom"/>
            <w:vMerge w:val="continue"/>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166" w:lineRule="exact"/>
        <w:rPr>
          <w:sz w:val="20"/>
          <w:szCs w:val="20"/>
          <w:color w:val="auto"/>
        </w:rPr>
      </w:pPr>
    </w:p>
    <w:p>
      <w:pPr>
        <w:ind w:firstLine="373"/>
        <w:spacing w:after="0" w:line="274"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0" w:lineRule="exact"/>
        <w:rPr>
          <w:sz w:val="20"/>
          <w:szCs w:val="20"/>
          <w:color w:val="auto"/>
        </w:rPr>
      </w:pPr>
    </w:p>
    <w:p>
      <w:pPr>
        <w:ind w:left="880" w:hanging="874"/>
        <w:spacing w:after="0" w:line="274" w:lineRule="auto"/>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89" w:lineRule="exact"/>
        <w:rPr>
          <w:rFonts w:ascii="Times New Roman" w:cs="Times New Roman" w:eastAsia="Times New Roman" w:hAnsi="Times New Roman"/>
          <w:sz w:val="18"/>
          <w:szCs w:val="18"/>
          <w:color w:val="auto"/>
        </w:rPr>
      </w:pPr>
    </w:p>
    <w:p>
      <w:pPr>
        <w:ind w:left="880" w:hanging="874"/>
        <w:spacing w:after="0" w:line="274" w:lineRule="auto"/>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Anthony J. Park</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J. Park</w:t>
            </w:r>
          </w:p>
        </w:tc>
        <w:tc>
          <w:tcPr>
            <w:tcW w:w="0" w:type="dxa"/>
            <w:vAlign w:val="bottom"/>
          </w:tcPr>
          <w:p>
            <w:pPr>
              <w:spacing w:after="0"/>
              <w:rPr>
                <w:sz w:val="1"/>
                <w:szCs w:val="1"/>
                <w:color w:val="auto"/>
              </w:rPr>
            </w:pPr>
          </w:p>
        </w:tc>
      </w:tr>
      <w:tr>
        <w:trPr>
          <w:trHeight w:val="231"/>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106"/>
        </w:trPr>
        <w:tc>
          <w:tcPr>
            <w:tcW w:w="2620" w:type="dxa"/>
            <w:vAlign w:val="bottom"/>
            <w:vMerge w:val="continue"/>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Roman"/>
      <w:start w:val="2"/>
    </w:lvl>
  </w:abstractNum>
  <w:abstractNum w:abstractNumId="18">
    <w:nsid w:val="8138641"/>
    <w:multiLevelType w:val="hybridMultilevel"/>
    <w:lvl w:ilvl="0">
      <w:lvlJc w:val="left"/>
      <w:lvlText w:val="(%1)"/>
      <w:numFmt w:val="lowerRoman"/>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lvl w:ilvl="1">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
      <w:numFmt w:val="bullet"/>
      <w:start w:val="1"/>
    </w:lvl>
    <w:lvl w:ilvl="1">
      <w:lvlJc w:val="left"/>
      <w:lvlText w:val="%2"/>
      <w:numFmt w:val="decimal"/>
      <w:start w:val="104"/>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2025-11-10T12:56:16Z</dcterms:created>
  <dcterms:modified xsi:type="dcterms:W3CDTF">2025-11-10T12:56:16Z</dcterms:modified>
</cp:coreProperties>
</file>