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40"/>
        <w:spacing w:after="0" w:line="207" w:lineRule="exact"/>
        <w:tabs>
          <w:tab w:leader="none" w:pos="3280" w:val="left"/>
          <w:tab w:leader="none" w:pos="59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96"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080"/>
        <w:spacing w:after="0"/>
        <w:rPr>
          <w:sz w:val="20"/>
          <w:szCs w:val="20"/>
          <w:color w:val="auto"/>
        </w:rPr>
      </w:pPr>
      <w:r>
        <w:rPr>
          <w:rFonts w:ascii="Arial" w:cs="Arial" w:eastAsia="Arial" w:hAnsi="Arial"/>
          <w:sz w:val="18"/>
          <w:szCs w:val="18"/>
          <w:color w:val="auto"/>
        </w:rPr>
        <w:t>reporting company)</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June 30, 2015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279,565,496</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78,171,787</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2">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June 30, 2015 and December 31,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 Condensed Consolidated Statements of Earnings for the three-month and six-month periods ended June 30, 2015 and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Earnings for the three-month and six-month periods ended June 30, 2015</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2014</w:t>
              </w:r>
            </w:hyperlink>
          </w:p>
        </w:tc>
        <w:tc>
          <w:tcPr>
            <w:tcW w:w="8840" w:type="dxa"/>
            <w:vAlign w:val="bottom"/>
            <w:tcBorders>
              <w:top w:val="single" w:sz="8" w:color="0000EE"/>
            </w:tcBorders>
            <w:gridSpan w:val="14"/>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68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D. Condensed Consolidated Statement of Equity for the six-month period ended June 30, 2015</w:t>
              </w:r>
            </w:hyperlink>
          </w:p>
        </w:tc>
        <w:tc>
          <w:tcPr>
            <w:tcW w:w="2900" w:type="dxa"/>
            <w:vAlign w:val="bottom"/>
            <w:gridSpan w:val="5"/>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six-month periods ended June 30, 2015 and 2014</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F. Notes to Condensed Consolidated Financial Statements</w:t>
              </w:r>
            </w:hyperlink>
          </w:p>
        </w:tc>
        <w:tc>
          <w:tcPr>
            <w:tcW w:w="3840" w:type="dxa"/>
            <w:vAlign w:val="bottom"/>
            <w:tcBorders>
              <w:top w:val="single" w:sz="8" w:color="0000EE"/>
            </w:tcBorders>
            <w:gridSpan w:val="5"/>
          </w:tcPr>
          <w:p>
            <w:pPr>
              <w:spacing w:after="0"/>
              <w:rPr>
                <w:sz w:val="21"/>
                <w:szCs w:val="21"/>
                <w:color w:val="auto"/>
              </w:rPr>
            </w:pPr>
          </w:p>
        </w:tc>
        <w:tc>
          <w:tcPr>
            <w:tcW w:w="17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Item 3. Quantitative and Qualitative Disclosure About Market Risk</w:t>
              </w:r>
            </w:hyperlink>
          </w:p>
        </w:tc>
        <w:tc>
          <w:tcPr>
            <w:tcW w:w="2160" w:type="dxa"/>
            <w:vAlign w:val="bottom"/>
            <w:gridSpan w:val="3"/>
          </w:tcPr>
          <w:p>
            <w:pPr>
              <w:spacing w:after="0"/>
              <w:rPr>
                <w:sz w:val="21"/>
                <w:szCs w:val="21"/>
                <w:color w:val="auto"/>
              </w:rPr>
            </w:pPr>
          </w:p>
        </w:tc>
        <w:tc>
          <w:tcPr>
            <w:tcW w:w="2720" w:type="dxa"/>
            <w:vAlign w:val="bottom"/>
            <w:gridSpan w:val="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42</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46">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43</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5"/>
              </w:rPr>
              <w:t>Fixed maturity securities available for sale, at fair value, at June 30, 2015 and December 31, 2014 includes pledged fixed maturity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$349 and $499, respectively, related to secured trust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4,669</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3"/>
              </w:rPr>
              <w:t>Cash and cash equivalents, at June 30, 2015 and December 31, 2014 includes $406 and $136, respectively, of pledged cash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$32, at both June 30, 2015 and December 31, 2014,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13,845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7,286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6"/>
              </w:rPr>
              <w:t>Redeemable non-controlling interest by 35% minority holder of ServiceLink Holdings, LLC as of June 30, 2015 and 33% minority</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6"/>
              </w:rPr>
              <w:t>holder of Black Knight Financial Services, LLC and 35% minority holder of ServiceLink Holdings, LLC as of December 31, 2014</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9"/>
              </w:rPr>
              <w:t>FNF Group common stock, $0.0001 par value; authorized 487,000,000 shares as of June 30, 2015 and December 31, 2014;</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0"/>
              </w:rPr>
              <w:t>outstanding of 279,565,496 and 279,443,239 as of June 30, 2015 and December 31, 2014, respectively, and issued of 281,041,158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279,824,125 as of June 30, 2015 and December 31, 2014, respectively</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7"/>
              </w:rPr>
              <w:t>FNFV Group common stock, $0.0001 par value; authorized 113,000,000 shares as of June 30, 2015 and December 31, 2014;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3"/>
              </w:rPr>
              <w:t>outstanding of 78,171,787 and 92,828,470 as of June 30, 2015 and December 31, 2014, respectively, and issued of 80,613,212 and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92,946,545 as of June 30, 2015 and December 31, 2014,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Less: treasury stock, 3,917,087 shares as of June 30, 2015 and 493,737 shares as of December 31, 2014, at cost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6,073</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14,397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13,845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2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1"/>
                <w:szCs w:val="21"/>
                <w:color w:val="auto"/>
              </w:rPr>
            </w:pPr>
          </w:p>
        </w:tc>
        <w:tc>
          <w:tcPr>
            <w:tcW w:w="128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Escrow, title related and other fees</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1,665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1,361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2,059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4"/>
              </w:rPr>
              <w:t>4,456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3,845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w w:val="94"/>
              </w:rPr>
              <w:t>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1,272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3,777</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(losses) of unconsolidated affiliates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earnings (losses) of unconsolidated affiliates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09"/>
        </w:trPr>
        <w:tc>
          <w:tcPr>
            <w:tcW w:w="8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FNFV Group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80"/>
              <w:spacing w:after="0"/>
              <w:rPr>
                <w:sz w:val="20"/>
                <w:szCs w:val="20"/>
                <w:color w:val="auto"/>
              </w:rPr>
            </w:pPr>
            <w:r>
              <w:rPr>
                <w:rFonts w:ascii="Arial" w:cs="Arial" w:eastAsia="Arial" w:hAnsi="Arial"/>
                <w:sz w:val="16"/>
                <w:szCs w:val="16"/>
                <w:color w:val="auto"/>
              </w:rPr>
              <w:t>See Notes to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4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1"/>
              </w:rPr>
              <w:t>Three months ended June</w:t>
            </w: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1"/>
                <w:szCs w:val="21"/>
                <w:color w:val="auto"/>
              </w:rPr>
            </w:pPr>
          </w:p>
        </w:tc>
        <w:tc>
          <w:tcPr>
            <w:tcW w:w="150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0.12</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Cash dividends paid per share Old FNF common stock</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900" w:type="dxa"/>
            <w:vAlign w:val="bottom"/>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0.19</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7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3780"/>
              <w:spacing w:after="0"/>
              <w:rPr>
                <w:sz w:val="20"/>
                <w:szCs w:val="20"/>
                <w:color w:val="auto"/>
              </w:rPr>
            </w:pPr>
            <w:r>
              <w:rPr>
                <w:rFonts w:ascii="Arial" w:cs="Arial" w:eastAsia="Arial" w:hAnsi="Arial"/>
                <w:sz w:val="16"/>
                <w:szCs w:val="16"/>
                <w:color w:val="auto"/>
                <w:w w:val="95"/>
              </w:rPr>
              <w:t>See Notes to Condensed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8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Three months ended June</w:t>
            </w:r>
          </w:p>
        </w:tc>
        <w:tc>
          <w:tcPr>
            <w:tcW w:w="17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earnings:</w:t>
            </w: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Unrealized (loss) gain on investments and other financial instruments, net (excluding investments in</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 (1)</w:t>
            </w: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Unrealized gain (loss) on investments in unconsolidated affiliates (2)</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w w:val="96"/>
              </w:rPr>
              <w:t>Reclassification adjustments for change in unrealized gains and losses included in net earnings (4)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earnings</w:t>
            </w:r>
          </w:p>
        </w:tc>
        <w:tc>
          <w:tcPr>
            <w:tcW w:w="1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9"/>
        </w:trPr>
        <w:tc>
          <w:tcPr>
            <w:tcW w:w="7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earnings attributable to Old FNF 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09"/>
        </w:trPr>
        <w:tc>
          <w:tcPr>
            <w:tcW w:w="79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79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$(11) million and $7 million for the three-month periods ended June 30, 2015 and 2014, respectively, and $(6) million and $12 million for the six-month periods ended June 30, 2015 and 2014,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 million and $3 million for the three-month periods ended June 30, 2015 and 2014, respectively, and $(3) million and $(1) million for the six-month periods ended June 30, 2015 and 2014, respectively.</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$(3) million and $4 million for the three-month periods ended June 30, 2015 and 2014, respectively, and $(5) million and $2 million for the six-month periods ended June 30, 2015 and 2014,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less than $1 million for the three and six-month periods ended June 30, 2014.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13"/>
          </w:tcPr>
          <w:p>
            <w:pPr>
              <w:ind w:left="240"/>
              <w:spacing w:after="0"/>
              <w:rPr>
                <w:sz w:val="20"/>
                <w:szCs w:val="20"/>
                <w:color w:val="auto"/>
              </w:rPr>
            </w:pPr>
            <w:r>
              <w:rPr>
                <w:rFonts w:ascii="Arial" w:cs="Arial" w:eastAsia="Arial" w:hAnsi="Arial"/>
                <w:sz w:val="14"/>
                <w:szCs w:val="14"/>
                <w:b w:val="1"/>
                <w:bCs w:val="1"/>
                <w:color w:val="auto"/>
              </w:rPr>
              <w:t>Fidelity National Financial, Inc. Common Shareholders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rPr>
              <w:t>FNF</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FNFV</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Group</w:t>
            </w: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23"/>
                <w:szCs w:val="23"/>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Non-</w:t>
            </w: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24"/>
                <w:szCs w:val="2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controlling</w:t>
            </w: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250"/>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Balance, December 31, 2014</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8"/>
              </w:rPr>
              <w:t>$ (13)</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offering costs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Treasury stock repurchased</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Tax benefit associated with the</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earnings —</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unrealized loss on investments and</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financial instruments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Other comprehensive earnings —</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unrealized loss on investments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unconsolidated affiliates</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earnings —</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unrealized loss on foreign currency</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translation</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Retirement of treasury shares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Dividends declared</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Dilution of ownership in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Proceeds from Black Knight IPO</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 on Black Knight IPO</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Reclassification of redeemable NCI</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resulting from IPO/share conversion</w:t>
            </w:r>
          </w:p>
        </w:tc>
        <w:tc>
          <w:tcPr>
            <w:tcW w:w="72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Contributions to non-controlling</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Sale of non-controlling interest</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Subsidiary dividends declared to non-</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controlling interests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Purchase of additional share in</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consolidated subsidiaries</w:t>
            </w: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color w:val="auto"/>
              </w:rPr>
              <w:t>Balance, June 30, 2015</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 —</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8"/>
              </w:rPr>
              <w:t>$ (87)</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6,767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line="3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1" w:lineRule="exact"/>
        <w:rPr>
          <w:sz w:val="20"/>
          <w:szCs w:val="20"/>
          <w:color w:val="auto"/>
        </w:rPr>
      </w:pPr>
    </w:p>
    <w:p>
      <w:pPr>
        <w:jc w:val="center"/>
        <w:ind w:left="9520"/>
        <w:spacing w:after="0"/>
        <w:rPr>
          <w:sz w:val="20"/>
          <w:szCs w:val="20"/>
          <w:color w:val="auto"/>
        </w:rPr>
      </w:pPr>
      <w:r>
        <w:rPr>
          <w:rFonts w:ascii="Arial" w:cs="Arial" w:eastAsia="Arial" w:hAnsi="Arial"/>
          <w:sz w:val="15"/>
          <w:szCs w:val="15"/>
          <w:b w:val="1"/>
          <w:bCs w:val="1"/>
          <w:color w:val="auto"/>
        </w:rPr>
        <w:t>For the six months ended</w:t>
      </w:r>
    </w:p>
    <w:p>
      <w:pPr>
        <w:spacing w:after="0" w:line="38" w:lineRule="exact"/>
        <w:rPr>
          <w:sz w:val="20"/>
          <w:szCs w:val="20"/>
          <w:color w:val="auto"/>
        </w:rPr>
      </w:pPr>
    </w:p>
    <w:p>
      <w:pPr>
        <w:jc w:val="center"/>
        <w:ind w:left="95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33020</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(earnings) losses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Gain on sale of Cascade Timberlands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trade receivables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proceeds from short-term investment securities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(Contributions to) distributions from 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(2,248)</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BPG Holdings, LLC,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Compass and Prospective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Cascades Timberlands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Black Knight IPO</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by BKFS to member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r>
    </w:tbl>
    <w:p>
      <w:pPr>
        <w:sectPr>
          <w:pgSz w:w="11900" w:h="16878" w:orient="portrait"/>
          <w:cols w:equalWidth="0" w:num="1">
            <w:col w:w="11420"/>
          </w:cols>
          <w:pgMar w:left="240" w:top="121" w:right="239" w:bottom="0" w:gutter="0" w:footer="0" w:header="0"/>
        </w:sectPr>
      </w:pPr>
    </w:p>
    <w:bookmarkStart w:id="8" w:name="page9"/>
    <w:bookmarkEnd w:id="8"/>
    <w:p>
      <w:pPr>
        <w:ind w:lef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t>Supplemental cash flow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paid, net</w:t>
            </w:r>
          </w:p>
        </w:tc>
        <w:tc>
          <w:tcPr>
            <w:tcW w:w="67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2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paid</w:t>
            </w:r>
          </w:p>
        </w:tc>
        <w:tc>
          <w:tcPr>
            <w:tcW w:w="71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92"/>
        </w:trPr>
        <w:tc>
          <w:tcPr>
            <w:tcW w:w="2760" w:type="dxa"/>
            <w:vAlign w:val="bottom"/>
          </w:tcPr>
          <w:p>
            <w:pPr>
              <w:spacing w:after="0"/>
              <w:rPr>
                <w:sz w:val="24"/>
                <w:szCs w:val="24"/>
                <w:color w:val="auto"/>
              </w:rPr>
            </w:pPr>
          </w:p>
        </w:tc>
        <w:tc>
          <w:tcPr>
            <w:tcW w:w="7100" w:type="dxa"/>
            <w:vAlign w:val="bottom"/>
            <w:gridSpan w:val="2"/>
          </w:tcPr>
          <w:p>
            <w:pPr>
              <w:jc w:val="right"/>
              <w:ind w:right="2139"/>
              <w:spacing w:after="0"/>
              <w:rPr>
                <w:sz w:val="20"/>
                <w:szCs w:val="20"/>
                <w:color w:val="auto"/>
              </w:rPr>
            </w:pPr>
            <w:r>
              <w:rPr>
                <w:rFonts w:ascii="Arial" w:cs="Arial" w:eastAsia="Arial" w:hAnsi="Arial"/>
                <w:sz w:val="16"/>
                <w:szCs w:val="16"/>
                <w:color w:val="auto"/>
              </w:rPr>
              <w:t>See Notes to Condensed Consolidated 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9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for the year ended December 31, 2014.</w:t>
      </w:r>
    </w:p>
    <w:p>
      <w:pPr>
        <w:spacing w:after="0" w:line="63"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2014 Condensed Consolidated Financial Statements to conform to classifications used in 2015.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Inc. ("Black Knight") and ServiceLink Holdings, LLC ("ServiceLink").</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("LPS"), now combined with our ServiceLink business. Transaction services include other title related services used in the production and management of mortgage loans, including mortgage loans that experience default.</w:t>
      </w:r>
    </w:p>
    <w:p>
      <w:pPr>
        <w:spacing w:after="0" w:line="134"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 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pacing w:after="0" w:line="132"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30, 2015 we announced our intention to pursue a tax-free spin-off of ABRH to FNFV stockholders.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June 25, 2015, J. Alexander's filed a draft registration statement on Form 10 with the Securities and Exchange Commission ("SEC") for its planned spin-off (the "Spin-off") from FNF. J. Alexander's is currently presented as part of the Restaurant Group segment of FNFV. Immediately prior to the Distribution, FNF will own 13,116,000 shares of common stock of J. Alexander’s Holdings, Inc. (“PubliCo”), which represents 87.44% of the total issued and outstanding shares of PubliCo. As a result of the Spin-off, all 13,116,000 of PubliCo shares owned by FNF will be distributed ("the Distribution") in the form of a dividend to common stockholders of FNFV. As a result of the Distribution, each FNFV shareholder is expected to receive 0.1678 shares of PubliCo's common stock for each share of FNFV common stock owned by such shareholder. The Spin-off and Distribution are subject to the satisfaction or waiver of certain conditions as outlined in their Form 10 filed with the SEC on June 25, 2015. The registration statement has not yet become effective. As a result, shares to be registered may not be sold nor may offers to buy be accepted prior to the time when the registration statement becomes effective.</w:t>
      </w:r>
    </w:p>
    <w:p>
      <w:pPr>
        <w:spacing w:after="0" w:line="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their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Black Knight Operating LLC. Following the IPO, we own 55% of the outstanding shares of Black Knight in the form of Class B common stock, with a corresponding ownership interest in Black Knight Operating, LLC.</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16, 2015, we closed the sale of substantially all of the assets of Cascade Timberlands, LLC ("Cascade") which grows and sells timber and in which we owned a 70.2% interest, for $85 million less a replanting allowance of $1 million and an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indemnity holdback of $1 million. The revenue from the sale was recorded in Escrow, title related and other fees and the cost of the land sold was in Other operating expenses in the Condensed Consolidated Statement of Operations in the six months ended June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4, 2015, Digital Insurance closed on the purchase of Compass Consulting Group, Inc. ("Compass") and Prospective Risk Management Corporation ("Prospective"), pursuant to a certain Stock Purchase Agreement, for approximately $21 million. We have consolidated the results of Compass and Prospective as of June 30, 2015. Compass provides insurance and employee benefits consulting services for companies nationwide. Prospective is a third-party health care underwriting and consulting firm that offers risk assessment and risk consulting services to health insuring corporations, Professional Employer Organizations and Multiple Employer Welfare Arrangement organizations, single employer plans, and the agent/broker/health care consultant community.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12, 2015, we closed the purchase of BPG Holdings, LLC ("BPG"), pursuant to a certain Membership Interest Purchase Agreement, for $46 million. We consolidated the results of BPG as of March 31, 2015. BPG is a recognized leader in home warranty, home inspection services and commercial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2014, we completed the distribution (the "Remy Spin-off") of all of the outstanding shares of common stock of New Remy Corp. ("New Remy", NASDAQ: REMY) to FNFV shareholders. We continue to hold $29 million in Remy term loans, which are included in Fixed maturities available for sale on the Condensed Consolidated Balance Sheet. Prior to the Remy Spin-off these investments were eliminated in consolidation.</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Remy Spin-off, the results from New Remy are reflected in the Condensed Consolidated Statements of Earnings as discontinued operations for the three and six months ended June 30, 2014. Total revenue included in discontinued operations was $301 million and $603 million for the three and six months ended June 30, 2014, respectively. Pre-tax earnings included in discontinued operations were $8 million and $18 million for the three and six months ended June 30,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operations of Remy to the Statement of Earnings is shown below:</w:t>
      </w: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176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92"/>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44"/>
        </w:trPr>
        <w:tc>
          <w:tcPr>
            <w:tcW w:w="7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tcPr>
          <w:p>
            <w:pPr>
              <w:jc w:val="right"/>
              <w:ind w:right="472"/>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7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5"/>
        </w:trPr>
        <w:tc>
          <w:tcPr>
            <w:tcW w:w="7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Auto parts revenues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7240" w:type="dxa"/>
            <w:vAlign w:val="bottom"/>
          </w:tcPr>
          <w:p>
            <w:pPr>
              <w:ind w:left="160"/>
              <w:spacing w:after="0"/>
              <w:rPr>
                <w:sz w:val="20"/>
                <w:szCs w:val="20"/>
                <w:color w:val="auto"/>
              </w:rPr>
            </w:pPr>
            <w:r>
              <w:rPr>
                <w:rFonts w:ascii="Arial" w:cs="Arial" w:eastAsia="Arial" w:hAnsi="Arial"/>
                <w:sz w:val="18"/>
                <w:szCs w:val="18"/>
                <w:color w:val="auto"/>
              </w:rPr>
              <w:t>Other revenues</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29"/>
        </w:trPr>
        <w:tc>
          <w:tcPr>
            <w:tcW w:w="72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60"/>
              <w:spacing w:after="0"/>
              <w:rPr>
                <w:sz w:val="20"/>
                <w:szCs w:val="20"/>
                <w:color w:val="auto"/>
              </w:rPr>
            </w:pPr>
            <w:r>
              <w:rPr>
                <w:rFonts w:ascii="Arial" w:cs="Arial" w:eastAsia="Arial" w:hAnsi="Arial"/>
                <w:sz w:val="18"/>
                <w:szCs w:val="18"/>
                <w:color w:val="auto"/>
              </w:rPr>
              <w:t>Personnel costs</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240" w:type="dxa"/>
            <w:vAlign w:val="bottom"/>
          </w:tcPr>
          <w:p>
            <w:pPr>
              <w:ind w:left="160"/>
              <w:spacing w:after="0"/>
              <w:rPr>
                <w:sz w:val="20"/>
                <w:szCs w:val="20"/>
                <w:color w:val="auto"/>
              </w:rPr>
            </w:pPr>
            <w:r>
              <w:rPr>
                <w:rFonts w:ascii="Arial" w:cs="Arial" w:eastAsia="Arial" w:hAnsi="Arial"/>
                <w:sz w:val="18"/>
                <w:szCs w:val="18"/>
                <w:color w:val="auto"/>
              </w:rPr>
              <w:t>Cost of auto parts revenues</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&amp;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Less: Net earnings attributable to non-controlling interests</w:t>
            </w:r>
          </w:p>
        </w:tc>
        <w:tc>
          <w:tcPr>
            <w:tcW w:w="3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7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Net earnings from discontinued operations attributable to Fidelity National Financial, Inc.</w:t>
            </w: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shareholders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0"/>
              <w:spacing w:after="0"/>
              <w:rPr>
                <w:sz w:val="20"/>
                <w:szCs w:val="20"/>
                <w:color w:val="auto"/>
              </w:rPr>
            </w:pPr>
            <w:r>
              <w:rPr>
                <w:rFonts w:ascii="Arial" w:cs="Arial" w:eastAsia="Arial" w:hAnsi="Arial"/>
                <w:sz w:val="18"/>
                <w:szCs w:val="18"/>
                <w:color w:val="auto"/>
              </w:rPr>
              <w:t>Cash flow from discontinued operations data:</w:t>
            </w: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operations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Options or other instruments which provide the ability to purchase shares of our common stock that are antidilutive are excluded from the computation of diluted earnings per share. There were no antidilutive options during the three and six months ended June 30, 2015 and June 30, 2014.</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Condensed Consolidated Statements of Earnings for the three and six month period ended June 30, 2014 includes shares of Old FNF common stock. The weighted average shares outstanding presented on the Condensed Consolidated Statements of Earnings for the three and six month periods ended June 30, 2015 include shares of FNF Group common stock and FNFV Group common stock. Earnings per share for all periods presented are attributed to the related class of common stock.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Sales of Stock by a Subsidiary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discussed above, Black Knight closed on its IPO on May 26, 2015. Black Knight received net proceeds of $475 million from the offering, net of underwriting discounts and fees. As a result, we recorded a $53 million gain to additional paid in capital, a decrease in non-controlling interest in consolidated subsidiary of $96 million and an increase to deferred tax liability of $43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February 2015, the Financial Accounting Standards Board ("FASB") issued Accounting Standards Update ("ASU") No. 2015-02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(Topic 810).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prior periods. We are evaluating the effect this new guidance will have on our consolidated financial statements and related disclosures and have not yet determined the effect of the standard on our ongoing financial reporting. This update is effective for annual and interim periods beginning on or after December 15, 2015, with early application permitted.</w:t>
      </w:r>
    </w:p>
    <w:p>
      <w:pPr>
        <w:spacing w:after="0" w:line="6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April 2015, FASB issued ASU No. 2015-03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xml:space="preserve"> (Subtopic 835-30). The ASU was issued as part of FASB's current plan to simplify overly complex standards. To simplify presentation of debt issuance costs,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this ASU. The update requires retrospective application to all prior period amounts presented. This update is effective for annual and interim periods beginning on or after December 15, 2015, with early application permitted. We have early adopted the standard as of June 30, 2015 and have retrospectively applied the standard to all periods presented. Accordingly, unamortized debt issuance costs of $36 million and $23 million have been reclassified from Other intangible assets to offset Notes payable in the Condensed Consolidated Balance Sheets as of June 30, 2015 and December 31, 2014, respectively. Had we adopted this ASU as of March 31, 2015, $23 million of debt issuance costs would have been reclassified from Other intangible assets to offset Note payable in our March 31, 2015 Condensed Consolidated Balance Sheet. The reclassification had no effect on income or retained earnings in any period.</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2015, FASB issued ASU No. 2015-09 </w:t>
      </w:r>
      <w:r>
        <w:rPr>
          <w:rFonts w:ascii="Arial" w:cs="Arial" w:eastAsia="Arial" w:hAnsi="Arial"/>
          <w:sz w:val="17"/>
          <w:szCs w:val="17"/>
          <w:i w:val="1"/>
          <w:iCs w:val="1"/>
          <w:color w:val="auto"/>
        </w:rPr>
        <w:t>Financial Services - Insurance</w:t>
      </w:r>
      <w:r>
        <w:rPr>
          <w:rFonts w:ascii="Arial" w:cs="Arial" w:eastAsia="Arial" w:hAnsi="Arial"/>
          <w:sz w:val="17"/>
          <w:szCs w:val="17"/>
          <w:color w:val="auto"/>
        </w:rPr>
        <w:t xml:space="preserve"> (Topic 944): Disclosures about Short-Duration Contracts.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and interim periods beginning after December 15, 2015, and interim periods within annual periods beginning after December 15, 2016, with early application permitted. We do not expect this update to have a significant effect on our ongoing financial reporting as our primary insurance products are not short-duration contracts. However, we are still evaluating the totality of the effects the update will have on our disclosures.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June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2"/>
              </w:rPr>
              <w:t>June 30, 2015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3,415</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2014</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1,820</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and December 31, 2014 we held no assets nor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2015 and December 31, 2014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2015</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1,638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289</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3,415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1,820</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2015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72</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97"/>
        </w:trPr>
        <w:tc>
          <w:tcPr>
            <w:tcW w:w="6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51"/>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$1,308 million and $1,317 million in amortized cost and fair value, respectively, of fixed maturity securities with make-whole call provisions as of June 30, 2015.</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2015 and December 31, 2014,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State and political subdivisions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895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Pr>
          <w:p>
            <w:pPr>
              <w:jc w:val="center"/>
              <w:ind w:left="322"/>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4"/>
                <w:szCs w:val="2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recorded no impairment charges relating to investments during the three or six-month periods ended June 30, 2015 or 2014. As of both June 30, 2015 and December 31, 2014, we held $5 million in fixed maturity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six-month periods ended June 30, 2015 and 2014,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1"/>
              </w:rPr>
              <w:t>Three months ended June 30, 2015</w:t>
            </w: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jc w:val="center"/>
              <w:ind w:left="3"/>
              <w:spacing w:after="0"/>
              <w:rPr>
                <w:sz w:val="20"/>
                <w:szCs w:val="20"/>
                <w:color w:val="auto"/>
              </w:rPr>
            </w:pPr>
            <w:r>
              <w:rPr>
                <w:rFonts w:ascii="Arial" w:cs="Arial" w:eastAsia="Arial" w:hAnsi="Arial"/>
                <w:sz w:val="14"/>
                <w:szCs w:val="14"/>
                <w:b w:val="1"/>
                <w:bCs w:val="1"/>
                <w:color w:val="auto"/>
                <w:w w:val="90"/>
              </w:rPr>
              <w:t>Six months ended June 30, 2015</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3"/>
            <w:vMerge w:val="restart"/>
          </w:tcPr>
          <w:p>
            <w:pPr>
              <w:jc w:val="center"/>
              <w:ind w:left="104"/>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1"/>
              </w:rPr>
              <w:t>Gross Proceeds</w:t>
            </w:r>
          </w:p>
        </w:tc>
        <w:tc>
          <w:tcPr>
            <w:tcW w:w="100" w:type="dxa"/>
            <w:vAlign w:val="bottom"/>
          </w:tcPr>
          <w:p>
            <w:pPr>
              <w:spacing w:after="0"/>
              <w:rPr>
                <w:sz w:val="13"/>
                <w:szCs w:val="13"/>
                <w:color w:val="auto"/>
              </w:rPr>
            </w:pPr>
          </w:p>
        </w:tc>
        <w:tc>
          <w:tcPr>
            <w:tcW w:w="720" w:type="dxa"/>
            <w:vAlign w:val="bottom"/>
            <w:gridSpan w:val="2"/>
            <w:vMerge w:val="restart"/>
          </w:tcPr>
          <w:p>
            <w:pPr>
              <w:jc w:val="center"/>
              <w:ind w:left="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Realized</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Net Realized</w:t>
            </w: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040" w:type="dxa"/>
            <w:vAlign w:val="bottom"/>
            <w:gridSpan w:val="4"/>
          </w:tcPr>
          <w:p>
            <w:pPr>
              <w:jc w:val="right"/>
              <w:ind w:right="308"/>
              <w:spacing w:after="0" w:line="149"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2"/>
                <w:szCs w:val="12"/>
                <w:color w:val="auto"/>
              </w:rPr>
            </w:pPr>
          </w:p>
        </w:tc>
        <w:tc>
          <w:tcPr>
            <w:tcW w:w="720" w:type="dxa"/>
            <w:vAlign w:val="bottom"/>
            <w:gridSpan w:val="2"/>
          </w:tcPr>
          <w:p>
            <w:pPr>
              <w:jc w:val="center"/>
              <w:ind w:left="4"/>
              <w:spacing w:after="0" w:line="149" w:lineRule="exact"/>
              <w:rPr>
                <w:sz w:val="20"/>
                <w:szCs w:val="20"/>
                <w:color w:val="auto"/>
              </w:rPr>
            </w:pPr>
            <w:r>
              <w:rPr>
                <w:rFonts w:ascii="Arial" w:cs="Arial" w:eastAsia="Arial" w:hAnsi="Arial"/>
                <w:sz w:val="14"/>
                <w:szCs w:val="14"/>
                <w:b w:val="1"/>
                <w:bCs w:val="1"/>
                <w:color w:val="auto"/>
                <w:w w:val="91"/>
              </w:rPr>
              <w:t>Realized</w:t>
            </w:r>
          </w:p>
        </w:tc>
        <w:tc>
          <w:tcPr>
            <w:tcW w:w="300" w:type="dxa"/>
            <w:vAlign w:val="bottom"/>
          </w:tcPr>
          <w:p>
            <w:pPr>
              <w:spacing w:after="0"/>
              <w:rPr>
                <w:sz w:val="12"/>
                <w:szCs w:val="12"/>
                <w:color w:val="auto"/>
              </w:rPr>
            </w:pPr>
          </w:p>
        </w:tc>
        <w:tc>
          <w:tcPr>
            <w:tcW w:w="6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9"/>
              </w:rPr>
              <w:t>Gains (Losses)</w:t>
            </w:r>
          </w:p>
        </w:tc>
        <w:tc>
          <w:tcPr>
            <w:tcW w:w="10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Sale/Maturity</w:t>
            </w:r>
          </w:p>
        </w:tc>
        <w:tc>
          <w:tcPr>
            <w:tcW w:w="100" w:type="dxa"/>
            <w:vAlign w:val="bottom"/>
          </w:tcPr>
          <w:p>
            <w:pPr>
              <w:spacing w:after="0"/>
              <w:rPr>
                <w:sz w:val="16"/>
                <w:szCs w:val="16"/>
                <w:color w:val="auto"/>
              </w:rPr>
            </w:pPr>
          </w:p>
        </w:tc>
        <w:tc>
          <w:tcPr>
            <w:tcW w:w="720" w:type="dxa"/>
            <w:vAlign w:val="bottom"/>
            <w:tcBorders>
              <w:bottom w:val="single" w:sz="8" w:color="auto"/>
            </w:tcBorders>
            <w:gridSpan w:val="2"/>
          </w:tcPr>
          <w:p>
            <w:pPr>
              <w:jc w:val="center"/>
              <w:ind w:left="4"/>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6"/>
          </w:tcPr>
          <w:p>
            <w:pPr>
              <w:jc w:val="center"/>
              <w:ind w:left="344"/>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Fixed maturity securities available for</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740" w:type="dxa"/>
            <w:vAlign w:val="bottom"/>
            <w:tcBorders>
              <w:bottom w:val="single" w:sz="8" w:color="CCEEFF"/>
            </w:tcBorders>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60" w:type="dxa"/>
            <w:vAlign w:val="bottom"/>
            <w:tcBorders>
              <w:bottom w:val="single" w:sz="8" w:color="CCEEFF"/>
            </w:tcBorders>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6"/>
              </w:rPr>
              <w:t>284</w:t>
            </w:r>
          </w:p>
        </w:tc>
        <w:tc>
          <w:tcPr>
            <w:tcW w:w="540" w:type="dxa"/>
            <w:vAlign w:val="bottom"/>
            <w:tcBorders>
              <w:bottom w:val="single" w:sz="8" w:color="CCEEFF"/>
            </w:tcBorders>
            <w:gridSpan w:val="2"/>
            <w:shd w:val="clear" w:color="auto" w:fill="CCEEFF"/>
          </w:tcPr>
          <w:p>
            <w:pPr>
              <w:jc w:val="center"/>
              <w:ind w:right="12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1"/>
                <w:szCs w:val="21"/>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21"/>
                <w:szCs w:val="21"/>
                <w:color w:val="auto"/>
              </w:rPr>
            </w:pPr>
          </w:p>
        </w:tc>
        <w:tc>
          <w:tcPr>
            <w:tcW w:w="400" w:type="dxa"/>
            <w:vAlign w:val="bottom"/>
            <w:gridSpan w:val="3"/>
          </w:tcPr>
          <w:p>
            <w:pPr>
              <w:jc w:val="right"/>
              <w:ind w:right="4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extinguishment costs</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86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w w:val="86"/>
              </w:rPr>
              <w:t>317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center"/>
              <w:ind w:left="74"/>
              <w:spacing w:after="0"/>
              <w:rPr>
                <w:sz w:val="20"/>
                <w:szCs w:val="20"/>
                <w:color w:val="auto"/>
              </w:rPr>
            </w:pPr>
            <w:r>
              <w:rPr>
                <w:rFonts w:ascii="Arial" w:cs="Arial" w:eastAsia="Arial" w:hAnsi="Arial"/>
                <w:sz w:val="14"/>
                <w:szCs w:val="14"/>
                <w:b w:val="1"/>
                <w:bCs w:val="1"/>
                <w:color w:val="auto"/>
                <w:w w:val="91"/>
              </w:rPr>
              <w:t>Three months ended June 30, 2014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Six months ended June 30, 2014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Gross Realized</w:t>
            </w:r>
          </w:p>
        </w:tc>
        <w:tc>
          <w:tcPr>
            <w:tcW w:w="300" w:type="dxa"/>
            <w:vAlign w:val="bottom"/>
          </w:tcPr>
          <w:p>
            <w:pPr>
              <w:spacing w:after="0"/>
              <w:rPr>
                <w:sz w:val="13"/>
                <w:szCs w:val="13"/>
                <w:color w:val="auto"/>
              </w:rPr>
            </w:pPr>
          </w:p>
        </w:tc>
        <w:tc>
          <w:tcPr>
            <w:tcW w:w="74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Net Realized</w:t>
            </w:r>
          </w:p>
        </w:tc>
        <w:tc>
          <w:tcPr>
            <w:tcW w:w="80" w:type="dxa"/>
            <w:vAlign w:val="bottom"/>
          </w:tcPr>
          <w:p>
            <w:pPr>
              <w:spacing w:after="0"/>
              <w:rPr>
                <w:sz w:val="13"/>
                <w:szCs w:val="13"/>
                <w:color w:val="auto"/>
              </w:rPr>
            </w:pPr>
          </w:p>
        </w:tc>
        <w:tc>
          <w:tcPr>
            <w:tcW w:w="1360" w:type="dxa"/>
            <w:vAlign w:val="bottom"/>
            <w:gridSpan w:val="6"/>
          </w:tcPr>
          <w:p>
            <w:pPr>
              <w:jc w:val="right"/>
              <w:ind w:right="308"/>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540" w:type="dxa"/>
            <w:vAlign w:val="bottom"/>
            <w:gridSpan w:val="2"/>
          </w:tcPr>
          <w:p>
            <w:pPr>
              <w:jc w:val="center"/>
              <w:ind w:right="104"/>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9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from</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Gains</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Gains (Losses)</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center"/>
              <w:ind w:right="104"/>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2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sale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June 30, 2015 and December 31, 2014,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months ended June 30, 2015, Ceridian sold a portion of its holdings of Fleetcor common stock. The sale resulted in distributions from Ceridian to us of $135 million in the three months ended June 30, 2015 which reduced our associated balance of investments in unconsolidated affiliates.</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investment in Ceridian bonds is included in Fixed maturity securities available for sale on the Condensed Consolidated Balance Sheets and had a fair value of $31 million and $32 million as of June 30, 2015 and December 31, 2014, respectively. We did not purchase or dispose of any Ceridian Bonds for the three or six-month periods ended June 30, 2015.</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historically accounted for our equity in Ceridian on a three-month lag. However, during the first quarter of 2014, we began to account for our equity in Ceridian on a real-time basis. Accordingly, our net earnings for the six-month period ended June 30, 2014 includes our equity in Ceridian's earnings for the nine-month period ended June 30, 2014. Our net earnings for the three and six-month periods ended June 30, 2015 includes our equity in Ceridian's earnings for the corresponding three and six-month periods ended June 30,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three month periods ended June 30, 2015 and 2014, we recorded $2 million and $(5) million, in equity in earnings (losses) of Ceridian, respectively. During the six month periods ended June 30, 2015 and 2014, we recorded $1 million and $(35) million, in equity in earnings (losses) of Ceridian, respectively. There was $2 million in equity in earnings of other unconsolidated affiliates during the three month period ended June 30, 2015 and no equity in earnings of other unconsolidated affiliates during the same period in 2014. There were $2 million and $(1) million in equity in earnings (losses) of other unconsolidated affiliates during the six month periods ended June 30, 2015 and 2014, respectively.</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for Ceridian for the relevant dates and time periods included in Investments in unconsolidated affiliates and Equity in earnings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4,957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1,168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8,975</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4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5"/>
              </w:rPr>
              <w:t>Three months ended June</w:t>
            </w:r>
          </w:p>
        </w:tc>
        <w:tc>
          <w:tcPr>
            <w:tcW w:w="17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w w:val="94"/>
              </w:rPr>
              <w:t>Three months ended June</w:t>
            </w:r>
          </w:p>
        </w:tc>
        <w:tc>
          <w:tcPr>
            <w:tcW w:w="194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9"/>
              </w:rPr>
              <w:t>Six Months Ended June 30,</w:t>
            </w:r>
          </w:p>
        </w:tc>
        <w:tc>
          <w:tcPr>
            <w:tcW w:w="180" w:type="dxa"/>
            <w:vAlign w:val="bottom"/>
          </w:tcPr>
          <w:p>
            <w:pPr>
              <w:spacing w:after="0"/>
              <w:rPr>
                <w:sz w:val="14"/>
                <w:szCs w:val="14"/>
                <w:color w:val="auto"/>
              </w:rPr>
            </w:pPr>
          </w:p>
        </w:tc>
        <w:tc>
          <w:tcPr>
            <w:tcW w:w="17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Nine Months Ended June</w:t>
            </w:r>
          </w:p>
        </w:tc>
      </w:tr>
      <w:tr>
        <w:trPr>
          <w:trHeight w:val="192"/>
        </w:trPr>
        <w:tc>
          <w:tcPr>
            <w:tcW w:w="40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30, 2015</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30, 2014</w:t>
            </w: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30, 2014</w:t>
            </w:r>
          </w:p>
        </w:tc>
      </w:tr>
      <w:tr>
        <w:trPr>
          <w:trHeight w:val="196"/>
        </w:trPr>
        <w:tc>
          <w:tcPr>
            <w:tcW w:w="4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gridSpan w:val="2"/>
          </w:tcPr>
          <w:p>
            <w:pPr>
              <w:jc w:val="center"/>
              <w:ind w:left="877"/>
              <w:spacing w:after="0"/>
              <w:rPr>
                <w:sz w:val="20"/>
                <w:szCs w:val="20"/>
                <w:color w:val="auto"/>
              </w:rPr>
            </w:pPr>
            <w:r>
              <w:rPr>
                <w:rFonts w:ascii="Arial" w:cs="Arial" w:eastAsia="Arial" w:hAnsi="Arial"/>
                <w:sz w:val="14"/>
                <w:szCs w:val="14"/>
                <w:b w:val="1"/>
                <w:bCs w:val="1"/>
                <w:color w:val="auto"/>
                <w:w w:val="96"/>
              </w:rPr>
              <w:t>(In millions)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197</w:t>
            </w:r>
          </w:p>
        </w:tc>
        <w:tc>
          <w:tcPr>
            <w:tcW w:w="3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213</w:t>
            </w:r>
          </w:p>
        </w:tc>
        <w:tc>
          <w:tcPr>
            <w:tcW w:w="6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(loss) before income taxes</w:t>
            </w:r>
          </w:p>
        </w:tc>
        <w:tc>
          <w:tcPr>
            <w:tcW w:w="380" w:type="dxa"/>
            <w:vAlign w:val="bottom"/>
          </w:tcPr>
          <w:p>
            <w:pPr>
              <w:spacing w:after="0"/>
              <w:rPr>
                <w:sz w:val="21"/>
                <w:szCs w:val="21"/>
                <w:color w:val="auto"/>
              </w:rPr>
            </w:pP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1"/>
                <w:szCs w:val="21"/>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891"/>
        </w:trPr>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D —Notes Payable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FNF Term Loan, interest payable monthly at LIBOR + 1.63%, due January 2019</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8"/>
              </w:rPr>
              <w:t>Revolving Credit Facility, unsecured, unused portion of $800 at June 30, 2015, due July 2018 with interest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+ 1.45%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Unsecured Black Knight InfoServ notes, including premium, interest payable semi-annually at 5.75%, due April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8"/>
              </w:rPr>
              <w:t>Black Knight Term A Facility, due May 27, 2020 with interest currently payable monthly at LIBOR + 2.25%</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(2.44% at June 30, 2015)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Black Knight Term B Facility, due May 27, 2022 with interest currently payable quarterly at LIBOR + 3.00%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(3.75% at June 30, 2015)</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Black Knight Revolving Credit Facility, unused portion of $300, due May 27, 2020 with interest currently</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payable monthly at LIBOR + 2.25% (2.44% at June 30, 2015)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ABRH Term Loan, interest payable monthly at LIBOR + 2.75% (2.94% at June 30, 2015), due August 2019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8"/>
              </w:rPr>
              <w:t>Digital Insurance Revolving Credit Facility, unused portion $26 at June 30, 2015, due March 31, 2020 with</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interest payable monthly at LIBOR + 2.50% - 3.50% (3.43% at June 30, 2015)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ABRH Revolving Credit Facility, unused portion of $83 at June 30, 2015, due August 2019 with interest payable</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at LIBOR + 2.75%</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June 30, 2015, the estimated fair value of our long-term debt was approximately $3,231 million or $366 million higher than its carrying value, excluding unamortized debt issuance costs. The carrying value of our ABRH term loan approximates the fair value at June 30, 2015 as it is a variable rate instrument with short reset periods which reflects current market rates. The fair value of our unsecured notes payable was $1,760 million as of June 30, 2015. The fair values of our unsecured notes payable are based on established market prices for the securities on June 30, 2015 and are considered Level 2 financial liabilities. The carrying value of the Black Knight Term A and Term B facilities and the Digital Insurance revolving credit facility approximate fair value at June 30, 2015, as they were entered into recently and there has no been a significant change to market rates. The revolving credit facilities are considered Level 2 financial liabilities.</w:t>
      </w:r>
    </w:p>
    <w:p>
      <w:pPr>
        <w:spacing w:after="0" w:line="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27, 2015, BKIS entered into a credit and guaranty agreement (the “BKIS Credit Agreement”) with an aggregate borrowing capacity of $1.6 billion with JPMorgan Chase Bank, N.A. as administrative agent, the guarantors party thereto, the other agents party thereto and the lenders party thereto. The BKIS Credit Agreement provides for (i) an $800 million term loan A facility (the “Term A Facility”), (ii) a $400 million term loan B facility (the “Term B Facility”) and (iii) a $400 million revolving credit facility (the “Revolving Credit Facility”, and collectively with the Term A Facility and Term B Facility, the “Facilities”). The loans under the Term A Facility and the Revolving Credit Facility mature on May 27, 2020 and the loans under the Term B Facility mature on May 27, 2022. The Facilities are guaranteed by all of BKIS’s wholly-owned domestic restricted subsidiaries and Black Knight Financial Services, LLC, a Delaware limited liability company and the direct parent company of BKIS (“Holdings”), and are secured by associated collateral agreements which pledge a lien on virtually all of the BKIS’s assets, including fixed assets and intangibles, and the assets of the guarantors. The Term A Facility and the Revolving Credit Facility bear interest at rates based upon, at the option of BKIS, either (i) the base rate plus a margin of between 50 and 125 basis points depending on the total leverage ratio of Holdings and its restricted subsidiaries on a consolidated basis (the “Consolidated Leverage Ratio”) and (ii) the Eurodollar rate plus a margin of between 150 and 225 basis points depending on the Consolidated Leverage Ratio. Until</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delivery of the initial financial statements under the BKIS Credit Agreement, the Term A Facility and the Revolving Credit Facility bear interest, at the option of BKIS, at either (i) the base rate plus a margin of 125 basis points or (ii) the Eurodollar rate plus a margin of 225 basis points. The Term B Facility bears interest at rates based upon, at the option of BKIS, either (i) the base rate plus a margin of 175 or 200 basis points depending on the Consolidated Leverage Ratio and (ii) the Eurodollar rate plus a margin of 275 or 300 basis points depending on the Consolidated Leverage Ratio; subject to a Eurodollar rate floor of 75 basis points. Until the delivery of the initial financial statements under the BKIS Credit Agreement, the Term B Facility bears interest, at the option of BKIS, at either (i) the base rate plus a margin of 200 basis points or (ii) the Eurodollar rate plus a margin of 300 basis points. In addition, BKIS will pay an unused commitment fee of between 25 and 35 basis points on the undrawn commitments under the Revolving Credit Facility, also depending on the Consolidated Leverage Ratio. As of June 30, 2015 BKIS had aggregate outstanding debt of $1,230 million under the BKIS Credit Agreement, net of debt issuance costs. We hold approximately $50 million of the outstanding Term B notes which eliminate in consolidation.</w:t>
      </w:r>
    </w:p>
    <w:p>
      <w:pPr>
        <w:spacing w:after="0" w:line="3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Digital Insurance Facility provides for a maximum revolving loan of up to $120 million with a maturity date of March 31, 2020. The Digital Insurance Facility is guaranteed by Digital Insurance Holdings, Inc. (“DIH”) and each subsidiary of Digital Insurance (together with DIH, the “Loan Parties”) and secured by (i) a lien on all equity interests in Digital Insurance and each of its present and future subsidiaries, (ii) all property and assets of Digital Insurance and (iii) all proceeds and products of the property described in (i) and (ii) above. Pricing under the Digital Insurance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 between 25 and 40 basis points on the actual daily unused portions of the Digital Insurance Facility. The Digital Insurance Facility also allows Digital Insurance to request up to $15 million in letters of credit commitments and $10 million in swingline debt from Bank of America. The Digital Insurance Facility allows Digital Insurance to elect to increase the amount of revolving commitments by up to $40 million so long as (i) no default or event of default exists under the Digital Insurance Facility at the time of such request and (ii) Digital Insurance is in compliance with its financial covenants on a pro forma basis after giving effect to such request. The Digital Insurance facility is subject to affirmative, negative and financial covenants customary for financings of this type, including, among other things, limits on Digital Insurance’s creation of liens, incurrence of indebtedness, dispositions of assets, restricted payments and transactions with affiliates. The Digital Insurance Facility includes customary events of default for 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June 30, 2015, Digital Insurance had outstanding debt of $94 million under the Digital Insurance Facility.</w:t>
      </w:r>
    </w:p>
    <w:p>
      <w:pPr>
        <w:spacing w:after="0" w:line="19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As of June 30, 2015, ABRH has no outstanding borrowings under the ABRH Revolver.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is also due at a rate per annum equal to between 32.5 and 40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ABRH's creation of liens, sales of assets, incurrence of indebtedness, restricted payments and transactions with affiliates. The covenants addressing restricted payments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$1.5 million if such dividend occurs on or before June 15, 2016. The ABRH Credit Facility 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$17 million of outstanding letters of credit and $83 million of remaining borrowing capacity under the ABRH Credit Facility as of June 30, 2015.</w:t>
      </w:r>
    </w:p>
    <w:p>
      <w:pPr>
        <w:spacing w:after="0" w:line="17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in 2023, initially issued by BKIS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Prior to October 15, 2017, BKIS may redeem some or all of the Black Knight Senior Notes by paying a “make-whole” premium based on U.S. Treasury rates. On or after October 15, 2017, BKIS may redeem some or all of the Black Knight Senior Notes at the redemption prices described in the Black Knight Senior Notes indenture, plus accrued and unpaid interest. In addition, if a change of control occurs, BKIS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BKIS's ability and the ability of certain of its subsidiaries (a) to incur or guarantee additional indebtedness or issue preferred stock, (b) to make certain restricted payments, including dividends or distributions on equity interests held by persons other than BKIS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BKIS or certain other subsidiaries, (ii) repay any debt or make any loans or advances to BKIS or certain other subsidiaries or (iii) transfer any property or assets to BKIS or certain other subsidiaries, (f) to sell or dispose of assets of BKIS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BKIS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BKIS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BKIS or certain subsidiaries), the trustee or holders of at least 25% of the Black Knight Senior Notes then outstanding may accelerate the Black Knight Senior Notes by giving us appropriate notice. If, however, a bankruptcy default occurs with respect to BKIS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principal of its Black Knight Senior Notes at a price of 105.75% under the note feature allowing redemption using proceeds from an equity offering.</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permitted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163 basis points over LIBOR.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Revolving Credit Facility. On October 27, 2013, we amended the Term Loan Agreement to permit us to incur the indebtedness in respect of the Bridge Facility and incorporate technical changes to describe the structure of the LPS merger. As part of the acquisition of LPS on January 2, 2014, the Term Loan Agreement was fully funded. In May 2015 we repaid the entire $1.1 billion outstanding balance of the term loan.</w:t>
      </w:r>
    </w:p>
    <w:p>
      <w:pPr>
        <w:spacing w:after="0" w:line="6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amended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1.0%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Existing Credit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except that the total debt to total capitalization ratio limit of 35% increased to 37.5% for a period of one year after the closing of the LPS acquisition and the net worth test was reset. As of June 30, 2015 there was no outstanding balance under the Revolving Credit Facility and $6 million in unamortized debt issuance costs.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August 28, 2012, FNF completed an offering of $400 million in aggregate principal amount of 5.50% notes due September 2022 (the "5.50% notes"), pursuant to an effective registration statement previously filed with the SEC.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and $50 million outstanding on our revolving credit facility, with the remainder being used for general corporate purposes.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14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FNF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10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Beginning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4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May 5, 2010, FNF completed an offering of $300 million in aggregate principal amount of our 6.60% notes due May 2017 (the "6.60% Notes"), pursuant to an effective registration statement previously filed with the SEC.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2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0020" w:type="dxa"/>
            <w:vAlign w:val="bottom"/>
          </w:tcPr>
          <w:p>
            <w:pPr>
              <w:ind w:left="160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37"/>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2015 are as follows (in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2015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2,912</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$89 million as of June 30, 2015 and $95 million as of December 31,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early 2011, the Board of Governors of the Federal Reserve System, the Federal Deposit Insurance Corporation, the Office of the Comptroller of the Currency and the Office of Thrift Supervision (collectively, the “Banking Agencies”), announced formal consent orders against several national bank mortgage servicers and third-party servicer providers for inappropriate practices related to residential mortgage loan servicing and foreclosure processing. As a third-party service provider, LPS entered into a consent order (the “Order”) dated April 13, 2011 with the banking agencies. The banking agencies' review of LPS' services included the services provided by its default operations to mortgage servicers regulated by the banking agencies, including 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 independent third party to conduct a risk assessment and review of its default management businesses and the document execution services we provided to servicers from January 1, 2008 through December 31, 2010.</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is likely to continue to take longer to complete than previously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anticipated. In addition, the LPS default operations that were subject to the Order were contributed to ServiceLink in connection with the Internal Reorganization. To the extent such third party review, once completed, requires additional remediation of mortgage documents, ServiceLink has agreed to implement an appropriate plan to address the issues. The Order contains various deadlines to accomplish the undertakings set forth therein, including the preparation of a remediation plan following the completion of the document execution review. We or the LPS default operations contributed to ServiceLink will continue to make periodic reports to the Banking Agencies on the progress with respect to each of the undertakings in the Order. The Order does not include any fine or other monetary penalty, although the Banking Agencies have not yet concluded their assessment of whether any civil monetary penalties should be imposed. ServiceLink has accrued for estimated losses expected to be paid for this matter in our legal and regulatory accrual.</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3"/>
        </w:trPr>
        <w:tc>
          <w:tcPr>
            <w:tcW w:w="10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(remaining)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Dividends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20, 2015, our Board of Directors declared cash dividends of $0.21 per share, payable on September 30, 2015, to FNF Group common shareholders of record as of September 16,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Prior period segment information has been restated to conform to the current segment presentation.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1,144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827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857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371</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1,735</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1,971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2,372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1,768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1,995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2,395</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252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8,735</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298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12,659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1,738</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14,397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4,740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and for the three months ended June 30, 2014:</w:t>
      </w:r>
    </w:p>
    <w:p>
      <w:pPr>
        <w:spacing w:after="0" w:line="157"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FNFV</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9"/>
              </w:rPr>
              <w:t>Corporate</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1"/>
              </w:rPr>
              <w:t>FNF Core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Total FNF</w:t>
            </w:r>
          </w:p>
        </w:tc>
        <w:tc>
          <w:tcPr>
            <w:tcW w:w="9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color w:val="auto"/>
                <w:w w:val="87"/>
              </w:rPr>
              <w:t>and Other (1)</w:t>
            </w: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3"/>
              </w:rPr>
              <w:t>Total</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900" w:type="dxa"/>
            <w:vAlign w:val="bottom"/>
            <w:vMerge w:val="continue"/>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color w:val="auto"/>
                <w:w w:val="84"/>
              </w:rPr>
              <w:t>Restaurant</w:t>
            </w:r>
          </w:p>
        </w:tc>
        <w:tc>
          <w:tcPr>
            <w:tcW w:w="1040" w:type="dxa"/>
            <w:vAlign w:val="bottom"/>
          </w:tcPr>
          <w:p>
            <w:pPr>
              <w:jc w:val="center"/>
              <w:spacing w:after="0" w:line="131" w:lineRule="exact"/>
              <w:rPr>
                <w:sz w:val="20"/>
                <w:szCs w:val="20"/>
                <w:color w:val="auto"/>
              </w:rPr>
            </w:pPr>
            <w:r>
              <w:rPr>
                <w:rFonts w:ascii="Arial" w:cs="Arial" w:eastAsia="Arial" w:hAnsi="Arial"/>
                <w:sz w:val="13"/>
                <w:szCs w:val="13"/>
                <w:color w:val="auto"/>
              </w:rPr>
              <w:t>(2)</w:t>
            </w: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Title</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Black Knight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Other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Core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Group</w:t>
            </w:r>
          </w:p>
        </w:tc>
        <w:tc>
          <w:tcPr>
            <w:tcW w:w="10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FNFV</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689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715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358</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1,640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1,465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1,673</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2,059</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 earnings of unconsolidated affiliates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(loss)</w:t>
            </w: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94</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of unconsolidated affiliates</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8,315</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3,633</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12,045</w:t>
            </w:r>
          </w:p>
        </w:tc>
        <w:tc>
          <w:tcPr>
            <w:tcW w:w="12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w w:val="91"/>
              </w:rPr>
              <w:t>2,775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14,820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4,917</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Assets as of June 30, 2014 include $1,314 million for Remy, which is now presented as discontinued operations.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 as of June 30, 2014 includes $262 million for Remy, which is now presented as discontinued operations.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2,002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1,522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1,665</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735</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Pr>
          <w:p>
            <w:pPr>
              <w:spacing w:after="0"/>
              <w:rPr>
                <w:sz w:val="21"/>
                <w:szCs w:val="21"/>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4,402</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3,128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3,578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4,456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204</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405</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Earnings (loss) from continuing operations, before equity in earnings of</w:t>
            </w: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8,735</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298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12,659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1,738</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14,397</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and for the six months ended June 30, 2014:</w:t>
      </w:r>
    </w:p>
    <w:p>
      <w:pPr>
        <w:spacing w:after="0" w:line="157" w:lineRule="exact"/>
        <w:rPr>
          <w:sz w:val="20"/>
          <w:szCs w:val="20"/>
          <w:color w:val="auto"/>
        </w:rPr>
      </w:pPr>
    </w:p>
    <w:tbl>
      <w:tblPr>
        <w:tblLayout w:type="fixed"/>
        <w:tblInd w:w="480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4"/>
              </w:rPr>
              <w:t>FNFV</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6"/>
              </w:rPr>
              <w:t>Corporate</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color w:val="auto"/>
                <w:w w:val="91"/>
              </w:rPr>
              <w:t>FNF Core</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Total FNF</w:t>
            </w:r>
          </w:p>
        </w:tc>
        <w:tc>
          <w:tcPr>
            <w:tcW w:w="8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color w:val="auto"/>
                <w:w w:val="87"/>
              </w:rPr>
              <w:t>and Other (1)</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40" w:type="dxa"/>
            <w:vAlign w:val="bottom"/>
          </w:tcPr>
          <w:p>
            <w:pPr>
              <w:spacing w:after="0"/>
              <w:rPr>
                <w:sz w:val="11"/>
                <w:szCs w:val="11"/>
                <w:color w:val="auto"/>
              </w:rPr>
            </w:pPr>
          </w:p>
        </w:tc>
        <w:tc>
          <w:tcPr>
            <w:tcW w:w="780" w:type="dxa"/>
            <w:vAlign w:val="bottom"/>
          </w:tcPr>
          <w:p>
            <w:pPr>
              <w:jc w:val="center"/>
              <w:ind w:left="37"/>
              <w:spacing w:after="0" w:line="131" w:lineRule="exact"/>
              <w:rPr>
                <w:sz w:val="20"/>
                <w:szCs w:val="20"/>
                <w:color w:val="auto"/>
              </w:rPr>
            </w:pPr>
            <w:r>
              <w:rPr>
                <w:rFonts w:ascii="Arial" w:cs="Arial" w:eastAsia="Arial" w:hAnsi="Arial"/>
                <w:sz w:val="13"/>
                <w:szCs w:val="13"/>
                <w:color w:val="auto"/>
                <w:w w:val="87"/>
              </w:rPr>
              <w:t>Black</w:t>
            </w:r>
          </w:p>
        </w:tc>
        <w:tc>
          <w:tcPr>
            <w:tcW w:w="1020" w:type="dxa"/>
            <w:vAlign w:val="bottom"/>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840" w:type="dxa"/>
            <w:vAlign w:val="bottom"/>
            <w:vMerge w:val="continue"/>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w w:val="84"/>
              </w:rPr>
              <w:t>Restaurant</w:t>
            </w:r>
          </w:p>
        </w:tc>
        <w:tc>
          <w:tcPr>
            <w:tcW w:w="1000" w:type="dxa"/>
            <w:vAlign w:val="bottom"/>
          </w:tcPr>
          <w:p>
            <w:pPr>
              <w:jc w:val="center"/>
              <w:spacing w:after="0" w:line="131" w:lineRule="exact"/>
              <w:rPr>
                <w:sz w:val="20"/>
                <w:szCs w:val="20"/>
                <w:color w:val="auto"/>
              </w:rPr>
            </w:pPr>
            <w:r>
              <w:rPr>
                <w:rFonts w:ascii="Arial" w:cs="Arial" w:eastAsia="Arial" w:hAnsi="Arial"/>
                <w:sz w:val="13"/>
                <w:szCs w:val="13"/>
                <w:color w:val="auto"/>
              </w:rPr>
              <w:t>(2)</w:t>
            </w:r>
          </w:p>
        </w:tc>
        <w:tc>
          <w:tcPr>
            <w:tcW w:w="7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Title</w:t>
            </w:r>
          </w:p>
        </w:tc>
        <w:tc>
          <w:tcPr>
            <w:tcW w:w="78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97"/>
              </w:rPr>
              <w:t>Knight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Other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Core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Group</w:t>
            </w:r>
          </w:p>
        </w:tc>
        <w:tc>
          <w:tcPr>
            <w:tcW w:w="10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FNFV</w:t>
            </w: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1,706</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1,307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1,361</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712</w:t>
            </w:r>
          </w:p>
        </w:tc>
        <w:tc>
          <w:tcPr>
            <w:tcW w:w="0" w:type="dxa"/>
            <w:vAlign w:val="bottom"/>
          </w:tcPr>
          <w:p>
            <w:pPr>
              <w:spacing w:after="0"/>
              <w:rPr>
                <w:sz w:val="1"/>
                <w:szCs w:val="1"/>
                <w:color w:val="auto"/>
              </w:rPr>
            </w:pP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2,609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418</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3,013</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3,779</w:t>
            </w: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2,672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418</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3,076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769</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3,845</w:t>
            </w:r>
          </w:p>
        </w:tc>
        <w:tc>
          <w:tcPr>
            <w:tcW w:w="0" w:type="dxa"/>
            <w:vAlign w:val="bottom"/>
          </w:tcPr>
          <w:p>
            <w:pPr>
              <w:spacing w:after="0"/>
              <w:rPr>
                <w:sz w:val="1"/>
                <w:szCs w:val="1"/>
                <w:color w:val="auto"/>
              </w:rPr>
            </w:pP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w:t>
            </w: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 equity in</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of 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3"/>
        </w:trPr>
        <w:tc>
          <w:tcPr>
            <w:tcW w:w="48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9"/>
              </w:rPr>
              <w:t>Earnings (loss) from continuing operations, before equity in earnings (loss) of</w:t>
            </w: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94"/>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243"/>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00" w:type="dxa"/>
            <w:vAlign w:val="bottom"/>
          </w:tcPr>
          <w:p>
            <w:pPr>
              <w:ind w:left="40"/>
              <w:spacing w:after="0"/>
              <w:rPr>
                <w:sz w:val="20"/>
                <w:szCs w:val="20"/>
                <w:color w:val="auto"/>
              </w:rPr>
            </w:pPr>
            <w:r>
              <w:rPr>
                <w:rFonts w:ascii="Arial" w:cs="Arial" w:eastAsia="Arial" w:hAnsi="Arial"/>
                <w:sz w:val="14"/>
                <w:szCs w:val="14"/>
                <w:color w:val="auto"/>
              </w:rPr>
              <w:t>Assets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8,315</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3,633</w:t>
            </w:r>
          </w:p>
        </w:tc>
        <w:tc>
          <w:tcPr>
            <w:tcW w:w="14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12,045</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2,775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w w:val="97"/>
              </w:rPr>
              <w:t>14,820</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4,917</w:t>
            </w: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Assets as of June 30, 2014 include $1,314 million for Remy, which is now presented as discontinued operations.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Goodwill as of June 30, 2014 includes $262 million for Remy, which is now presented as discontinued operations.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the production and management of mortgage loans, including mortgage loans that experience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consists of the operations of ABRH, in which we have a 55% ownership interest. ABRH and its affiliates are the 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H.</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r>
      <w:tr>
        <w:trPr>
          <w:trHeight w:val="276"/>
        </w:trPr>
        <w:tc>
          <w:tcPr>
            <w:tcW w:w="900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3"/>
                <w:szCs w:val="23"/>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7"/>
              </w:rPr>
              <w:t>(10)</w:t>
            </w: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189"/>
        </w:trPr>
        <w:tc>
          <w:tcPr>
            <w:tcW w:w="9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Treasury stock purchases payable at period end</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Net Income Attributable to FNF Group Shareholders and Change in Total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effect of the change in our ownership percentage in Black Knight Financial Services, LLC on equity attributable to FNF.</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Three months ended June</w:t>
            </w:r>
          </w:p>
        </w:tc>
        <w:tc>
          <w:tcPr>
            <w:tcW w:w="18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w:t>
            </w:r>
          </w:p>
        </w:tc>
        <w:tc>
          <w:tcPr>
            <w:tcW w:w="0" w:type="dxa"/>
            <w:vAlign w:val="bottom"/>
          </w:tcPr>
          <w:p>
            <w:pPr>
              <w:spacing w:after="0"/>
              <w:rPr>
                <w:sz w:val="1"/>
                <w:szCs w:val="1"/>
                <w:color w:val="auto"/>
              </w:rPr>
            </w:pPr>
          </w:p>
        </w:tc>
      </w:tr>
      <w:tr>
        <w:trPr>
          <w:trHeight w:val="234"/>
        </w:trPr>
        <w:tc>
          <w:tcPr>
            <w:tcW w:w="6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Net income attributable to FNF Group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in FNF's additional paid in capital for reduction in ownership percentage in Black</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Knight Financial Services, LLC</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Decrease in noncontrolling interests resulting from decreased ownership percentage</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total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800" w:type="dxa"/>
            <w:vAlign w:val="bottom"/>
          </w:tcPr>
          <w:p>
            <w:pPr>
              <w:ind w:left="20"/>
              <w:spacing w:after="0"/>
              <w:rPr>
                <w:sz w:val="20"/>
                <w:szCs w:val="20"/>
                <w:color w:val="auto"/>
              </w:rPr>
            </w:pPr>
            <w:r>
              <w:rPr>
                <w:rFonts w:ascii="Arial" w:cs="Arial" w:eastAsia="Arial" w:hAnsi="Arial"/>
                <w:sz w:val="18"/>
                <w:szCs w:val="18"/>
                <w:color w:val="auto"/>
                <w:w w:val="93"/>
              </w:rPr>
              <w:t>Change from net income attributable to FNF Group shareholders and change in total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540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Form 10-K for the year ended December 31, 2014 and other filings with the SEC.</w:t>
      </w:r>
    </w:p>
    <w:p>
      <w:pPr>
        <w:spacing w:after="0" w:line="61" w:lineRule="exact"/>
        <w:rPr>
          <w:sz w:val="20"/>
          <w:szCs w:val="20"/>
          <w:color w:val="auto"/>
        </w:rPr>
      </w:pPr>
    </w:p>
    <w:p>
      <w:pPr>
        <w:ind w:right="1400" w:firstLine="324"/>
        <w:spacing w:after="0" w:line="402" w:lineRule="auto"/>
        <w:rPr>
          <w:sz w:val="20"/>
          <w:szCs w:val="20"/>
          <w:color w:val="auto"/>
        </w:rPr>
      </w:pPr>
      <w:r>
        <w:rPr>
          <w:rFonts w:ascii="Arial" w:cs="Arial" w:eastAsia="Arial" w:hAnsi="Arial"/>
          <w:sz w:val="18"/>
          <w:szCs w:val="18"/>
          <w:color w:val="auto"/>
        </w:rPr>
        <w:t xml:space="preserve">The following discussion should be read in conjunction with our Annual Report on Form 10-K for the year ended December 31, 2014. </w:t>
      </w:r>
      <w:r>
        <w:rPr>
          <w:rFonts w:ascii="Arial" w:cs="Arial" w:eastAsia="Arial" w:hAnsi="Arial"/>
          <w:sz w:val="18"/>
          <w:szCs w:val="18"/>
          <w:b w:val="1"/>
          <w:bCs w:val="1"/>
          <w:color w:val="auto"/>
        </w:rPr>
        <w:t>Overview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Chicago Title, Commonwealth Land Title, Alamo Title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Inc. ("Black Knight") and ServiceLink Holdings, LLC ("ServiceLink").</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have five reporting segments as follows: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the production and management of mortgage loans, including mortgage loans that experience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ABRH, in which we have a 55% ownership interest. ABRH and its affiliates are the owners and operators of the O'Charley's, Ninety Nine Restaurants, Max &amp; Erma's, Village Inn, Bakers Square, and Legendary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Baking concepts. This segment also includes J. Alexander's, in which we have an 87% ownership interest, which includes their self-named J. Alexander's concept as well as the Redlands Grill and the Stoney River Steakhouse and Grill concepts.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30, 2015 we announced our intention to pursue a tax-free spin-off of ABRH to FNFV stockholders.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June 25, 2015, J. Alexander's filed a draft registration statement on Form 10 with the Securities and Exchange Commission ("SEC") for its planned spin-off (the "Spin-off") from FNF. J. Alexander's is currently presented as part of the Restaurant Group segment of FNFV. Immediately prior to the Distribution, FNF will own 13,116,000 shares of common stock of J. Alexander’s Holdings, Inc. (“PubliCo”), which represents 87.44% of the total issued and outstanding shares of PubliCo. As a result of the Spin-off, all 13,116,000 of PubliCo shares owned by FNF will be distributed ("the Distribution") in the form of a dividend to common stockholders of FNFV. As a result of the Distribution, each FNFV shareholder is expected to receive 0.1678 shares of PubliCo's common stock for each share of FNFV common stock owned by such shareholder. The Spin-off and Distribution are subject to the satisfaction or waiver of certain conditions as outlined in their Form 10 filed with the SEC on June 25, 2015. The registration statement has not yet become effective. As a result, shares to be registered may not be sold nor may offers to buy be accepted prior to the time when the registration statement becomes effective.</w:t>
      </w:r>
    </w:p>
    <w:p>
      <w:pPr>
        <w:spacing w:after="0" w:line="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their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Black Knight Operating LLC. Following the IPO, we own 55% of the outstanding shares of Black Knight in the form of Class B common stock, with a corresponding ownership interest in Black Knight Operating, LLC.</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16,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Condensed Consolidated Statement of Operations in the six months ended June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Condensed Consolidated Financial Statements from and after the date of acquisition.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4, 2015, Digital Insurance closed on the purchase of Compass Consulting Group, Inc. ("Compass") and Prospective Risk Management Corporation ("Prospective"), pursuant to a certain Stock Purchase Agreement, for approximately $21 million. We have consolidated the results of Compass and Prospective as of June 30, 2015. Compass provides insurance and employee benefits consulting services for companies nationwide. Prospective is a third-party health care underwriting and consulting firm that offers risk assessment and risk consulting services to health insuring corporations, Professional Employer Organizations and Multiple Employer Welfare Arrangement organizations, single employer plans, and the agent/broker/health care consultant community.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12, 2015, we closed the purchase of BPG Holdings, LLC ("BPG"), pursuant to a certain Membership Interest Purchase Agreement, for $46 million. We consolidated the results of BPG as of March 31, 2015. BPG is a recognized leader in home warranty, home inspection services and commercial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31, 2014 we completed the distribution (the "Remy Spin-off") of all of the outstanding shares of common stock of New Remy Corp. ("New Remy") to FNFV shareholders. As a result of the Remy Spin-off, the results from New Remy are reflected in the Condensed Consolidated Statements of Earnings as discontinued operations for the three and six months ended June 30, 2014. Total revenue included in discontinued operations was $301 million and $603 million for the three and six months ended June 30, 2014, respectively. Pre-tax earnings included in discontinued operations were $8 million and $18 million, for the three and six months ended June 30, 2014,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segment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December 2008, the Federal Reserve has held the federal funds rate at 0.0%-0.25%. The Federal Reserve recently reiterated its intentions to raise the federal funds rate in 2015; however, there are no assurances as to the timing or severity of the increase. Mortgage interest rates were at historically low levels through the beginning of 2013. During the last half of 2013, however, interest rates rose to their highest level since 2011. Through 2014, mortgage interest rates declined moderately. In the fourth quarter of 2014, interest rates dropped below 4.00% and have remained between 3.50% and 4.25% through the end of June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22, 2015, the Mortgage Bankers Association ("MBA") estimated the size of the U.S. mortgage originations market as shown in the following table for 2013 - 2016 in their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shown above, the originations in 2013 were driven primarily by refinance transactions, which coincided with the historically low interest rates experienced during 2012 and 2013. In 2014 there was an approximately $700 billion or 39% decrease in mortgage originations primarily driven by the decrease in refinance activity following an extended period of low interest rates. The MBA predicts mortgage originations in 2015 and 2016 will increase from the 2014 period driven primarily by a predicted increase in purchase transactions.</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the first half of 2015, we have experienced an increase in volume and fee per file of commercial transactions from the previous years, indicating strong commercial markets.</w:t>
      </w:r>
    </w:p>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Several pieces of legislation were enacted to address the struggling mortgage market and the weak economic and financial environment in 2008 through 2010.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In June 2014, the FHFA announced that the modified HARP program had been extended through December 2016. We believe the modified HARP program had a positive effect on our results during 2012 through 2014, but are uncertain to what degree the program has impacted our results in 2015, if at all.</w:t>
      </w:r>
    </w:p>
    <w:p>
      <w:pPr>
        <w:spacing w:after="0" w:line="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20, 2013, the CFPB issued additional rules regarding mortgage forms and other mortgage related disclosures with the intent to provide "easier-to-use" mortgage disclosure forms for the consumer. The additional disclosure requirements will require participants in the mortgage market, including us, to make significant changes to the manner in which they create, process, and deliver certain disclosures to consumers in connection with mortgage loan applications. The additional disclosures will be in effect for mortgage loan applications made on or after October 3, 2015. These changes could lead to lower mortgage volumes and/or delays in mortgage processing, particularly in the early stages of implementation. Readiness for and compliance with these rules also requires extensive planning; changes to systems, forms and processes; as well as heightened coordination among market participants. Although there can be no assurance that FNF, its agents or other market participants will be successful in their implementation efforts, we have reviewed the new requirements, and are reviewing and updating our policies, procedures and technology resources as appropriate. It is our experience that mortgage lenders have become more focused on the risk of non-compliance with these evolving regulations and are focused on technologies and solutions that help them to comply with the increased regulatory oversight and burdens. Black Knight has developed solutions that target this need, which has resulted in additional revenue.</w:t>
      </w:r>
    </w:p>
    <w:p>
      <w:pPr>
        <w:spacing w:after="0" w:line="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2015, we have seen seasonality trends return to historical patterns.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Black Knight's various businesses are impacted differently by the level of mortgage originations including refinancing transactions. MSP is generally less affected by varying levels of mortgage originations because it earns revenues based on the total number of mortgage loans it processes, which tend to stay more constant than the market for originations. Black Knight's origination technology and some of our data businesses are directly affected by the volume of real estate transactions and mortgage originations, but many of our client contracts for origination technology contain minimum charges.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Black Knight's various businesses are also impacted by an evolving mortgage market. Some of the changes we are seeing in the mortgage industry that may affect Black Knight's results of operations are as follows:</w:t>
      </w:r>
    </w:p>
    <w:p>
      <w:pPr>
        <w:spacing w:after="0" w:line="62"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originators and servicers have seen volatility in their earnings as a result of significant changes in mortgage origination and default volumes and increasing regulatory compliance costs. As a result of increased volatility in originations, greater regulatory scrutiny and the higher cost of doing business, lenders have become increasingly focused on their core operations and customers. We believe lenders are increasingly shifting from affiliate business models and in-house technologies to solutions with third-party providers who can provide better technology and services more efficiently;</w:t>
      </w:r>
    </w:p>
    <w:p>
      <w:pPr>
        <w:spacing w:after="0" w:line="26"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complexity of the mortgage origination and servicing processes have led some banks, lenders and servicers to become increasingly focused on technology automation and workflow management to operate more efficiently and meet their regulatory guidelines; and</w:t>
      </w: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participants are working to minimize risk in lending, servicing and capital markets and increasingly rely on data and analytics to integrate with technologies and enhance the decision making process.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50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784</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1,361</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1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3,845</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825</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6"/>
              </w:rPr>
              <w:t>Earnings from continuing operations before income taxes and equity in earnings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(losses) of unconsolidated affiliates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earnings (losses) of unconsolidated affiliates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increased $336 million in the three months ended June 30, 2015, compared to the 2014 period. The increase consisted of a $322 million increase at FNF Core and a $14 million increase at FNFV. Total revenues increased $611 million in the six months ended June 30, 2015, compared to the 2014 period. The increase consisted of a $502 million increase at FNF Core and a $109 million increase at FNFV.</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net earnings from continuing operations increased $72 million in the three months ended June 30, 2015, compared to the 2014 period. The increase consisted of a $61 million increase at FNF Core and $11 million increase at FNFV. Total net earnings from continuing operations increased $252 million in the six months ended June 30, 2015, compared to the 2014 period. The increase consisted of a $209 million increase at FNF Core and $43 million increase at FNFV.</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Core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are incurred for data processing and program design and development costs;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w:t>
      </w:r>
    </w:p>
    <w:p>
      <w:pPr>
        <w:sectPr>
          <w:pgSz w:w="11900" w:h="16838" w:orient="portrait"/>
          <w:cols w:equalWidth="0" w:num="1">
            <w:col w:w="11420"/>
          </w:cols>
          <w:pgMar w:left="240" w:top="121"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taken necessary actions to maintain expense levels consistent with revenue streams. However, a short time lag exists in reducing variable costs and certain fixed costs are incurred regardless of revenue levels.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$88 million and $54 million in the three-month periods ended June 30, 2015 and 2014, respectively, and $138 million and $14 million in the six-month periods ended June 30, 2015 and 2014, respectively. Income tax expense as a percentage of earnings before income taxes was 35% and 34% for the three-month periods ended June 30, 2015 and 2014, respectively, and 34% and 21% for the six-month periods ended June 30, 2015 and 2014, respectively. Income taxes as a percentage of earnings (loss) before income taxes fluctuates depending on our estimate of ultimate income tax liability and changes in the characteristics of net earnings, such as the weighting of operating income versus investment income. Included in income tax expense in the six-months ended June 30, 2014 is a $12 million income tax benefit related to our portion of $35 million equity in losses recorded during the period related to our minority investment in Ceridian.</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Equity in earnings (losses) of unconsolidated affiliates was $4 million and $(5) million for the three-month periods ended June 30, 2015 and 2014, respectively, and $3 million and $(36) million in the six-month periods ended June 30, 2015 and 2014, respectively. The equity in earnings (losses) in 2015 and 2014 consisted primarily of net earnings (losses) related to our investment in Ceridian, which is described further at the segment level below.</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0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9"/>
        </w:trPr>
        <w:tc>
          <w:tcPr>
            <w:tcW w:w="6280" w:type="dxa"/>
            <w:vAlign w:val="bottom"/>
          </w:tcPr>
          <w:p>
            <w:pPr>
              <w:ind w:left="40"/>
              <w:spacing w:after="0"/>
              <w:rPr>
                <w:sz w:val="20"/>
                <w:szCs w:val="20"/>
                <w:color w:val="auto"/>
              </w:rPr>
            </w:pPr>
            <w:r>
              <w:rPr>
                <w:rFonts w:ascii="Arial" w:cs="Arial" w:eastAsia="Arial" w:hAnsi="Arial"/>
                <w:sz w:val="18"/>
                <w:szCs w:val="18"/>
                <w:color w:val="auto"/>
                <w:w w:val="94"/>
              </w:rPr>
              <w:t>Earnings from continuing operations before income taxes and equity in earnings of</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7"/>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unconsolidated affiliates</w:t>
            </w:r>
          </w:p>
        </w:tc>
        <w:tc>
          <w:tcPr>
            <w:tcW w:w="28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8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$303 million, or 21%, in the three months ended June 30, 2015 from the 2014 period and increased $456 million, or 17%, in the six months ended June 30, 2015 from the 2014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58"/>
        </w:trPr>
        <w:tc>
          <w:tcPr>
            <w:tcW w:w="2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 of</w:t>
            </w:r>
          </w:p>
        </w:tc>
      </w:tr>
      <w:tr>
        <w:trPr>
          <w:trHeight w:val="276"/>
        </w:trPr>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Title premiums from direct</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Title premiums from agency</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0"/>
                <w:szCs w:val="20"/>
                <w:color w:val="auto"/>
              </w:rPr>
            </w:pPr>
          </w:p>
        </w:tc>
        <w:tc>
          <w:tcPr>
            <w:tcW w:w="980" w:type="dxa"/>
            <w:vAlign w:val="bottom"/>
          </w:tcPr>
          <w:p>
            <w:pPr>
              <w:jc w:val="right"/>
              <w:ind w:right="97"/>
              <w:spacing w:after="0"/>
              <w:rPr>
                <w:sz w:val="20"/>
                <w:szCs w:val="20"/>
                <w:color w:val="auto"/>
              </w:rPr>
            </w:pPr>
            <w:r>
              <w:rPr>
                <w:rFonts w:ascii="Arial" w:cs="Arial" w:eastAsia="Arial" w:hAnsi="Arial"/>
                <w:sz w:val="18"/>
                <w:szCs w:val="18"/>
                <w:color w:val="auto"/>
              </w:rPr>
              <w:t>54</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increased 20% in the three months ended June 30, 2015 as compared to the 2014 period. The increase was made up of an increase in premiums from direct operations of $114 million, or 26%, and an increase in premiums from agency operations of $79 million, or 15% in the three months ended June 30, 2015. Title premiums increased 17% in the six months ended June 30, 2015 as compared to the 2014 period. The increase was made up of an increase in premiums from direct operations of $180 million, or 23%, and an increase in premiums from agency operations of $116 million, or 13% in the six months ended June 30, 2015.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72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38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3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48.3</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0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3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Title premiums from direct operations increased in the three and six months ended June 30, 2015 as compared to 2014 primarily due to an increase in closed order volumes. The increase in closed order volumes was primarily related to a significant increase in purchase transactions in the three and six months ended June 30, 2015 as compared to 2014. Closed order volumes were 408,000 and 753,000 in the three and six months ended June 30, 2015, respectively, compared with 342,000 and 637,000 in the three and six months ended June 30, 2014, respectively. This represented an increase of 19% and 18%, respectively. Open title orders increased consistently with closed orders over the three and six months ended June 30, 2015 as compared to 2014. The average fee per file in our direct operations was $1,930 and $2,026 in the three and six months ended June 30, 2015, respectively, compared to $1,924 and $1,982 in the three and six months ended June 30, 2014, respectively. The slight increase in average fee per file reflects an increase in commercial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title premiums from agency operations is primarily the result of the overall increase in real estate activity over the comparable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consistent with the increase in direct operations, described above.</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Escrow, title related and other fees increased by $110 million, or 23%, in the three months ended June 30, 2015 from 2014 and increased $160 million, or 18%, in the six months ended June 30, 2015 from 2014. Escrow fees, which are more closely related to our direct operations, increased $36 million, or 23%, in the three months ended June 30, 2015 compared to the 2014 period and increased $60 million or 22% in the six months ended June 30, 2015 compared to the 2014 period. In both periods the increase is consistent with the increase in direct title premiums. Other fees in the Title segment, excluding escrow fees, increased $76 million, or 24%, in the three months ended June 30, 2015 from 2014 and increased $103 million, or 17%, in the six months ended June 30, 2015 from 2014. The increase in other fees is consistent with the increase in our direct premiums and is also driven by $57 million and $78 million in revenue for the three and six months ended June 30, 2015, respectively, from Pacific Union in which we acquired a controlling stake in December 2014 and an increase in our home warranty revenue resulting from our acquisition of BPG.</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$1 million in the three months ended June 30, 2015 compared to the 2014 period. The decrease is attributable to decreases in bond holdings and bond yields and was offset by increases in preferred and common stock dividends. Interest and investment income increased $1 million in the six months ended June 30, 2015 compared to the 2014 period. The increase is primarily attributable to the increase in the average portfolio balance in the six months ended June 30, 2015 compared to the 2014 period.</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There was a $69 million, or 15% increase in the three-month period ended June 30, 2015 compared to the 2014 period. The increase is primarily due to higher commissions and bonuses associated with the higher direct title premium revenue and higher headcount associated with the increase in order volume in the three months ended June 30, 2015 from the 2014 period, offset by severance expense of $1 million and a synergy bonus program accrual of $25 million related to the LPS transaction in the 2014 period. There was a $90 million, or 10% increase in the six-month period ended June 30, 2015 compared to the 2014 period. The increase is primarily due to higher commissions and bonuses associated with the higher direct title premium revenue and higher headcount associated with the increase in order volume in the six-month period ended June 30, 2015 compared to the 2014 period, offset by severance expense of $16 million and a synergy bonus program accrual related to the LPS transaction in the 2014 period. Personnel costs as a percentage of total revenues from direct title premiums and escrow, title-related and other fees were 48% and 51% for the three and six month periods ended June 30, 2015 and 52% and 56%</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six-month periods ended June 30, 2014. The decrease in personnel costs as a percentage of revenue is consistent with the increase in revenues discussed above, offset by the lower percentage increase in personnel costs. Average employee count in the Title segment was 21,016 and 19,702 in the three-month periods ended June 30, 2015 and 2014, respectively, and 20,322 and 19,770 in the six-month periods ended June 30, 2015 and 2014, respectively. The increase in personnel costs is attributable to the increased order volume discussed above.</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$74 million, or 22% in the three months ended June 30, 2015 from 2014. Other operating expenses increased $62 million, or 9% in the six months ended June 30, 2015 from 2014. The increase in other operating expenses is consistent with the increase in revenue and was also driven by additional expenses associated with Pacific Union in which we acquired a controlling stake in December 2014.</w:t>
      </w:r>
    </w:p>
    <w:p>
      <w:pPr>
        <w:spacing w:after="0" w:line="8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premiums and agent commissions, which have remained consistent since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in the title segment decreased $2 million and $1 million in the three and six months ended June 30, 2015 from the 2014 period.</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April 1, 2014, we revised our loss provision rate to 6% from 7% primarily due to favorable development on more recent policy year claims.</w:t>
      </w:r>
    </w:p>
    <w:p>
      <w:pPr>
        <w:spacing w:after="0" w:line="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claim loss provision for title insurance was $69 million and $57 million for the three-month periods ended June 30, 2015 and 2014, respectively, and reflects an average provision rate of 6% of title premiums. The claim loss provision for title insurance was $120 million and $110 million for the six-month periods ended June 30, 2015 and 2014, respectively, and reflects an average provision rate of 6% and 6.4% of title premiums, respectively.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the FNF Core segment reflected in the three and six months ended June 30, 2015 and 2014 include the results of Black Knight and subsidiaries. The following table presents the results from operations of Black Knight: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196"/>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Escrow, title related and other fees</w:t>
            </w: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12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470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1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 before income taxes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results of the Black Knight segment were positively affected by a $14 million and $36 million increase in total revenues in the three and six-month periods ended June 30, 2015 compared to the 2014 periods. The increased revenue in the three month period was primarily driven by increased loan counts on its servicing platform, increased communication and usage fees, and the implementation of a large loan origination systems client. For the six-month period the increase is also attributable to price increases, new products, and favorable contract renewals.</w:t>
      </w:r>
    </w:p>
    <w:p>
      <w:pPr>
        <w:spacing w:after="0" w:line="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results of the Black Knight segment were also improved by the reduction in costs related to the acquisition and integration of LPS by FNF on January 2, 2014. During the six months ended June 30, 2014, the results of Black Knight contain $37 million of transaction expenses, $26 million in severance expenses, and a $25 million expense to accrue for bonuses under the former synergy bonus program. These additional costs in the 2014 period resulted in the increase in the current period earnings and were offset by additional costs associated with Black Knight's IPO incurred in the current year which totaled $4 million in the six months ended June 30, 2015.</w:t>
      </w:r>
    </w:p>
    <w:p>
      <w:pPr>
        <w:spacing w:after="0" w:line="8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Earnings from continuing operations before income taxes increased $7 million and $133 million in the three and six months ended June 30, 2015 compared to the 2014 period. The increase is primarily attributable to the increased revenue and decreased costs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FNF Core Corporate and Other segment generated no revenues for the three months ended June 30, 2015 and negative revenue of $5 million for the three months ended June 30, 2014, and generated negative revenues of $4 million and $14 million in the six-month periods ended June 30, 2015 and 2014, respectively. The revenue in the six-month periods represents the elimination of revenues between our Black Knight segment and our Title segment. In the three-month periods the elimination of revenues is offset by increased revenue at other small subsidiaries within the segment resulting in no net revenue.</w:t>
      </w:r>
    </w:p>
    <w:p>
      <w:pPr>
        <w:spacing w:after="0" w:line="4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Other operating expenses in the FNF Core Corporate and Other segment were $9 million and $9 million for the three months ended June 30, 2015 and 2014, respectively, and $6 million and $(19) million for the six-month periods ended June 30, 2015 and 2014, respectively.The increase in the current six month period is due to the inclusion of approximately $29 million in payments from Black Knight as reimbursement of transaction costs related to the LPS acquisition in the 2014 period. Both periods also reflect the elimination of software license fees between our Black Knight segment and our Title segment.</w:t>
      </w:r>
    </w:p>
    <w:p>
      <w:pPr>
        <w:spacing w:after="0" w:line="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Interest expense was $20 million and $24 million for the three months ended June 30, 2015 and 2014, respectively, and $41 million and $46 million for the six-month periods ended June 30, 2015 and 2014, respectively. The slight decrease is attributable to the lower average outstanding balance on the FNF revolving credit facility over the period as well as the repayment of the $1.1 billion FNF term loan in the current quarter.</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segment generated pretax losses of $36 million and $42 million for the three months ended June 30, 2015 and 2014, respectively, and $64 million and $53 million for the six months ended June 30, 2015 and 2014, respectively. The change was due to the reasons discussed above, primarily the change in Other operating expenses.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Restaurant Group</w:t>
            </w:r>
          </w:p>
        </w:tc>
        <w:tc>
          <w:tcPr>
            <w:tcW w:w="280" w:type="dxa"/>
            <w:vAlign w:val="bottom"/>
          </w:tcPr>
          <w:p>
            <w:pPr>
              <w:spacing w:after="0"/>
              <w:rPr>
                <w:sz w:val="21"/>
                <w:szCs w:val="21"/>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21"/>
                <w:szCs w:val="21"/>
                <w:color w:val="auto"/>
              </w:rPr>
            </w:pPr>
          </w:p>
        </w:tc>
        <w:tc>
          <w:tcPr>
            <w:tcW w:w="20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6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603</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695</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for the Restaurant group segment increased $14 million, or 4%, in the three months ended June 30, 2015, from the 2014 period and $24 million, or 3%, in the six months ended June 30, 2015 from the 2014 period.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continuing operations before income taxes remained flat in the three months ended June 30, 2015, from the 2014 period and increased by $1 million in the six months ended June 30, 2015 from the 2014 period. The increase in the six month period is a result of the increased revenue period over period offset by slightly higher Cost of restaurant revenue and Other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and other smaller operations which are not title related. This segment also includes our Long Term Incentive Plan ("LTIP") established during 2012 which is tied to the fair value of certain of our FNFV investments. During 2014, the LTIP was frozen and then was terminated on December 31, 2014. Also during 2014, we established our Investment Success Incentive Program ("ISIP") which is tied to monetization or liquidity events producing realized or realizable pre-tax gains relating to our investments.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generated revenues of $29 million and $29 million for the three months ended June 30, 2015 and 2014, respectively, and $143 million and $58 million for the six months ended June 30, 2015 and 2014, respectively. The increase in the six month period is primarily attributable to the sale of Cascade Timberlands in the first quarter of 2015 and an increase in revenue of $11 million in the six months ended June 30, 2015 from the 2014 period at Digital Insurance. Digital Insurance made several acquisitions subsequent to June 30, 2014, which account for this growth in revenue.</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Personnel costs were $22 million and $19 million for the three months ended June 30, 2015 and 2014, respectively, and $43 million and $39 million for the six months ended June 30, 2015 and 2014, respectively. The increase is primarily attributable to the aforementioned acquisitions by Digital Insurance.</w:t>
      </w:r>
    </w:p>
    <w:p>
      <w:pPr>
        <w:spacing w:after="0" w:line="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segment generated pretax (losses) earnings of $(5) million and $1 million for the three months ended June 30, 2015 and 2014, respectively, and $6 million and $3 million for the six months ended June 30, 2015 and 2014, respectively. The change in the three month period is primarily due to the increase in personnel costs and the change in the six month period is primarily attributable to the increase in revenues described above.</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Equity in earnings (losses) of unconsolidated affiliates was $4 million and $(7) million for the three months ended June 30, 2015 and 2014, respectively, and $1 million and $(38) million for the six months ended June 30, 2015 and 2014, respectively. The increase of $11 million in the three months ended June 30, 2015 is primarily a result of the sale of a portion of its stake in Fleetcor by Ceridian. The equity in earnings (losses) of unconsolidated affiliates for the six months ended June 30, 2014 includes nine months of Ceridian's results, as in the first quarter of 2014 we transitioned Ceridian to a real-time financial reporting schedule as opposed to the historical one-quarter lag. As a result, the results for the six month period ended June 30, 2014 includes $38 million of equity in losses of unconsolidated affiliates, which represents our portion of Ceridian's net losses for the nine-month period ended June 30, 2014 as well as the settlement of Ceridian's U.S. Fueling Merchants lawsuit.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$0.19 per share for the second quarter of 2015, or approximately $53 million to our FNF Group common shareholders. On July 20, 2015, our Board of Directors declared cash dividends of $0.21 per share, payable on September 30, 2015, to FNF Group common shareholders of record as of September 16, 2015.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As of December 31, 2014, $2,108 million of our net assets were restricted from dividend payments without prior approval from the relevant departments of insurance. As of June 30, 2015, our title subsidiaries could pay or make distributions to us of approximately $236 million without prior approval. Our underwritten title companies and non-insurance subsidiaries collect revenue and pay operating expenses. However, they are not regulated to the same extent as our insurance subsidiaries.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 our equity interests in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Group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will be used for general corporate purposes including to reinvest in core operations, repay debt, pay dividends, repurchase stock, other strategic initiatives and/or conserving cash.</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cash flows provided by (used in) operations for the six months ended June 30, 2015 and 2014 totaled $378 million and $(11) million, respectively. The increase of $389 million is primarily due to higher net income in the six months ended June 30, 2015 as compared to the 2014 period, the reduction of expenses in the current period from those incurred in the prior year period including $45 million of transaction costs and $42 million in severance payments related to the acquisition of LPS, bonus payments of $88 million including payments under the Long Term Incentive Program (LTIP) which was terminated as of December 31, 2014, and $48 million in payments made for certain legal matters relating to historic LPS matters. These 2014 cash outflows were offset by tax refunds of $62 million on LPS acquisition costs.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$103 million and $83 million for the six-month periods ended June 30, 2015 and 2014, respectively, with the increase related to expenditures on property and equipment and capitalized software at Black Knight.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D included in Item 1 of Part 1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into 2015, we saw seasonality trends return to historical patterns.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segment, average weekly sales per restaurant are typically higher in the first and fourth quarters, and accordingly we typically generate a disproportionate share of our earnings from operations in those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 term contractual obligations since the 10-K filed on March 2, 2015,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as described below.</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2015, we repaid the $1.1 billion balance of term loans outstanding under our Term Loan Agreement with Bank of America, N.A.</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2015, Digital Insurance entered into a credit agreement (the "Digital Insurance Credit Facility") with Bank of America, N.A. as Administrative Agent, Swingline Lender and Issuing Lender. The Digital Insurance Credit Facility provides for a maximum revolving loan of $120 million (the "DI Revolver") with a maturity date of March 31, 2020.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D to the Condensed Consolidated Financial Statements included in Part I, Item 1 of this Form 10-Q for further discussion on our notes payable.</w:t>
      </w:r>
    </w:p>
    <w:p>
      <w:pPr>
        <w:spacing w:after="0" w:line="2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June 25, 2015, J. Alexander's filed a draft registration statement on Form 10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("SEC") for its planned spin-off (the "Spin-off") from FNF. J. Alexander's is currently presented as part of the Restaurant Group segment of FNFV. Immediately prior to the Distribution, FNF will own 13,116,000 shares of common stock of J. Alexander’s Holdings, Inc. (“PubliCo”), which represents 87.44% of the total issued and outstanding shares of PubliCo. As a result of the Spin-off, all 13,116,000 of PubliCo shares owned by FNF will be distributed ("the Distribution") in the form of a dividend to common stockholders of FNFV. As a result of the Distribution, each FNFV shareholder is expected to receive 0.1678 shares of PubliCo's common stock for each share of FNFV common stock owned by such shareholder. The Spin-off and Distribution are subject to the satisfaction or waiver of certain conditions as outlined in their Form 10 filed with the SEC on June 25, 2015. The registration statement has not yet become effective. As a result, shares to be registered may not be sold nor may offers to buy be accepted prior to the time when the registration statement becomes effective.</w:t>
      </w:r>
    </w:p>
    <w:p>
      <w:pPr>
        <w:spacing w:after="0" w:line="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We repurchased 2,323,350 shares under this program during the six months ended June 30, 2015 for approximately $34 million, or an average of $14.63 per share. Subsequent to June 30, 2015 through market close on July 30, 2015, we purchased 104,000 additional shares for approximately $2 million, or an average of $15.57 per share. Since the original commencement of this program, we have repurchased a total of 2,543,450 shares for $37 million, or an average of $14.64 per share, and there are 7,456,550 shares available to be repurchased under this program.</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21, 2012, our Board of Directors approved a three-year stock purchase program, effective August 1, 2012, under which we can repurchase up to 15 million shares of our FNF Group common stock through July 30, 2015. On July 20, 2015, our Board of Directors approved a new three-year stock repurchase program under which we can purchase up to 25 million shares through July 30, 2018. We may make repurchases from time to time in the open market, in block purchases or in privately negotiated transactions, depending on market conditions and other factors. We repurchased 1,100,000 shares of FNF Group common stock during the six months ended June 30, 2015 for approximately $41 million, or an average of $36.93 per share. Subsequent to June 30, 2015 through market close on July 30, 2015, we purchased 200,000 additional shares for $8 million, or an average of $37.81 per share. Since the original commencement of the plan, we have repurchased a total of 3,380,000 shares of FNF Group common stock for $100 million, or an average of $28.97 per share, and there are 11,620,000 shares available to be repurchased under this program.</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June 30, 2015 of $71 million. The amended lease includes guarantees by us of up to 83% of the outstanding lease balance, and options to purchase the facilities at the outstanding lease balance. The guarantee becomes effective if we decline to purchase the facilities or renew the lease at the end of its term.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Condensed Consolidated Statements of Earnings. We do not believe the lessor is a variable interest entity, as defined in the FASB standard on consolidation of variable interest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our Annual Report on Form 10-K for our fiscal year ended December 31,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2015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discussion of legal proceedings in Note E to the Condensed Consolidated Financial Statements included in Item 1 of Part I of this Report, which is incorporated by reference into this Part II, Item 1, as well as Item 3. Legal Proceedings, in our Annual Report on Form 10-K for the year ended December 31, 2014.</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repurchases of equity securities by FNFV during the six months ended June 30, 2015:</w:t>
      </w:r>
    </w:p>
    <w:p>
      <w:pPr>
        <w:spacing w:after="0" w:line="243"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20"/>
          </w:cols>
          <w:pgMar w:left="240" w:top="121" w:right="23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4/1/2015 - 4/30/2015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9,410,550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5/1/2015 - 5/31/2015</w:t>
            </w:r>
          </w:p>
        </w:tc>
        <w:tc>
          <w:tcPr>
            <w:tcW w:w="1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8,560,550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6/1/2015 - 6/30/2015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7,560,550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1,900,000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1,900,000</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7,560,550</w:t>
            </w:r>
          </w:p>
        </w:tc>
      </w:tr>
    </w:tbl>
    <w:p>
      <w:pPr>
        <w:spacing w:after="0" w:line="26" w:lineRule="exact"/>
        <w:rPr>
          <w:sz w:val="20"/>
          <w:szCs w:val="20"/>
          <w:color w:val="auto"/>
        </w:rPr>
      </w:pPr>
    </w:p>
    <w:p>
      <w:pPr>
        <w:ind w:left="980" w:hanging="648"/>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4296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six months ended June 30, 2015:</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Average Price Paid per</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gridSpan w:val="2"/>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6"/>
                <w:szCs w:val="16"/>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Plans or Programs (1)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 (2)</w:t>
            </w:r>
          </w:p>
        </w:tc>
        <w:tc>
          <w:tcPr>
            <w:tcW w:w="0" w:type="dxa"/>
            <w:vAlign w:val="bottom"/>
          </w:tcPr>
          <w:p>
            <w:pPr>
              <w:spacing w:after="0"/>
              <w:rPr>
                <w:sz w:val="1"/>
                <w:szCs w:val="1"/>
                <w:color w:val="auto"/>
              </w:rPr>
            </w:pPr>
          </w:p>
        </w:tc>
      </w:tr>
      <w:tr>
        <w:trPr>
          <w:trHeight w:val="270"/>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6/1/2015 - 6/30/2015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1,100,000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1,100,000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11,820,000</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rPr>
              <w:t>11,820,000</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980" w:hanging="648"/>
        <w:spacing w:after="0" w:line="30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July 30, 2012, our Board of Directors approved a three-year stock purchase program, effective August 1, 2012, under which we can repurchase up to 15 million shares of our FNF Group common stock through July 31, 2015. On July 20, 2015, our Board of Directors approved a new three-year stock repurchase program. Under the new stock repurchase program, we can repurchase up to 25 million shares of our common stock. This program had not been approved as of June 30, 2015, and, accordingly, is not included in the table above.</w:t>
      </w:r>
    </w:p>
    <w:p>
      <w:pPr>
        <w:spacing w:after="0" w:line="19"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-730885</wp:posOffset>
            </wp:positionV>
            <wp:extent cx="4296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9440" w:type="dxa"/>
            <w:vAlign w:val="bottom"/>
          </w:tcPr>
          <w:p>
            <w:pPr>
              <w:spacing w:after="0"/>
              <w:rPr>
                <w:sz w:val="17"/>
                <w:szCs w:val="17"/>
                <w:color w:val="auto"/>
              </w:rPr>
            </w:pPr>
          </w:p>
        </w:tc>
      </w:tr>
      <w:tr>
        <w:trPr>
          <w:trHeight w:val="696"/>
        </w:trPr>
        <w:tc>
          <w:tcPr>
            <w:tcW w:w="13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 Exhibits</w:t>
            </w:r>
          </w:p>
        </w:tc>
        <w:tc>
          <w:tcPr>
            <w:tcW w:w="60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324"/>
        </w:trPr>
        <w:tc>
          <w:tcPr>
            <w:tcW w:w="1960" w:type="dxa"/>
            <w:vAlign w:val="bottom"/>
            <w:gridSpan w:val="2"/>
          </w:tcPr>
          <w:p>
            <w:pPr>
              <w:ind w:left="240"/>
              <w:spacing w:after="0"/>
              <w:rPr>
                <w:sz w:val="20"/>
                <w:szCs w:val="20"/>
                <w:color w:val="auto"/>
              </w:rPr>
            </w:pPr>
            <w:r>
              <w:rPr>
                <w:rFonts w:ascii="Arial" w:cs="Arial" w:eastAsia="Arial" w:hAnsi="Arial"/>
                <w:sz w:val="18"/>
                <w:szCs w:val="18"/>
                <w:color w:val="auto"/>
              </w:rPr>
              <w:t>(a) Exhibits:</w:t>
            </w:r>
          </w:p>
        </w:tc>
        <w:tc>
          <w:tcPr>
            <w:tcW w:w="9440" w:type="dxa"/>
            <w:vAlign w:val="bottom"/>
          </w:tcPr>
          <w:p>
            <w:pPr>
              <w:spacing w:after="0"/>
              <w:rPr>
                <w:sz w:val="24"/>
                <w:szCs w:val="24"/>
                <w:color w:val="auto"/>
              </w:rPr>
            </w:pPr>
          </w:p>
        </w:tc>
      </w:tr>
      <w:tr>
        <w:trPr>
          <w:trHeight w:val="594"/>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31.2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32.2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FNF Group Tracking Stock</w:t>
            </w:r>
          </w:p>
        </w:tc>
      </w:tr>
      <w:tr>
        <w:trPr>
          <w:trHeight w:val="432"/>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5"/>
              </w:rPr>
              <w:t>99.2</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rPr>
              <w:t>Unaudited Attributed Financial Information for FNFV Group Tracking Stock</w:t>
            </w:r>
          </w:p>
        </w:tc>
      </w:tr>
      <w:tr>
        <w:trPr>
          <w:trHeight w:val="445"/>
        </w:trPr>
        <w:tc>
          <w:tcPr>
            <w:tcW w:w="1360" w:type="dxa"/>
            <w:vAlign w:val="bottom"/>
          </w:tcPr>
          <w:p>
            <w:pPr>
              <w:jc w:val="center"/>
              <w:ind w:right="210"/>
              <w:spacing w:after="0"/>
              <w:rPr>
                <w:sz w:val="20"/>
                <w:szCs w:val="20"/>
                <w:color w:val="auto"/>
              </w:rPr>
            </w:pPr>
            <w:r>
              <w:rPr>
                <w:rFonts w:ascii="Arial" w:cs="Arial" w:eastAsia="Arial" w:hAnsi="Arial"/>
                <w:sz w:val="18"/>
                <w:szCs w:val="18"/>
                <w:color w:val="auto"/>
                <w:w w:val="86"/>
              </w:rPr>
              <w:t>101</w:t>
            </w:r>
          </w:p>
        </w:tc>
        <w:tc>
          <w:tcPr>
            <w:tcW w:w="600" w:type="dxa"/>
            <w:vAlign w:val="bottom"/>
          </w:tcPr>
          <w:p>
            <w:pPr>
              <w:spacing w:after="0"/>
              <w:rPr>
                <w:sz w:val="24"/>
                <w:szCs w:val="24"/>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2"/>
              </w:rPr>
              <w:t>The following materials from Fidelity National Financial, Inc.'s Quarterly Report on Form 10-Q for the quarter ended June</w:t>
            </w:r>
          </w:p>
        </w:tc>
      </w:tr>
      <w:tr>
        <w:trPr>
          <w:trHeight w:val="230"/>
        </w:trPr>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tcPr>
          <w:p>
            <w:pPr>
              <w:ind w:left="580"/>
              <w:spacing w:after="0"/>
              <w:rPr>
                <w:sz w:val="20"/>
                <w:szCs w:val="20"/>
                <w:color w:val="auto"/>
              </w:rPr>
            </w:pPr>
            <w:r>
              <w:rPr>
                <w:rFonts w:ascii="Arial" w:cs="Arial" w:eastAsia="Arial" w:hAnsi="Arial"/>
                <w:sz w:val="18"/>
                <w:szCs w:val="18"/>
                <w:color w:val="auto"/>
                <w:w w:val="90"/>
              </w:rPr>
              <w:t>30, 2015, formatted in Extensible Business Reporting Language (XBRL): (i) the Condensed Consolidated Balance Sheets,</w:t>
            </w:r>
          </w:p>
        </w:tc>
      </w:tr>
    </w:tbl>
    <w:p>
      <w:pPr>
        <w:jc w:val="both"/>
        <w:ind w:left="2540"/>
        <w:spacing w:after="0" w:line="277" w:lineRule="auto"/>
        <w:rPr>
          <w:sz w:val="20"/>
          <w:szCs w:val="20"/>
          <w:color w:val="auto"/>
        </w:rPr>
      </w:pPr>
      <w:r>
        <w:rPr>
          <w:rFonts w:ascii="Arial" w:cs="Arial" w:eastAsia="Arial" w:hAnsi="Arial"/>
          <w:sz w:val="17"/>
          <w:szCs w:val="17"/>
          <w:color w:val="auto"/>
        </w:rPr>
        <w:t>(ii)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08"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Date: July 30, 2015</w:t>
            </w:r>
          </w:p>
        </w:tc>
        <w:tc>
          <w:tcPr>
            <w:tcW w:w="6500" w:type="dxa"/>
            <w:vAlign w:val="bottom"/>
            <w:gridSpan w:val="2"/>
          </w:tcPr>
          <w:p>
            <w:pPr>
              <w:ind w:left="180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00" w:type="dxa"/>
            <w:vAlign w:val="bottom"/>
          </w:tcPr>
          <w:p>
            <w:pPr>
              <w:spacing w:after="0"/>
              <w:rPr>
                <w:sz w:val="20"/>
                <w:szCs w:val="20"/>
                <w:color w:val="auto"/>
              </w:rPr>
            </w:pPr>
          </w:p>
        </w:tc>
        <w:tc>
          <w:tcPr>
            <w:tcW w:w="6500" w:type="dxa"/>
            <w:vAlign w:val="bottom"/>
            <w:gridSpan w:val="2"/>
          </w:tcPr>
          <w:p>
            <w:pPr>
              <w:ind w:left="1800"/>
              <w:spacing w:after="0"/>
              <w:rPr>
                <w:sz w:val="20"/>
                <w:szCs w:val="20"/>
                <w:color w:val="auto"/>
              </w:rPr>
            </w:pPr>
            <w:r>
              <w:rPr>
                <w:rFonts w:ascii="Arial" w:cs="Arial" w:eastAsia="Arial" w:hAnsi="Arial"/>
                <w:sz w:val="18"/>
                <w:szCs w:val="18"/>
                <w:color w:val="auto"/>
              </w:rPr>
              <w:t>(registrant)</w:t>
            </w:r>
          </w:p>
        </w:tc>
      </w:tr>
      <w:tr>
        <w:trPr>
          <w:trHeight w:val="486"/>
        </w:trPr>
        <w:tc>
          <w:tcPr>
            <w:tcW w:w="3200" w:type="dxa"/>
            <w:vAlign w:val="bottom"/>
          </w:tcPr>
          <w:p>
            <w:pPr>
              <w:spacing w:after="0"/>
              <w:rPr>
                <w:sz w:val="24"/>
                <w:szCs w:val="24"/>
                <w:color w:val="auto"/>
              </w:rPr>
            </w:pPr>
          </w:p>
        </w:tc>
        <w:tc>
          <w:tcPr>
            <w:tcW w:w="6500" w:type="dxa"/>
            <w:vAlign w:val="bottom"/>
            <w:gridSpan w:val="2"/>
          </w:tcPr>
          <w:p>
            <w:pPr>
              <w:ind w:left="1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200" w:type="dxa"/>
            <w:vAlign w:val="bottom"/>
          </w:tcPr>
          <w:p>
            <w:pPr>
              <w:spacing w:after="0"/>
              <w:rPr>
                <w:sz w:val="24"/>
                <w:szCs w:val="24"/>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500"/>
              <w:spacing w:after="0"/>
              <w:rPr>
                <w:sz w:val="20"/>
                <w:szCs w:val="20"/>
                <w:color w:val="auto"/>
              </w:rPr>
            </w:pPr>
            <w:r>
              <w:rPr>
                <w:rFonts w:ascii="Arial" w:cs="Arial" w:eastAsia="Arial" w:hAnsi="Arial"/>
                <w:sz w:val="18"/>
                <w:szCs w:val="18"/>
                <w:b w:val="1"/>
                <w:bCs w:val="1"/>
                <w:color w:val="auto"/>
              </w:rPr>
              <w:t>EXHIBIT INDEX</w:t>
            </w:r>
          </w:p>
        </w:tc>
      </w:tr>
      <w:tr>
        <w:trPr>
          <w:trHeight w:val="326"/>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8"/>
              </w:rPr>
              <w:t>Exhibit</w:t>
            </w:r>
          </w:p>
        </w:tc>
        <w:tc>
          <w:tcPr>
            <w:tcW w:w="8900" w:type="dxa"/>
            <w:vAlign w:val="bottom"/>
          </w:tcPr>
          <w:p>
            <w:pPr>
              <w:spacing w:after="0"/>
              <w:rPr>
                <w:sz w:val="24"/>
                <w:szCs w:val="24"/>
                <w:color w:val="auto"/>
              </w:rPr>
            </w:pPr>
          </w:p>
        </w:tc>
      </w:tr>
      <w:tr>
        <w:trPr>
          <w:trHeight w:val="209"/>
        </w:trPr>
        <w:tc>
          <w:tcPr>
            <w:tcW w:w="25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7"/>
              </w:rPr>
              <w:t>No.</w:t>
            </w:r>
          </w:p>
        </w:tc>
        <w:tc>
          <w:tcPr>
            <w:tcW w:w="8900" w:type="dxa"/>
            <w:vAlign w:val="bottom"/>
          </w:tcPr>
          <w:p>
            <w:pPr>
              <w:ind w:left="4100"/>
              <w:spacing w:after="0"/>
              <w:rPr>
                <w:sz w:val="20"/>
                <w:szCs w:val="20"/>
                <w:color w:val="auto"/>
              </w:rPr>
            </w:pPr>
            <w:r>
              <w:rPr>
                <w:rFonts w:ascii="Arial" w:cs="Arial" w:eastAsia="Arial" w:hAnsi="Arial"/>
                <w:sz w:val="14"/>
                <w:szCs w:val="14"/>
                <w:b w:val="1"/>
                <w:bCs w:val="1"/>
                <w:color w:val="auto"/>
              </w:rPr>
              <w:t>Description</w:t>
            </w:r>
          </w:p>
        </w:tc>
      </w:tr>
      <w:tr>
        <w:trPr>
          <w:trHeight w:val="41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1480" w:type="dxa"/>
            <w:vAlign w:val="bottom"/>
          </w:tcPr>
          <w:p>
            <w:pPr>
              <w:spacing w:after="0"/>
              <w:rPr>
                <w:sz w:val="24"/>
                <w:szCs w:val="24"/>
                <w:color w:val="auto"/>
              </w:rPr>
            </w:pPr>
          </w:p>
        </w:tc>
        <w:tc>
          <w:tcPr>
            <w:tcW w:w="8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Executive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of 2002, 18 U.S.C. Section 1350.</w:t>
            </w:r>
          </w:p>
        </w:tc>
      </w:tr>
      <w:tr>
        <w:trPr>
          <w:trHeight w:val="44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FNF Group Tracking Stock</w:t>
            </w:r>
          </w:p>
        </w:tc>
      </w:tr>
      <w:tr>
        <w:trPr>
          <w:trHeight w:val="48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rPr>
              <w:t>Unaudited Attributed Financial Information for FNFV Group Tracking Stock</w:t>
            </w:r>
          </w:p>
        </w:tc>
      </w:tr>
      <w:tr>
        <w:trPr>
          <w:trHeight w:val="472"/>
        </w:trPr>
        <w:tc>
          <w:tcPr>
            <w:tcW w:w="104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48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2"/>
              </w:rPr>
              <w:t>The following materials from Fidelity National Financial, Inc.'s Quarterly Report on Form 10-Q for the quarter ended June</w:t>
            </w:r>
          </w:p>
        </w:tc>
      </w:tr>
      <w:tr>
        <w:trPr>
          <w:trHeight w:val="230"/>
        </w:trPr>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1"/>
              </w:rPr>
              <w:t>30, 2015, formatted in Extensible Business Reporting Language (XBRL): (i) the Condensed Consolidated Balance Sheets,</w:t>
            </w:r>
          </w:p>
        </w:tc>
      </w:tr>
    </w:tbl>
    <w:p>
      <w:pPr>
        <w:jc w:val="both"/>
        <w:ind w:left="2540" w:right="20"/>
        <w:spacing w:after="0" w:line="277" w:lineRule="auto"/>
        <w:rPr>
          <w:sz w:val="20"/>
          <w:szCs w:val="20"/>
          <w:color w:val="auto"/>
        </w:rPr>
      </w:pPr>
      <w:r>
        <w:rPr>
          <w:rFonts w:ascii="Arial" w:cs="Arial" w:eastAsia="Arial" w:hAnsi="Arial"/>
          <w:sz w:val="17"/>
          <w:szCs w:val="17"/>
          <w:color w:val="auto"/>
        </w:rPr>
        <w:t>(ii)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2015</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July 30, 2015</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July 30, 2015</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Core Operations (“we,” “our,” or "FNF Group"). The financial information in this Exhibit should be read in conjunction with our unaudited condensed consolidated financial statements for the period ended June 30, 2015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Core Operations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This segment provides core technology and data and analytics services through leading software systems and information solutions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1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will be reflected in the attributed financial information of the FNF Core Operations and the FNFV Group (see Exhibit 99.2).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5"/>
              </w:rPr>
              <w:t>Fixed maturity securities available for sale, at fair value, at June 30, 2015 and December 31, 2014 includes pledged fixed maturity securities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$349 and $499, respectively, related to secured trust deposits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2,826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Short-term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3,698</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Cash and cash equivalents, at June 30, 2015 and December 31, 2014 includes $406 and $136, respectively, of pledged cash related to secured trust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$32 at both June 30, 2015 and December 31, 2014</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software, 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plant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11,944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Due to affiliates</w:t>
            </w: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6,672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7"/>
              </w:rPr>
              <w:t>Redeemable non-controlling interest by 35% minority holder of ServiceLink Holdings, LLC as of June 30, 2015 and 33% minority holder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Black Knight Financial Services, LLC and 35% minority holder of ServiceLink Holdings, LLC as of December 31, 2014</w:t>
            </w:r>
          </w:p>
        </w:tc>
        <w:tc>
          <w:tcPr>
            <w:tcW w:w="2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6"/>
              </w:rPr>
              <w:t>FNF Group common stock, $0.0001 par value; authorized 487,000,000 shares as of June 30, 2015 and December 31, 2014; outstanding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2"/>
              </w:rPr>
              <w:t>279,565,496 and 279,443,239 as of June 30, 2015 and December 31, 2014, respectively, and issued of 281,041,158 and 279,825,796 as of June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30, 2015 and December 31, 2014, respectively</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Less: treasury stock, 1,475,662 and 375,662 shares as of June 30, 2015 and December 31, 2014, respectively</w:t>
            </w:r>
          </w:p>
        </w:tc>
        <w:tc>
          <w:tcPr>
            <w:tcW w:w="2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shareholders’ equity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12,658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Core Operations</w:t>
      </w:r>
    </w:p>
    <w:p>
      <w:pPr>
        <w:sectPr>
          <w:pgSz w:w="11900" w:h="16838" w:orient="portrait"/>
          <w:cols w:equalWidth="0" w:num="1">
            <w:col w:w="11420"/>
          </w:cols>
          <w:pgMar w:left="240" w:top="364" w:right="239" w:bottom="11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151"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Three months ended June 30,</w:t>
            </w:r>
          </w:p>
        </w:tc>
        <w:tc>
          <w:tcPr>
            <w:tcW w:w="140" w:type="dxa"/>
            <w:vAlign w:val="bottom"/>
          </w:tcPr>
          <w:p>
            <w:pPr>
              <w:spacing w:after="0"/>
              <w:rPr>
                <w:sz w:val="18"/>
                <w:szCs w:val="18"/>
                <w:color w:val="auto"/>
              </w:rPr>
            </w:pPr>
          </w:p>
        </w:tc>
        <w:tc>
          <w:tcPr>
            <w:tcW w:w="2000" w:type="dxa"/>
            <w:vAlign w:val="bottom"/>
            <w:gridSpan w:val="4"/>
          </w:tcPr>
          <w:p>
            <w:pPr>
              <w:jc w:val="right"/>
              <w:ind w:right="58"/>
              <w:spacing w:after="0"/>
              <w:rPr>
                <w:sz w:val="20"/>
                <w:szCs w:val="20"/>
                <w:color w:val="auto"/>
              </w:rPr>
            </w:pPr>
            <w:r>
              <w:rPr>
                <w:rFonts w:ascii="Arial" w:cs="Arial" w:eastAsia="Arial" w:hAnsi="Arial"/>
                <w:sz w:val="16"/>
                <w:szCs w:val="16"/>
                <w:b w:val="1"/>
                <w:bCs w:val="1"/>
                <w:color w:val="auto"/>
                <w:w w:val="89"/>
              </w:rPr>
              <w:t>Six months ended June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7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8"/>
                <w:szCs w:val="18"/>
                <w:color w:val="auto"/>
              </w:rPr>
            </w:pPr>
          </w:p>
        </w:tc>
        <w:tc>
          <w:tcPr>
            <w:tcW w:w="2000" w:type="dxa"/>
            <w:vAlign w:val="bottom"/>
            <w:gridSpan w:val="4"/>
          </w:tcPr>
          <w:p>
            <w:pPr>
              <w:jc w:val="right"/>
              <w:ind w:right="558"/>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 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1,673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1,524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3,196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3,027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Earnings (loss) from discontinued operations, net of tax</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Core Operations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192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70"/>
        </w:trPr>
        <w:tc>
          <w:tcPr>
            <w:tcW w:w="9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 of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(purchases) sales of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(Contributions to) 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(2,248)</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of BPG Holdings, LLC,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Additional investment in non-controlling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BKFS IPO</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Tax benefit associated with the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Distributions by BKFS to member</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Contributions to subsidiaries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244"/>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680"/>
              <w:spacing w:after="0"/>
              <w:rPr>
                <w:sz w:val="20"/>
                <w:szCs w:val="20"/>
                <w:color w:val="auto"/>
              </w:rPr>
            </w:pPr>
            <w:r>
              <w:rPr>
                <w:rFonts w:ascii="Arial" w:cs="Arial" w:eastAsia="Arial" w:hAnsi="Arial"/>
                <w:sz w:val="18"/>
                <w:szCs w:val="18"/>
                <w:color w:val="auto"/>
              </w:rPr>
              <w:t>See Notes to Unaudited Attributed Financial Information for FNF Core Operations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64" w:right="259" w:bottom="408"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408"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Group is a leading provider of title insurance, technology and transaction services to the real estate and mortgage industries. FNF Group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Group also provides industry-leading mortgage technology solutions and transaction services, including MSP®, the leading residential mortgage servicing technology platform in the U.S., through its majority-owned subsidiaries, Black Knight Financial Services, Inc. ("Black Knight") and ServiceLink Holdings, LLC ("ServiceLink").</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their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Black Knight Operating LLC. Following the IPO, we own 55% of the outstanding shares of Black Knight in the form of Class B common stock, with a corresponding ownership interest in Black Knight Operating, LLC.</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June 30, 2015 included in this Quarterly Report on Form 10-Q.</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J. Alexander’s, LLC ("J. Alexander's"), Ceridian HCM, Inc. ("Ceridian") and Digital Insurance, Inc. ("Digital Insurance").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59"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Max &amp; Erma's, Village Inn, Bakers Square, and Legendary Baking concepts. This segment also includes J. Alexander's, in which we have an 87% ownership interest, which includes their self-named J. Alexander's concept as well as the Redlands Grill and the Stoney River Steakhouse and Grill concepts.</w:t>
      </w:r>
    </w:p>
    <w:p>
      <w:pPr>
        <w:spacing w:after="0" w:line="132" w:lineRule="exact"/>
        <w:rPr>
          <w:rFonts w:ascii="Arial" w:cs="Arial" w:eastAsia="Arial" w:hAnsi="Arial"/>
          <w:sz w:val="18"/>
          <w:szCs w:val="18"/>
          <w:i w:val="1"/>
          <w:iCs w:val="1"/>
          <w:color w:val="auto"/>
        </w:rPr>
      </w:pPr>
    </w:p>
    <w:p>
      <w:pPr>
        <w:ind w:left="660" w:right="20" w:hanging="409"/>
        <w:spacing w:after="0" w:line="308"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Fidelity National Financial ("FNF")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will be reflected in the attributed financial information of the FNF Group and the FNFV Group. In general, corporate overhead will be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will allocate in a similar manner a portion of costs of administrative shared services, such as information technology services. Where determinations based on use alone are not practical, we will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FNFV, our tracking stock structure does not affect the ownership or the respective legal title to our assets or responsibility for our liabilities. We and our subsidiaries are each responsible for our respective liabilities. Holders of FNFV Group common stock are subject to risks associated with an investment in our company and all of our businesses, assets and liabilities. The issuance of FNFV Group common stock does not affect the rights of our creditors or creditors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center"/>
              <w:ind w:right="99"/>
              <w:spacing w:after="0"/>
              <w:rPr>
                <w:sz w:val="20"/>
                <w:szCs w:val="20"/>
                <w:color w:val="auto"/>
              </w:rPr>
            </w:pPr>
            <w:r>
              <w:rPr>
                <w:rFonts w:ascii="Arial" w:cs="Arial" w:eastAsia="Arial" w:hAnsi="Arial"/>
                <w:sz w:val="16"/>
                <w:szCs w:val="16"/>
                <w:b w:val="1"/>
                <w:bCs w:val="1"/>
                <w:color w:val="auto"/>
                <w:w w:val="94"/>
              </w:rPr>
              <w:t>(Unaudited)</w:t>
            </w:r>
          </w:p>
        </w:tc>
      </w:tr>
      <w:tr>
        <w:trPr>
          <w:trHeight w:val="270"/>
        </w:trPr>
        <w:tc>
          <w:tcPr>
            <w:tcW w:w="880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755</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from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80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1,923</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80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FNFV Group common stock, $0.0001 par value; authorized 113,000,000 shares as of June 30, 2015 and December 31, 2014;</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outstanding of 78,171,787 and 92,828,470 as of June 30, 2015 and December 31, 2014, respectively, and issued of 80,613,212 and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92,944,617 as of June 30, 2015 and December 31, 2014,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1,341</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treasury stock, 2,441,425 and 118,075 shares as of June 30, 2015 and December 31, 2014,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1,378</w:t>
            </w:r>
          </w:p>
        </w:tc>
      </w:tr>
      <w:tr>
        <w:trPr>
          <w:trHeight w:val="33"/>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17"/>
        </w:trPr>
        <w:tc>
          <w:tcPr>
            <w:tcW w:w="880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r>
      <w:tr>
        <w:trPr>
          <w:trHeight w:val="33"/>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1,923</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(loss) from continuing operations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from discontinued operations, net of tax</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9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(losses) attributable to FNFV Group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22"/>
        </w:trPr>
        <w:tc>
          <w:tcPr>
            <w:tcW w:w="74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FNFV Group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from continuing operations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22"/>
        </w:trPr>
        <w:tc>
          <w:tcPr>
            <w:tcW w:w="74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attributable to Old FNF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per share attributable to FNFV Group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Old FNF common stock, basic basis (1)</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Old FNF common stock, diluted basis (1)</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980" w:hanging="972"/>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as of June 30, 2014 are presented and used to calculate earnings per share for the three and six months then 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88"/>
              </w:rPr>
              <w:t>Six months ended June 30,</w:t>
            </w:r>
          </w:p>
        </w:tc>
      </w:tr>
      <w:tr>
        <w:trPr>
          <w:trHeight w:val="270"/>
        </w:trPr>
        <w:tc>
          <w:tcPr>
            <w:tcW w:w="9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33"/>
        </w:trPr>
        <w:tc>
          <w:tcPr>
            <w:tcW w:w="9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r>
      <w:tr>
        <w:trPr>
          <w:trHeight w:val="217"/>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short-term investment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Acquisition of Compass/Prospective, net of cash acquired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and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Parent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155</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our FNFV group, we own majority and minority equity investment stakes in a number of entities, including ABRH, J. Alexander's, Ceridian and Digital Insurance.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30, 2015 we announced our intention to pursue a tax-free spin-off of ABRH to FNFV stockholders.</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June 25, 2015, J. Alexander's filed a draft registration statement on Form 10 with the Securities and Exchange Commission ("SEC") for its planned spin-off (the "Spin-off") from FNF. J. Alexander's is currently presented as part of the Restaurant Group segment of FNFV. Immediately prior to the Distribution, FNF will own 13,116,000 shares of common stock of J. Alexander’s Holdings, Inc. (“PubliCo”), which represents 87.44% of the total issued and outstanding shares of PubliCo. As a result of the Spin-off, all 13,116,000 of PubliCo shares owned by FNF will be distributed ("the Distribution") in the form of a dividend to common stockholders of FNFV. As a result of the Distribution, each FNFV shareholder is expected to receive 0.1678 shares of PubliCo's common stock for each share of FNFV common stock owned by such shareholder. The Spin-off and Distribution are subject to the satisfaction or waiver of certain conditions as outlined in their Form 10 filed with the SEC on June 25, 2015. The registration statement has not yet become effective. As a result, shares to be registered may not be sold nor may offers to buy be accepted prior to the time when the registration statement becomes effective.</w:t>
      </w:r>
    </w:p>
    <w:p>
      <w:pPr>
        <w:spacing w:after="0" w:line="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million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16,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Condensed Consolidated Statement of Operations in the six months ended June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3" w:name="page64"/>
    <w:bookmarkEnd w:id="63"/>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0"/>
        </w:trPr>
        <w:tc>
          <w:tcPr>
            <w:tcW w:w="8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American Blue Ribbon Holdings, LLC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J. Alexander's, LLC</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Digital Insurance, LLC</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Ceridian/Fleetcor (32% minority equity interest)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632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Cascade Timberlands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Holding Company Cash</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ventures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r>
      <w:tr>
        <w:trPr>
          <w:trHeight w:val="257"/>
        </w:trPr>
        <w:tc>
          <w:tcPr>
            <w:tcW w:w="8800" w:type="dxa"/>
            <w:vAlign w:val="bottom"/>
          </w:tcPr>
          <w:p>
            <w:pPr>
              <w:ind w:left="260"/>
              <w:spacing w:after="0"/>
              <w:rPr>
                <w:sz w:val="20"/>
                <w:szCs w:val="20"/>
                <w:color w:val="auto"/>
              </w:rPr>
            </w:pPr>
            <w:r>
              <w:rPr>
                <w:rFonts w:ascii="Arial" w:cs="Arial" w:eastAsia="Arial" w:hAnsi="Arial"/>
                <w:sz w:val="18"/>
                <w:szCs w:val="18"/>
                <w:color w:val="auto"/>
              </w:rPr>
              <w:t>Total FNFV Book Value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1,160</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2019-12-29T16:21:28Z</dcterms:created>
  <dcterms:modified xsi:type="dcterms:W3CDTF">2019-12-29T16:21:28Z</dcterms:modified>
</cp:coreProperties>
</file>