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4"/>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401955</wp:posOffset>
            </wp:positionV>
            <wp:extent cx="715708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085" cy="698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374015</wp:posOffset>
            </wp:positionV>
            <wp:extent cx="715708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ind w:right="-13"/>
        <w:spacing w:after="0"/>
        <w:rPr>
          <w:sz w:val="20"/>
          <w:szCs w:val="20"/>
          <w:color w:val="auto"/>
        </w:rPr>
      </w:pPr>
      <w:r>
        <w:rPr>
          <w:rFonts w:ascii="Arial" w:cs="Arial" w:eastAsia="Arial" w:hAnsi="Arial"/>
          <w:sz w:val="24"/>
          <w:szCs w:val="24"/>
          <w:b w:val="1"/>
          <w:bCs w:val="1"/>
          <w:color w:val="auto"/>
        </w:rPr>
        <w:t>UNITED STATES</w:t>
      </w:r>
    </w:p>
    <w:p>
      <w:pPr>
        <w:spacing w:after="0" w:line="26" w:lineRule="exact"/>
        <w:rPr>
          <w:sz w:val="24"/>
          <w:szCs w:val="24"/>
          <w:color w:val="auto"/>
        </w:rPr>
      </w:pPr>
    </w:p>
    <w:p>
      <w:pPr>
        <w:jc w:val="center"/>
        <w:ind w:right="-13"/>
        <w:spacing w:after="0"/>
        <w:rPr>
          <w:sz w:val="20"/>
          <w:szCs w:val="20"/>
          <w:color w:val="auto"/>
        </w:rPr>
      </w:pPr>
      <w:r>
        <w:rPr>
          <w:rFonts w:ascii="Arial" w:cs="Arial" w:eastAsia="Arial" w:hAnsi="Arial"/>
          <w:sz w:val="24"/>
          <w:szCs w:val="24"/>
          <w:b w:val="1"/>
          <w:bCs w:val="1"/>
          <w:color w:val="auto"/>
        </w:rPr>
        <w:t>SECURITIES AND EXCHANGE COMMISSION</w:t>
      </w:r>
    </w:p>
    <w:p>
      <w:pPr>
        <w:spacing w:after="0" w:line="4" w:lineRule="exact"/>
        <w:rPr>
          <w:sz w:val="24"/>
          <w:szCs w:val="24"/>
          <w:color w:val="auto"/>
        </w:rPr>
      </w:pPr>
    </w:p>
    <w:p>
      <w:pPr>
        <w:jc w:val="center"/>
        <w:ind w:right="-13"/>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2390775</wp:posOffset>
            </wp:positionH>
            <wp:positionV relativeFrom="paragraph">
              <wp:posOffset>55245</wp:posOffset>
            </wp:positionV>
            <wp:extent cx="239014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90140" cy="6985"/>
                    </a:xfrm>
                    <a:prstGeom prst="rect">
                      <a:avLst/>
                    </a:prstGeom>
                    <a:noFill/>
                  </pic:spPr>
                </pic:pic>
              </a:graphicData>
            </a:graphic>
          </wp:anchor>
        </w:drawing>
      </w:r>
    </w:p>
    <w:p>
      <w:pPr>
        <w:spacing w:after="0" w:line="163" w:lineRule="exact"/>
        <w:rPr>
          <w:sz w:val="24"/>
          <w:szCs w:val="24"/>
          <w:color w:val="auto"/>
        </w:rPr>
      </w:pPr>
    </w:p>
    <w:p>
      <w:pPr>
        <w:jc w:val="center"/>
        <w:ind w:right="-13"/>
        <w:spacing w:after="0"/>
        <w:rPr>
          <w:sz w:val="20"/>
          <w:szCs w:val="20"/>
          <w:color w:val="auto"/>
        </w:rPr>
      </w:pPr>
      <w:r>
        <w:rPr>
          <w:rFonts w:ascii="Arial" w:cs="Arial" w:eastAsia="Arial" w:hAnsi="Arial"/>
          <w:sz w:val="24"/>
          <w:szCs w:val="2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2390775</wp:posOffset>
            </wp:positionH>
            <wp:positionV relativeFrom="paragraph">
              <wp:posOffset>79375</wp:posOffset>
            </wp:positionV>
            <wp:extent cx="239014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90140" cy="6985"/>
                    </a:xfrm>
                    <a:prstGeom prst="rect">
                      <a:avLst/>
                    </a:prstGeom>
                    <a:noFill/>
                  </pic:spPr>
                </pic:pic>
              </a:graphicData>
            </a:graphic>
          </wp:anchor>
        </w:drawing>
      </w:r>
    </w:p>
    <w:p>
      <w:pPr>
        <w:spacing w:after="0" w:line="205" w:lineRule="exact"/>
        <w:rPr>
          <w:sz w:val="24"/>
          <w:szCs w:val="24"/>
          <w:color w:val="auto"/>
        </w:rPr>
      </w:pPr>
    </w:p>
    <w:p>
      <w:pPr>
        <w:ind w:left="14"/>
        <w:spacing w:after="0"/>
        <w:rPr>
          <w:sz w:val="20"/>
          <w:szCs w:val="20"/>
          <w:color w:val="auto"/>
        </w:rPr>
      </w:pPr>
      <w:r>
        <w:rPr>
          <w:rFonts w:ascii="Arial" w:cs="Arial" w:eastAsia="Arial" w:hAnsi="Arial"/>
          <w:sz w:val="15"/>
          <w:szCs w:val="15"/>
          <w:color w:val="auto"/>
        </w:rPr>
        <w:t>(Mark One)</w:t>
      </w:r>
    </w:p>
    <w:p>
      <w:pPr>
        <w:spacing w:after="0" w:line="147" w:lineRule="exact"/>
        <w:rPr>
          <w:sz w:val="24"/>
          <w:szCs w:val="24"/>
          <w:color w:val="auto"/>
        </w:rPr>
      </w:pPr>
    </w:p>
    <w:p>
      <w:pPr>
        <w:ind w:left="474" w:hanging="437"/>
        <w:spacing w:after="0"/>
        <w:tabs>
          <w:tab w:leader="none" w:pos="47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88" w:lineRule="exact"/>
        <w:rPr>
          <w:sz w:val="24"/>
          <w:szCs w:val="24"/>
          <w:color w:val="auto"/>
        </w:rPr>
      </w:pPr>
    </w:p>
    <w:p>
      <w:pPr>
        <w:jc w:val="center"/>
        <w:ind w:right="-13"/>
        <w:spacing w:after="0"/>
        <w:rPr>
          <w:sz w:val="20"/>
          <w:szCs w:val="20"/>
          <w:color w:val="auto"/>
        </w:rPr>
      </w:pPr>
      <w:r>
        <w:rPr>
          <w:rFonts w:ascii="Arial" w:cs="Arial" w:eastAsia="Arial" w:hAnsi="Arial"/>
          <w:sz w:val="15"/>
          <w:szCs w:val="15"/>
          <w:b w:val="1"/>
          <w:bCs w:val="1"/>
          <w:color w:val="auto"/>
        </w:rPr>
        <w:t>For the quarterly period ended September 30, 2021</w:t>
      </w:r>
    </w:p>
    <w:p>
      <w:pPr>
        <w:spacing w:after="0" w:line="70" w:lineRule="exact"/>
        <w:rPr>
          <w:sz w:val="24"/>
          <w:szCs w:val="24"/>
          <w:color w:val="auto"/>
        </w:rPr>
      </w:pPr>
    </w:p>
    <w:p>
      <w:pPr>
        <w:jc w:val="center"/>
        <w:ind w:right="-13"/>
        <w:spacing w:after="0"/>
        <w:rPr>
          <w:sz w:val="20"/>
          <w:szCs w:val="20"/>
          <w:color w:val="auto"/>
        </w:rPr>
      </w:pPr>
      <w:r>
        <w:rPr>
          <w:rFonts w:ascii="Arial" w:cs="Arial" w:eastAsia="Arial" w:hAnsi="Arial"/>
          <w:sz w:val="15"/>
          <w:szCs w:val="15"/>
          <w:b w:val="1"/>
          <w:bCs w:val="1"/>
          <w:color w:val="auto"/>
        </w:rPr>
        <w:t>OR</w:t>
      </w:r>
    </w:p>
    <w:p>
      <w:pPr>
        <w:spacing w:after="0" w:line="261" w:lineRule="exact"/>
        <w:rPr>
          <w:sz w:val="24"/>
          <w:szCs w:val="24"/>
          <w:color w:val="auto"/>
        </w:rPr>
      </w:pPr>
    </w:p>
    <w:p>
      <w:pPr>
        <w:ind w:left="474" w:hanging="474"/>
        <w:spacing w:after="0"/>
        <w:tabs>
          <w:tab w:leader="none" w:pos="47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p>
      <w:pPr>
        <w:jc w:val="center"/>
        <w:ind w:right="-13"/>
        <w:spacing w:after="0"/>
        <w:rPr>
          <w:sz w:val="20"/>
          <w:szCs w:val="20"/>
          <w:color w:val="auto"/>
        </w:rPr>
      </w:pPr>
      <w:r>
        <w:rPr>
          <w:rFonts w:ascii="Arial" w:cs="Arial" w:eastAsia="Arial" w:hAnsi="Arial"/>
          <w:sz w:val="15"/>
          <w:szCs w:val="15"/>
          <w:b w:val="1"/>
          <w:bCs w:val="1"/>
          <w:color w:val="auto"/>
        </w:rPr>
        <w:t>Commission File Number: 001-32630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1759585</wp:posOffset>
            </wp:positionH>
            <wp:positionV relativeFrom="paragraph">
              <wp:posOffset>74930</wp:posOffset>
            </wp:positionV>
            <wp:extent cx="366649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66490" cy="698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152400</wp:posOffset>
            </wp:positionV>
            <wp:extent cx="1402080" cy="581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2080" cy="581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tbl>
      <w:tblPr>
        <w:tblLayout w:type="fixed"/>
        <w:tblInd w:w="1014" w:type="dxa"/>
        <w:tblCellMar>
          <w:top w:w="0" w:type="dxa"/>
          <w:left w:w="0" w:type="dxa"/>
          <w:bottom w:w="0" w:type="dxa"/>
          <w:right w:w="0" w:type="dxa"/>
        </w:tblCellMar>
      </w:tblPr>
      <w:tr>
        <w:trPr>
          <w:trHeight w:val="229"/>
        </w:trPr>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920" w:type="dxa"/>
            <w:vAlign w:val="bottom"/>
            <w:gridSpan w:val="3"/>
          </w:tcPr>
          <w:p>
            <w:pPr>
              <w:jc w:val="center"/>
              <w:ind w:left="433"/>
              <w:spacing w:after="0"/>
              <w:rPr>
                <w:sz w:val="20"/>
                <w:szCs w:val="20"/>
                <w:color w:val="auto"/>
              </w:rPr>
            </w:pPr>
            <w:r>
              <w:rPr>
                <w:rFonts w:ascii="Arial" w:cs="Arial" w:eastAsia="Arial" w:hAnsi="Arial"/>
                <w:sz w:val="18"/>
                <w:szCs w:val="18"/>
                <w:b w:val="1"/>
                <w:bCs w:val="1"/>
                <w:color w:val="auto"/>
              </w:rPr>
              <w:t>FIDELITY NATIONAL FINANCIAL, INC.</w:t>
            </w: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02"/>
        </w:trPr>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920" w:type="dxa"/>
            <w:vAlign w:val="bottom"/>
            <w:gridSpan w:val="3"/>
          </w:tcPr>
          <w:p>
            <w:pPr>
              <w:jc w:val="center"/>
              <w:ind w:left="413"/>
              <w:spacing w:after="0"/>
              <w:rPr>
                <w:sz w:val="20"/>
                <w:szCs w:val="20"/>
                <w:color w:val="auto"/>
              </w:rPr>
            </w:pPr>
            <w:r>
              <w:rPr>
                <w:rFonts w:ascii="Arial" w:cs="Arial" w:eastAsia="Arial" w:hAnsi="Arial"/>
                <w:sz w:val="15"/>
                <w:szCs w:val="15"/>
                <w:b w:val="1"/>
                <w:bCs w:val="1"/>
                <w:color w:val="auto"/>
                <w:w w:val="87"/>
              </w:rPr>
              <w:t>(Exact name of registrant as specified in its charter)</w:t>
            </w: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100"/>
        </w:trPr>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294"/>
        </w:trPr>
        <w:tc>
          <w:tcPr>
            <w:tcW w:w="2440" w:type="dxa"/>
            <w:vAlign w:val="bottom"/>
            <w:gridSpan w:val="4"/>
          </w:tcPr>
          <w:p>
            <w:pPr>
              <w:jc w:val="center"/>
              <w:ind w:right="920"/>
              <w:spacing w:after="0"/>
              <w:rPr>
                <w:sz w:val="20"/>
                <w:szCs w:val="20"/>
                <w:color w:val="auto"/>
              </w:rPr>
            </w:pPr>
            <w:r>
              <w:rPr>
                <w:rFonts w:ascii="Arial" w:cs="Arial" w:eastAsia="Arial" w:hAnsi="Arial"/>
                <w:sz w:val="15"/>
                <w:szCs w:val="15"/>
                <w:b w:val="1"/>
                <w:bCs w:val="1"/>
                <w:color w:val="auto"/>
                <w:w w:val="91"/>
              </w:rPr>
              <w:t>Delaware</w:t>
            </w: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20" w:type="dxa"/>
            <w:vAlign w:val="bottom"/>
            <w:gridSpan w:val="3"/>
          </w:tcPr>
          <w:p>
            <w:pPr>
              <w:jc w:val="center"/>
              <w:ind w:left="1636"/>
              <w:spacing w:after="0"/>
              <w:rPr>
                <w:sz w:val="20"/>
                <w:szCs w:val="20"/>
                <w:color w:val="auto"/>
              </w:rPr>
            </w:pPr>
            <w:r>
              <w:rPr>
                <w:rFonts w:ascii="Arial" w:cs="Arial" w:eastAsia="Arial" w:hAnsi="Arial"/>
                <w:sz w:val="15"/>
                <w:szCs w:val="15"/>
                <w:b w:val="1"/>
                <w:bCs w:val="1"/>
                <w:color w:val="auto"/>
                <w:w w:val="89"/>
              </w:rPr>
              <w:t>16-1725106</w:t>
            </w:r>
          </w:p>
        </w:tc>
      </w:tr>
      <w:tr>
        <w:trPr>
          <w:trHeight w:val="117"/>
        </w:trPr>
        <w:tc>
          <w:tcPr>
            <w:tcW w:w="2440" w:type="dxa"/>
            <w:vAlign w:val="bottom"/>
            <w:gridSpan w:val="4"/>
          </w:tcPr>
          <w:p>
            <w:pPr>
              <w:jc w:val="center"/>
              <w:ind w:right="920"/>
              <w:spacing w:after="0" w:line="117" w:lineRule="exact"/>
              <w:rPr>
                <w:sz w:val="20"/>
                <w:szCs w:val="20"/>
                <w:color w:val="auto"/>
              </w:rPr>
            </w:pPr>
            <w:r>
              <w:rPr>
                <w:rFonts w:ascii="Arial" w:cs="Arial" w:eastAsia="Arial" w:hAnsi="Arial"/>
                <w:sz w:val="12"/>
                <w:szCs w:val="12"/>
                <w:b w:val="1"/>
                <w:bCs w:val="1"/>
                <w:color w:val="auto"/>
                <w:w w:val="89"/>
              </w:rPr>
              <w:t>(State or other jurisdiction of</w:t>
            </w: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40" w:type="dxa"/>
            <w:vAlign w:val="bottom"/>
            <w:gridSpan w:val="2"/>
          </w:tcPr>
          <w:p>
            <w:pPr>
              <w:jc w:val="center"/>
              <w:ind w:left="461"/>
              <w:spacing w:after="0" w:line="117" w:lineRule="exact"/>
              <w:rPr>
                <w:sz w:val="20"/>
                <w:szCs w:val="20"/>
                <w:color w:val="auto"/>
              </w:rPr>
            </w:pPr>
            <w:r>
              <w:rPr>
                <w:rFonts w:ascii="Arial" w:cs="Arial" w:eastAsia="Arial" w:hAnsi="Arial"/>
                <w:sz w:val="12"/>
                <w:szCs w:val="12"/>
                <w:b w:val="1"/>
                <w:bCs w:val="1"/>
                <w:color w:val="auto"/>
                <w:w w:val="91"/>
              </w:rPr>
              <w:t>(I.R.S. Employer</w:t>
            </w:r>
          </w:p>
        </w:tc>
      </w:tr>
      <w:tr>
        <w:trPr>
          <w:trHeight w:val="151"/>
        </w:trPr>
        <w:tc>
          <w:tcPr>
            <w:tcW w:w="2440" w:type="dxa"/>
            <w:vAlign w:val="bottom"/>
            <w:gridSpan w:val="4"/>
          </w:tcPr>
          <w:p>
            <w:pPr>
              <w:jc w:val="center"/>
              <w:ind w:right="900"/>
              <w:spacing w:after="0"/>
              <w:rPr>
                <w:sz w:val="20"/>
                <w:szCs w:val="20"/>
                <w:color w:val="auto"/>
              </w:rPr>
            </w:pPr>
            <w:r>
              <w:rPr>
                <w:rFonts w:ascii="Arial" w:cs="Arial" w:eastAsia="Arial" w:hAnsi="Arial"/>
                <w:sz w:val="12"/>
                <w:szCs w:val="12"/>
                <w:b w:val="1"/>
                <w:bCs w:val="1"/>
                <w:color w:val="auto"/>
                <w:w w:val="89"/>
              </w:rPr>
              <w:t>incorporation or organization)</w:t>
            </w: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40" w:type="dxa"/>
            <w:vAlign w:val="bottom"/>
            <w:gridSpan w:val="2"/>
          </w:tcPr>
          <w:p>
            <w:pPr>
              <w:jc w:val="center"/>
              <w:ind w:left="461"/>
              <w:spacing w:after="0"/>
              <w:rPr>
                <w:sz w:val="20"/>
                <w:szCs w:val="20"/>
                <w:color w:val="auto"/>
              </w:rPr>
            </w:pPr>
            <w:r>
              <w:rPr>
                <w:rFonts w:ascii="Arial" w:cs="Arial" w:eastAsia="Arial" w:hAnsi="Arial"/>
                <w:sz w:val="12"/>
                <w:szCs w:val="12"/>
                <w:b w:val="1"/>
                <w:bCs w:val="1"/>
                <w:color w:val="auto"/>
                <w:w w:val="90"/>
              </w:rPr>
              <w:t>Identification No.)</w:t>
            </w:r>
          </w:p>
        </w:tc>
      </w:tr>
      <w:tr>
        <w:trPr>
          <w:trHeight w:val="243"/>
        </w:trPr>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920" w:type="dxa"/>
            <w:vAlign w:val="bottom"/>
            <w:gridSpan w:val="2"/>
          </w:tcPr>
          <w:p>
            <w:pPr>
              <w:jc w:val="center"/>
              <w:ind w:right="520"/>
              <w:spacing w:after="0"/>
              <w:rPr>
                <w:sz w:val="20"/>
                <w:szCs w:val="20"/>
                <w:color w:val="auto"/>
              </w:rPr>
            </w:pPr>
            <w:r>
              <w:rPr>
                <w:rFonts w:ascii="Arial" w:cs="Arial" w:eastAsia="Arial" w:hAnsi="Arial"/>
                <w:sz w:val="15"/>
                <w:szCs w:val="15"/>
                <w:b w:val="1"/>
                <w:bCs w:val="1"/>
                <w:color w:val="auto"/>
                <w:w w:val="87"/>
              </w:rPr>
              <w:t>601 Riverside Avenue</w:t>
            </w:r>
          </w:p>
        </w:tc>
        <w:tc>
          <w:tcPr>
            <w:tcW w:w="1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174"/>
        </w:trPr>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920" w:type="dxa"/>
            <w:vAlign w:val="bottom"/>
            <w:gridSpan w:val="2"/>
          </w:tcPr>
          <w:p>
            <w:pPr>
              <w:jc w:val="center"/>
              <w:ind w:right="520"/>
              <w:spacing w:after="0"/>
              <w:rPr>
                <w:sz w:val="20"/>
                <w:szCs w:val="20"/>
                <w:color w:val="auto"/>
              </w:rPr>
            </w:pPr>
            <w:r>
              <w:rPr>
                <w:rFonts w:ascii="Arial" w:cs="Arial" w:eastAsia="Arial" w:hAnsi="Arial"/>
                <w:sz w:val="15"/>
                <w:szCs w:val="15"/>
                <w:b w:val="1"/>
                <w:bCs w:val="1"/>
                <w:color w:val="auto"/>
                <w:w w:val="89"/>
              </w:rPr>
              <w:t>Jacksonville, Florida, 32204</w:t>
            </w: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51"/>
        </w:trPr>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920" w:type="dxa"/>
            <w:vAlign w:val="bottom"/>
            <w:gridSpan w:val="3"/>
          </w:tcPr>
          <w:p>
            <w:pPr>
              <w:jc w:val="center"/>
              <w:ind w:left="413"/>
              <w:spacing w:after="0"/>
              <w:rPr>
                <w:sz w:val="20"/>
                <w:szCs w:val="20"/>
                <w:color w:val="auto"/>
              </w:rPr>
            </w:pPr>
            <w:r>
              <w:rPr>
                <w:rFonts w:ascii="Arial" w:cs="Arial" w:eastAsia="Arial" w:hAnsi="Arial"/>
                <w:sz w:val="12"/>
                <w:szCs w:val="12"/>
                <w:b w:val="1"/>
                <w:bCs w:val="1"/>
                <w:color w:val="auto"/>
                <w:w w:val="87"/>
              </w:rPr>
              <w:t>(Address of principal executive offices, including zip code)</w:t>
            </w:r>
          </w:p>
        </w:tc>
        <w:tc>
          <w:tcPr>
            <w:tcW w:w="1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374"/>
        </w:trPr>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920" w:type="dxa"/>
            <w:vAlign w:val="bottom"/>
            <w:gridSpan w:val="3"/>
          </w:tcPr>
          <w:p>
            <w:pPr>
              <w:jc w:val="center"/>
              <w:ind w:left="413"/>
              <w:spacing w:after="0"/>
              <w:rPr>
                <w:sz w:val="20"/>
                <w:szCs w:val="20"/>
                <w:color w:val="auto"/>
              </w:rPr>
            </w:pPr>
            <w:r>
              <w:rPr>
                <w:rFonts w:ascii="Arial" w:cs="Arial" w:eastAsia="Arial" w:hAnsi="Arial"/>
                <w:sz w:val="15"/>
                <w:szCs w:val="15"/>
                <w:b w:val="1"/>
                <w:bCs w:val="1"/>
                <w:color w:val="auto"/>
                <w:w w:val="89"/>
              </w:rPr>
              <w:t>(904) 854-8100</w:t>
            </w: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78"/>
        </w:trPr>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920" w:type="dxa"/>
            <w:vAlign w:val="bottom"/>
            <w:gridSpan w:val="3"/>
          </w:tcPr>
          <w:p>
            <w:pPr>
              <w:jc w:val="center"/>
              <w:ind w:left="433"/>
              <w:spacing w:after="0"/>
              <w:rPr>
                <w:sz w:val="20"/>
                <w:szCs w:val="20"/>
                <w:color w:val="auto"/>
              </w:rPr>
            </w:pPr>
            <w:r>
              <w:rPr>
                <w:rFonts w:ascii="Arial" w:cs="Arial" w:eastAsia="Arial" w:hAnsi="Arial"/>
                <w:sz w:val="12"/>
                <w:szCs w:val="12"/>
                <w:b w:val="1"/>
                <w:bCs w:val="1"/>
                <w:color w:val="auto"/>
                <w:w w:val="87"/>
              </w:rPr>
              <w:t>(Registrant’s telephone number, including area code)</w:t>
            </w: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331"/>
        </w:trPr>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920" w:type="dxa"/>
            <w:vAlign w:val="bottom"/>
            <w:gridSpan w:val="3"/>
          </w:tcPr>
          <w:p>
            <w:pPr>
              <w:jc w:val="center"/>
              <w:ind w:left="413"/>
              <w:spacing w:after="0"/>
              <w:rPr>
                <w:sz w:val="20"/>
                <w:szCs w:val="20"/>
                <w:color w:val="auto"/>
              </w:rPr>
            </w:pPr>
            <w:r>
              <w:rPr>
                <w:rFonts w:ascii="Arial" w:cs="Arial" w:eastAsia="Arial" w:hAnsi="Arial"/>
                <w:sz w:val="12"/>
                <w:szCs w:val="12"/>
                <w:b w:val="1"/>
                <w:bCs w:val="1"/>
                <w:color w:val="auto"/>
                <w:w w:val="87"/>
              </w:rPr>
              <w:t>Securities registered pursuant to Section 12(b) of the Act:</w:t>
            </w: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43"/>
        </w:trPr>
        <w:tc>
          <w:tcPr>
            <w:tcW w:w="500" w:type="dxa"/>
            <w:vAlign w:val="bottom"/>
          </w:tcPr>
          <w:p>
            <w:pPr>
              <w:spacing w:after="0"/>
              <w:rPr>
                <w:sz w:val="12"/>
                <w:szCs w:val="12"/>
                <w:color w:val="auto"/>
              </w:rPr>
            </w:pPr>
          </w:p>
        </w:tc>
        <w:tc>
          <w:tcPr>
            <w:tcW w:w="1940" w:type="dxa"/>
            <w:vAlign w:val="bottom"/>
            <w:gridSpan w:val="3"/>
          </w:tcPr>
          <w:p>
            <w:pPr>
              <w:jc w:val="center"/>
              <w:ind w:right="1000"/>
              <w:spacing w:after="0"/>
              <w:rPr>
                <w:sz w:val="20"/>
                <w:szCs w:val="20"/>
                <w:color w:val="auto"/>
              </w:rPr>
            </w:pPr>
            <w:r>
              <w:rPr>
                <w:rFonts w:ascii="Arial" w:cs="Arial" w:eastAsia="Arial" w:hAnsi="Arial"/>
                <w:sz w:val="12"/>
                <w:szCs w:val="12"/>
                <w:b w:val="1"/>
                <w:bCs w:val="1"/>
                <w:color w:val="auto"/>
                <w:w w:val="88"/>
              </w:rPr>
              <w:t>Title of Each Class</w:t>
            </w:r>
          </w:p>
        </w:tc>
        <w:tc>
          <w:tcPr>
            <w:tcW w:w="3920" w:type="dxa"/>
            <w:vAlign w:val="bottom"/>
            <w:gridSpan w:val="3"/>
          </w:tcPr>
          <w:p>
            <w:pPr>
              <w:jc w:val="center"/>
              <w:ind w:right="1120"/>
              <w:spacing w:after="0"/>
              <w:rPr>
                <w:sz w:val="20"/>
                <w:szCs w:val="20"/>
                <w:color w:val="auto"/>
              </w:rPr>
            </w:pPr>
            <w:r>
              <w:rPr>
                <w:rFonts w:ascii="Arial" w:cs="Arial" w:eastAsia="Arial" w:hAnsi="Arial"/>
                <w:sz w:val="12"/>
                <w:szCs w:val="12"/>
                <w:b w:val="1"/>
                <w:bCs w:val="1"/>
                <w:color w:val="auto"/>
                <w:w w:val="88"/>
              </w:rPr>
              <w:t>Trading Symbol</w:t>
            </w:r>
          </w:p>
        </w:tc>
        <w:tc>
          <w:tcPr>
            <w:tcW w:w="262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87"/>
              </w:rPr>
              <w:t>Name of Each Exchange on Which Registered</w:t>
            </w:r>
          </w:p>
        </w:tc>
      </w:tr>
      <w:tr>
        <w:trPr>
          <w:trHeight w:val="20"/>
        </w:trPr>
        <w:tc>
          <w:tcPr>
            <w:tcW w:w="5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8"/>
        </w:trPr>
        <w:tc>
          <w:tcPr>
            <w:tcW w:w="2440" w:type="dxa"/>
            <w:vAlign w:val="bottom"/>
            <w:gridSpan w:val="4"/>
          </w:tcPr>
          <w:p>
            <w:pPr>
              <w:jc w:val="center"/>
              <w:ind w:right="480"/>
              <w:spacing w:after="0"/>
              <w:rPr>
                <w:sz w:val="20"/>
                <w:szCs w:val="20"/>
                <w:color w:val="auto"/>
              </w:rPr>
            </w:pPr>
            <w:r>
              <w:rPr>
                <w:rFonts w:ascii="Arial" w:cs="Arial" w:eastAsia="Arial" w:hAnsi="Arial"/>
                <w:sz w:val="12"/>
                <w:szCs w:val="12"/>
                <w:color w:val="auto"/>
                <w:w w:val="88"/>
              </w:rPr>
              <w:t>FNF Common Stock, $0.0001 par value</w:t>
            </w:r>
          </w:p>
        </w:tc>
        <w:tc>
          <w:tcPr>
            <w:tcW w:w="1000" w:type="dxa"/>
            <w:vAlign w:val="bottom"/>
          </w:tcPr>
          <w:p>
            <w:pPr>
              <w:spacing w:after="0"/>
              <w:rPr>
                <w:sz w:val="13"/>
                <w:szCs w:val="13"/>
                <w:color w:val="auto"/>
              </w:rPr>
            </w:pPr>
          </w:p>
        </w:tc>
        <w:tc>
          <w:tcPr>
            <w:tcW w:w="2920" w:type="dxa"/>
            <w:vAlign w:val="bottom"/>
            <w:gridSpan w:val="2"/>
          </w:tcPr>
          <w:p>
            <w:pPr>
              <w:jc w:val="center"/>
              <w:ind w:right="2120"/>
              <w:spacing w:after="0"/>
              <w:rPr>
                <w:sz w:val="20"/>
                <w:szCs w:val="20"/>
                <w:color w:val="auto"/>
              </w:rPr>
            </w:pPr>
            <w:r>
              <w:rPr>
                <w:rFonts w:ascii="Arial" w:cs="Arial" w:eastAsia="Arial" w:hAnsi="Arial"/>
                <w:sz w:val="12"/>
                <w:szCs w:val="12"/>
                <w:color w:val="auto"/>
                <w:w w:val="85"/>
              </w:rPr>
              <w:t>FNF</w:t>
            </w:r>
          </w:p>
        </w:tc>
        <w:tc>
          <w:tcPr>
            <w:tcW w:w="2620" w:type="dxa"/>
            <w:vAlign w:val="bottom"/>
            <w:gridSpan w:val="3"/>
          </w:tcPr>
          <w:p>
            <w:pPr>
              <w:jc w:val="center"/>
              <w:ind w:right="320"/>
              <w:spacing w:after="0"/>
              <w:rPr>
                <w:sz w:val="20"/>
                <w:szCs w:val="20"/>
                <w:color w:val="auto"/>
              </w:rPr>
            </w:pPr>
            <w:r>
              <w:rPr>
                <w:rFonts w:ascii="Arial" w:cs="Arial" w:eastAsia="Arial" w:hAnsi="Arial"/>
                <w:sz w:val="12"/>
                <w:szCs w:val="12"/>
                <w:color w:val="auto"/>
                <w:w w:val="88"/>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1759585</wp:posOffset>
            </wp:positionH>
            <wp:positionV relativeFrom="paragraph">
              <wp:posOffset>76835</wp:posOffset>
            </wp:positionV>
            <wp:extent cx="366649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66490" cy="6985"/>
                    </a:xfrm>
                    <a:prstGeom prst="rect">
                      <a:avLst/>
                    </a:prstGeom>
                    <a:noFill/>
                  </pic:spPr>
                </pic:pic>
              </a:graphicData>
            </a:graphic>
          </wp:anchor>
        </w:drawing>
      </w:r>
    </w:p>
    <w:p>
      <w:pPr>
        <w:spacing w:after="0" w:line="195" w:lineRule="exact"/>
        <w:rPr>
          <w:sz w:val="24"/>
          <w:szCs w:val="24"/>
          <w:color w:val="auto"/>
        </w:rPr>
      </w:pPr>
    </w:p>
    <w:p>
      <w:pPr>
        <w:ind w:left="14"/>
        <w:spacing w:after="0" w:line="193"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2"/>
          <w:szCs w:val="12"/>
          <w:color w:val="auto"/>
        </w:rPr>
        <w:t xml:space="preserve"> or No </w:t>
      </w:r>
      <w:r>
        <w:rPr>
          <w:rFonts w:ascii="MS PGothic" w:cs="MS PGothic" w:eastAsia="MS PGothic" w:hAnsi="MS PGothic"/>
          <w:sz w:val="17"/>
          <w:szCs w:val="17"/>
          <w:color w:val="auto"/>
        </w:rPr>
        <w:t>☐</w:t>
      </w:r>
    </w:p>
    <w:p>
      <w:pPr>
        <w:spacing w:after="0" w:line="44" w:lineRule="exact"/>
        <w:rPr>
          <w:sz w:val="24"/>
          <w:szCs w:val="24"/>
          <w:color w:val="auto"/>
        </w:rPr>
      </w:pPr>
    </w:p>
    <w:p>
      <w:pPr>
        <w:ind w:left="14"/>
        <w:spacing w:after="0" w:line="200" w:lineRule="exact"/>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w:t>
      </w:r>
      <w:r>
        <w:rPr>
          <w:rFonts w:ascii="Arial" w:cs="Arial" w:eastAsia="Arial" w:hAnsi="Arial"/>
          <w:sz w:val="13"/>
          <w:szCs w:val="13"/>
          <w:color w:val="auto"/>
        </w:rPr>
        <w:t>§</w:t>
      </w:r>
      <w:r>
        <w:rPr>
          <w:rFonts w:ascii="Arial" w:cs="Arial" w:eastAsia="Arial" w:hAnsi="Arial"/>
          <w:sz w:val="12"/>
          <w:szCs w:val="12"/>
          <w:color w:val="auto"/>
        </w:rPr>
        <w:t xml:space="preserve">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2"/>
          <w:szCs w:val="12"/>
          <w:color w:val="auto"/>
        </w:rPr>
        <w:t xml:space="preserve"> or No</w:t>
      </w:r>
      <w:r>
        <w:rPr>
          <w:rFonts w:ascii="MS PGothic" w:cs="MS PGothic" w:eastAsia="MS PGothic" w:hAnsi="MS PGothic"/>
          <w:sz w:val="12"/>
          <w:szCs w:val="12"/>
          <w:color w:val="auto"/>
        </w:rPr>
        <w:t>☐</w:t>
      </w:r>
    </w:p>
    <w:p>
      <w:pPr>
        <w:spacing w:after="0" w:line="35" w:lineRule="exact"/>
        <w:rPr>
          <w:sz w:val="24"/>
          <w:szCs w:val="24"/>
          <w:color w:val="auto"/>
        </w:rPr>
      </w:pPr>
    </w:p>
    <w:p>
      <w:pPr>
        <w:ind w:left="14" w:right="20"/>
        <w:spacing w:after="0" w:line="249"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502285</wp:posOffset>
            </wp:positionV>
            <wp:extent cx="7182485"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94"/>
          </w:cols>
          <w:pgMar w:left="286" w:top="217" w:right="319" w:bottom="1440" w:gutter="0" w:footer="0" w:header="0"/>
        </w:sectPr>
      </w:pPr>
    </w:p>
    <w:bookmarkStart w:id="1" w:name="page2"/>
    <w:bookmarkEnd w:id="1"/>
    <w:p>
      <w:pPr>
        <w:spacing w:after="0" w:line="102" w:lineRule="exact"/>
        <w:rPr>
          <w:sz w:val="20"/>
          <w:szCs w:val="20"/>
          <w:color w:val="auto"/>
        </w:rPr>
      </w:pPr>
    </w:p>
    <w:p>
      <w:pPr>
        <w:ind w:left="760"/>
        <w:spacing w:after="0"/>
        <w:rPr>
          <w:sz w:val="20"/>
          <w:szCs w:val="20"/>
          <w:color w:val="auto"/>
        </w:rPr>
      </w:pPr>
      <w:r>
        <w:rPr>
          <w:rFonts w:ascii="Arial" w:cs="Arial" w:eastAsia="Arial" w:hAnsi="Arial"/>
          <w:sz w:val="9"/>
          <w:szCs w:val="9"/>
          <w:color w:val="auto"/>
        </w:rPr>
        <w:t>Large Accelerated Filer</w:t>
      </w:r>
    </w:p>
    <w:p>
      <w:pPr>
        <w:spacing w:after="0" w:line="195" w:lineRule="exact"/>
        <w:rPr>
          <w:sz w:val="20"/>
          <w:szCs w:val="20"/>
          <w:color w:val="auto"/>
        </w:rPr>
      </w:pPr>
    </w:p>
    <w:p>
      <w:pPr>
        <w:ind w:left="760"/>
        <w:spacing w:after="0"/>
        <w:rPr>
          <w:sz w:val="20"/>
          <w:szCs w:val="20"/>
          <w:color w:val="auto"/>
        </w:rPr>
      </w:pPr>
      <w:r>
        <w:rPr>
          <w:rFonts w:ascii="Arial" w:cs="Arial" w:eastAsia="Arial" w:hAnsi="Arial"/>
          <w:sz w:val="11"/>
          <w:szCs w:val="11"/>
          <w:color w:val="auto"/>
        </w:rPr>
        <w:t>Non-accelerated Filer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8"/>
        </w:trPr>
        <w:tc>
          <w:tcPr>
            <w:tcW w:w="5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040" w:type="dxa"/>
            <w:vAlign w:val="bottom"/>
          </w:tcPr>
          <w:p>
            <w:pPr>
              <w:ind w:left="360"/>
              <w:spacing w:after="0"/>
              <w:rPr>
                <w:sz w:val="20"/>
                <w:szCs w:val="20"/>
                <w:color w:val="auto"/>
              </w:rPr>
            </w:pPr>
            <w:r>
              <w:rPr>
                <w:rFonts w:ascii="Arial" w:cs="Arial" w:eastAsia="Arial" w:hAnsi="Arial"/>
                <w:sz w:val="12"/>
                <w:szCs w:val="12"/>
                <w:color w:val="auto"/>
              </w:rPr>
              <w:t>Accelerated Filer</w:t>
            </w:r>
          </w:p>
        </w:tc>
        <w:tc>
          <w:tcPr>
            <w:tcW w:w="1520" w:type="dxa"/>
            <w:vAlign w:val="bottom"/>
          </w:tcPr>
          <w:p>
            <w:pPr>
              <w:ind w:left="1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8"/>
        </w:trPr>
        <w:tc>
          <w:tcPr>
            <w:tcW w:w="54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3040" w:type="dxa"/>
            <w:vAlign w:val="bottom"/>
          </w:tcPr>
          <w:p>
            <w:pPr>
              <w:ind w:left="360"/>
              <w:spacing w:after="0"/>
              <w:rPr>
                <w:sz w:val="20"/>
                <w:szCs w:val="20"/>
                <w:color w:val="auto"/>
              </w:rPr>
            </w:pPr>
            <w:r>
              <w:rPr>
                <w:rFonts w:ascii="Arial" w:cs="Arial" w:eastAsia="Arial" w:hAnsi="Arial"/>
                <w:sz w:val="12"/>
                <w:szCs w:val="12"/>
                <w:color w:val="auto"/>
              </w:rPr>
              <w:t>Smaller reporting Company</w:t>
            </w:r>
          </w:p>
        </w:tc>
        <w:tc>
          <w:tcPr>
            <w:tcW w:w="1520" w:type="dxa"/>
            <w:vAlign w:val="bottom"/>
          </w:tcPr>
          <w:p>
            <w:pPr>
              <w:ind w:left="1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8"/>
        </w:trPr>
        <w:tc>
          <w:tcPr>
            <w:tcW w:w="540" w:type="dxa"/>
            <w:vAlign w:val="bottom"/>
          </w:tcPr>
          <w:p>
            <w:pPr>
              <w:spacing w:after="0"/>
              <w:rPr>
                <w:sz w:val="24"/>
                <w:szCs w:val="24"/>
                <w:color w:val="auto"/>
              </w:rPr>
            </w:pPr>
          </w:p>
        </w:tc>
        <w:tc>
          <w:tcPr>
            <w:tcW w:w="3040" w:type="dxa"/>
            <w:vAlign w:val="bottom"/>
          </w:tcPr>
          <w:p>
            <w:pPr>
              <w:ind w:left="360"/>
              <w:spacing w:after="0"/>
              <w:rPr>
                <w:sz w:val="20"/>
                <w:szCs w:val="20"/>
                <w:color w:val="auto"/>
              </w:rPr>
            </w:pPr>
            <w:r>
              <w:rPr>
                <w:rFonts w:ascii="Arial" w:cs="Arial" w:eastAsia="Arial" w:hAnsi="Arial"/>
                <w:sz w:val="12"/>
                <w:szCs w:val="12"/>
                <w:color w:val="auto"/>
              </w:rPr>
              <w:t>Emerging growth company</w:t>
            </w:r>
          </w:p>
        </w:tc>
        <w:tc>
          <w:tcPr>
            <w:tcW w:w="1520" w:type="dxa"/>
            <w:vAlign w:val="bottom"/>
          </w:tcPr>
          <w:p>
            <w:pPr>
              <w:ind w:left="1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6" w:lineRule="exact"/>
        <w:rPr>
          <w:sz w:val="20"/>
          <w:szCs w:val="20"/>
          <w:color w:val="auto"/>
        </w:rPr>
      </w:pPr>
    </w:p>
    <w:p>
      <w:pPr>
        <w:sectPr>
          <w:pgSz w:w="11900" w:h="16838" w:orient="portrait"/>
          <w:cols w:equalWidth="0" w:num="2">
            <w:col w:w="4040" w:space="720"/>
            <w:col w:w="6400"/>
          </w:cols>
          <w:pgMar w:left="300" w:top="1071" w:right="439" w:bottom="1440" w:gutter="0" w:footer="0" w:header="0"/>
        </w:sectPr>
      </w:pPr>
    </w:p>
    <w:p>
      <w:pPr>
        <w:spacing w:after="0" w:line="193"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0" w:lineRule="exact"/>
        <w:rPr>
          <w:sz w:val="20"/>
          <w:szCs w:val="20"/>
          <w:color w:val="auto"/>
        </w:rPr>
      </w:pPr>
    </w:p>
    <w:p>
      <w:pPr>
        <w:spacing w:after="0" w:line="196" w:lineRule="exact"/>
        <w:tabs>
          <w:tab w:leader="none" w:pos="6060" w:val="left"/>
        </w:tabs>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1"/>
          <w:szCs w:val="11"/>
          <w:color w:val="auto"/>
        </w:rPr>
        <w:t xml:space="preserve"> or</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7"/>
          <w:szCs w:val="17"/>
          <w:color w:val="auto"/>
        </w:rPr>
        <w:t>☒</w:t>
      </w:r>
    </w:p>
    <w:p>
      <w:pPr>
        <w:spacing w:after="0" w:line="13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number of shares outstanding of the Registrant's common stock as of October 31, 2021 were:</w:t>
      </w:r>
    </w:p>
    <w:p>
      <w:pPr>
        <w:spacing w:after="0" w:line="92" w:lineRule="exact"/>
        <w:rPr>
          <w:sz w:val="20"/>
          <w:szCs w:val="20"/>
          <w:color w:val="auto"/>
        </w:rPr>
      </w:pPr>
    </w:p>
    <w:p>
      <w:pPr>
        <w:ind w:left="280"/>
        <w:spacing w:after="0"/>
        <w:tabs>
          <w:tab w:leader="none" w:pos="1620" w:val="left"/>
        </w:tabs>
        <w:rPr>
          <w:sz w:val="20"/>
          <w:szCs w:val="20"/>
          <w:color w:val="auto"/>
        </w:rPr>
      </w:pPr>
      <w:r>
        <w:rPr>
          <w:rFonts w:ascii="Arial" w:cs="Arial" w:eastAsia="Arial" w:hAnsi="Arial"/>
          <w:sz w:val="15"/>
          <w:szCs w:val="15"/>
          <w:color w:val="auto"/>
        </w:rPr>
        <w:t>FNF Common Stock</w:t>
      </w:r>
      <w:r>
        <w:rPr>
          <w:sz w:val="20"/>
          <w:szCs w:val="20"/>
          <w:color w:val="auto"/>
        </w:rPr>
        <w:tab/>
      </w:r>
      <w:r>
        <w:rPr>
          <w:rFonts w:ascii="Arial" w:cs="Arial" w:eastAsia="Arial" w:hAnsi="Arial"/>
          <w:sz w:val="13"/>
          <w:szCs w:val="13"/>
          <w:color w:val="auto"/>
        </w:rPr>
        <w:t>284,531,737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82485"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2485" cy="39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5708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0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5708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11160"/>
          </w:cols>
          <w:pgMar w:left="300" w:top="1071" w:right="439" w:bottom="1440" w:gutter="0" w:footer="0" w:header="0"/>
          <w:type w:val="continuous"/>
        </w:sectPr>
      </w:pPr>
    </w:p>
    <w:bookmarkStart w:id="2" w:name="page3"/>
    <w:bookmarkEnd w:id="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40" w:type="dxa"/>
            <w:vAlign w:val="bottom"/>
            <w:gridSpan w:val="2"/>
          </w:tcPr>
          <w:p>
            <w:pPr>
              <w:jc w:val="center"/>
              <w:ind w:right="2080"/>
              <w:spacing w:after="0"/>
              <w:rPr>
                <w:sz w:val="20"/>
                <w:szCs w:val="20"/>
                <w:color w:val="auto"/>
              </w:rPr>
            </w:pPr>
            <w:r>
              <w:rPr>
                <w:rFonts w:ascii="Arial" w:cs="Arial" w:eastAsia="Arial" w:hAnsi="Arial"/>
                <w:sz w:val="15"/>
                <w:szCs w:val="15"/>
                <w:b w:val="1"/>
                <w:bCs w:val="1"/>
                <w:color w:val="auto"/>
                <w:w w:val="97"/>
              </w:rPr>
              <w:t>FORM 10-Q</w:t>
            </w:r>
          </w:p>
        </w:tc>
        <w:tc>
          <w:tcPr>
            <w:tcW w:w="2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40" w:type="dxa"/>
            <w:vAlign w:val="bottom"/>
            <w:gridSpan w:val="2"/>
          </w:tcPr>
          <w:p>
            <w:pPr>
              <w:jc w:val="center"/>
              <w:ind w:right="2080"/>
              <w:spacing w:after="0"/>
              <w:rPr>
                <w:sz w:val="20"/>
                <w:szCs w:val="20"/>
                <w:color w:val="auto"/>
              </w:rPr>
            </w:pPr>
            <w:r>
              <w:rPr>
                <w:rFonts w:ascii="Arial" w:cs="Arial" w:eastAsia="Arial" w:hAnsi="Arial"/>
                <w:sz w:val="15"/>
                <w:szCs w:val="15"/>
                <w:b w:val="1"/>
                <w:bCs w:val="1"/>
                <w:color w:val="auto"/>
                <w:w w:val="97"/>
              </w:rPr>
              <w:t>QUARTERLY REPORT</w:t>
            </w:r>
          </w:p>
        </w:tc>
        <w:tc>
          <w:tcPr>
            <w:tcW w:w="2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40" w:type="dxa"/>
            <w:vAlign w:val="bottom"/>
            <w:gridSpan w:val="3"/>
          </w:tcPr>
          <w:p>
            <w:pPr>
              <w:jc w:val="center"/>
              <w:ind w:right="1460"/>
              <w:spacing w:after="0"/>
              <w:rPr>
                <w:sz w:val="20"/>
                <w:szCs w:val="20"/>
                <w:color w:val="auto"/>
              </w:rPr>
            </w:pPr>
            <w:r>
              <w:rPr>
                <w:rFonts w:ascii="Arial" w:cs="Arial" w:eastAsia="Arial" w:hAnsi="Arial"/>
                <w:sz w:val="15"/>
                <w:szCs w:val="15"/>
                <w:b w:val="1"/>
                <w:bCs w:val="1"/>
                <w:color w:val="auto"/>
                <w:w w:val="89"/>
              </w:rPr>
              <w:t>Quarter Ended September 30, 2021</w:t>
            </w:r>
          </w:p>
        </w:tc>
        <w:tc>
          <w:tcPr>
            <w:tcW w:w="2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40" w:type="dxa"/>
            <w:vAlign w:val="bottom"/>
            <w:gridSpan w:val="2"/>
          </w:tcPr>
          <w:p>
            <w:pPr>
              <w:jc w:val="center"/>
              <w:ind w:right="2060"/>
              <w:spacing w:after="0"/>
              <w:rPr>
                <w:sz w:val="20"/>
                <w:szCs w:val="20"/>
                <w:color w:val="auto"/>
              </w:rPr>
            </w:pPr>
            <w:r>
              <w:rPr>
                <w:rFonts w:ascii="Arial" w:cs="Arial" w:eastAsia="Arial" w:hAnsi="Arial"/>
                <w:sz w:val="15"/>
                <w:szCs w:val="15"/>
                <w:b w:val="1"/>
                <w:bCs w:val="1"/>
                <w:color w:val="auto"/>
                <w:w w:val="97"/>
              </w:rPr>
              <w:t>TABLE OF CONTENTS</w:t>
            </w: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180" w:type="dxa"/>
            <w:vAlign w:val="bottom"/>
            <w:gridSpan w:val="3"/>
          </w:tcPr>
          <w:p>
            <w:pPr>
              <w:ind w:left="1940"/>
              <w:spacing w:after="0"/>
              <w:rPr>
                <w:sz w:val="20"/>
                <w:szCs w:val="20"/>
                <w:color w:val="auto"/>
              </w:rPr>
            </w:pPr>
            <w:r>
              <w:rPr>
                <w:rFonts w:ascii="Arial" w:cs="Arial" w:eastAsia="Arial" w:hAnsi="Arial"/>
                <w:sz w:val="12"/>
                <w:szCs w:val="12"/>
                <w:b w:val="1"/>
                <w:bCs w:val="1"/>
                <w:color w:val="auto"/>
                <w:w w:val="76"/>
              </w:rPr>
              <w:t>Page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0" w:type="dxa"/>
            <w:vAlign w:val="bottom"/>
            <w:gridSpan w:val="7"/>
          </w:tcPr>
          <w:p>
            <w:pPr>
              <w:jc w:val="center"/>
              <w:ind w:right="2140"/>
              <w:spacing w:after="0"/>
              <w:rPr>
                <w:sz w:val="20"/>
                <w:szCs w:val="20"/>
                <w:color w:val="auto"/>
              </w:rPr>
            </w:pPr>
            <w:r>
              <w:rPr>
                <w:rFonts w:ascii="Arial" w:cs="Arial" w:eastAsia="Arial" w:hAnsi="Arial"/>
                <w:sz w:val="15"/>
                <w:szCs w:val="15"/>
                <w:b w:val="1"/>
                <w:bCs w:val="1"/>
                <w:color w:val="auto"/>
              </w:rPr>
              <w:t>PART I. FINANCIAL INFORMATION</w:t>
            </w: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240" w:type="dxa"/>
            <w:vAlign w:val="bottom"/>
            <w:tcBorders>
              <w:bottom w:val="single" w:sz="8" w:color="0000FF"/>
            </w:tcBorders>
            <w:gridSpan w:val="8"/>
          </w:tcPr>
          <w:p>
            <w:pPr>
              <w:spacing w:after="0" w:line="135" w:lineRule="exact"/>
              <w:rPr>
                <w:rFonts w:ascii="Arial" w:cs="Arial" w:eastAsia="Arial" w:hAnsi="Arial"/>
                <w:sz w:val="15"/>
                <w:szCs w:val="15"/>
                <w:color w:val="0000FF"/>
                <w:w w:val="87"/>
              </w:rPr>
            </w:pPr>
            <w:hyperlink w:anchor="page4">
              <w:r>
                <w:rPr>
                  <w:rFonts w:ascii="Arial" w:cs="Arial" w:eastAsia="Arial" w:hAnsi="Arial"/>
                  <w:sz w:val="15"/>
                  <w:szCs w:val="15"/>
                  <w:color w:val="0000FF"/>
                  <w:w w:val="87"/>
                </w:rPr>
                <w:t>Item 1. Condensed Consolidated Financial Statements:</w:t>
              </w:r>
            </w:hyperlink>
          </w:p>
        </w:tc>
        <w:tc>
          <w:tcPr>
            <w:tcW w:w="5440" w:type="dxa"/>
            <w:vAlign w:val="bottom"/>
            <w:gridSpan w:val="9"/>
          </w:tcPr>
          <w:p>
            <w:pPr>
              <w:spacing w:after="0"/>
              <w:rPr>
                <w:sz w:val="15"/>
                <w:szCs w:val="15"/>
                <w:color w:val="auto"/>
              </w:rPr>
            </w:pPr>
          </w:p>
        </w:tc>
        <w:tc>
          <w:tcPr>
            <w:tcW w:w="2020" w:type="dxa"/>
            <w:vAlign w:val="bottom"/>
          </w:tcPr>
          <w:p>
            <w:pPr>
              <w:spacing w:after="0"/>
              <w:rPr>
                <w:sz w:val="15"/>
                <w:szCs w:val="15"/>
                <w:color w:val="auto"/>
              </w:rPr>
            </w:pPr>
          </w:p>
        </w:tc>
        <w:tc>
          <w:tcPr>
            <w:tcW w:w="120" w:type="dxa"/>
            <w:vAlign w:val="bottom"/>
            <w:tcBorders>
              <w:bottom w:val="single" w:sz="8" w:color="0E32E1"/>
            </w:tcBorders>
          </w:tcPr>
          <w:p>
            <w:pPr>
              <w:jc w:val="center"/>
              <w:spacing w:after="0" w:line="135" w:lineRule="exact"/>
              <w:rPr>
                <w:sz w:val="20"/>
                <w:szCs w:val="20"/>
                <w:color w:val="auto"/>
              </w:rPr>
            </w:pPr>
            <w:r>
              <w:rPr>
                <w:rFonts w:ascii="Arial" w:cs="Arial" w:eastAsia="Arial" w:hAnsi="Arial"/>
                <w:sz w:val="15"/>
                <w:szCs w:val="15"/>
                <w:color w:val="0E32E1"/>
                <w:w w:val="95"/>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20" w:type="dxa"/>
            <w:vAlign w:val="bottom"/>
            <w:tcBorders>
              <w:bottom w:val="single" w:sz="8" w:color="0000FF"/>
            </w:tcBorders>
            <w:gridSpan w:val="5"/>
          </w:tcPr>
          <w:p>
            <w:pPr>
              <w:spacing w:after="0" w:line="156" w:lineRule="exact"/>
              <w:rPr>
                <w:rFonts w:ascii="Arial" w:cs="Arial" w:eastAsia="Arial" w:hAnsi="Arial"/>
                <w:sz w:val="15"/>
                <w:szCs w:val="15"/>
                <w:color w:val="0000FF"/>
                <w:w w:val="86"/>
              </w:rPr>
            </w:pPr>
            <w:hyperlink w:anchor="page4">
              <w:r>
                <w:rPr>
                  <w:rFonts w:ascii="Arial" w:cs="Arial" w:eastAsia="Arial" w:hAnsi="Arial"/>
                  <w:sz w:val="15"/>
                  <w:szCs w:val="15"/>
                  <w:color w:val="0000FF"/>
                  <w:w w:val="86"/>
                </w:rPr>
                <w:t>Condensed Consolidated Balance Sheets (unaudited)</w:t>
              </w:r>
            </w:hyperlink>
          </w:p>
        </w:tc>
        <w:tc>
          <w:tcPr>
            <w:tcW w:w="5460" w:type="dxa"/>
            <w:vAlign w:val="bottom"/>
            <w:gridSpan w:val="10"/>
          </w:tcPr>
          <w:p>
            <w:pPr>
              <w:spacing w:after="0"/>
              <w:rPr>
                <w:sz w:val="15"/>
                <w:szCs w:val="15"/>
                <w:color w:val="auto"/>
              </w:rPr>
            </w:pPr>
          </w:p>
        </w:tc>
        <w:tc>
          <w:tcPr>
            <w:tcW w:w="2020" w:type="dxa"/>
            <w:vAlign w:val="bottom"/>
          </w:tcPr>
          <w:p>
            <w:pPr>
              <w:spacing w:after="0"/>
              <w:rPr>
                <w:sz w:val="15"/>
                <w:szCs w:val="15"/>
                <w:color w:val="auto"/>
              </w:rPr>
            </w:pPr>
          </w:p>
        </w:tc>
        <w:tc>
          <w:tcPr>
            <w:tcW w:w="120" w:type="dxa"/>
            <w:vAlign w:val="bottom"/>
            <w:tcBorders>
              <w:bottom w:val="single" w:sz="8" w:color="0E32E1"/>
            </w:tcBorders>
          </w:tcPr>
          <w:p>
            <w:pPr>
              <w:jc w:val="center"/>
              <w:spacing w:after="0" w:line="148" w:lineRule="exact"/>
              <w:rPr>
                <w:sz w:val="20"/>
                <w:szCs w:val="20"/>
                <w:color w:val="auto"/>
              </w:rPr>
            </w:pPr>
            <w:r>
              <w:rPr>
                <w:rFonts w:ascii="Arial" w:cs="Arial" w:eastAsia="Arial" w:hAnsi="Arial"/>
                <w:sz w:val="15"/>
                <w:szCs w:val="15"/>
                <w:color w:val="0E32E1"/>
                <w:w w:val="95"/>
              </w:rPr>
              <w:t>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580" w:type="dxa"/>
            <w:vAlign w:val="bottom"/>
            <w:gridSpan w:val="15"/>
          </w:tcPr>
          <w:p>
            <w:pPr>
              <w:spacing w:after="0" w:line="156" w:lineRule="exact"/>
              <w:rPr>
                <w:rFonts w:ascii="Arial" w:cs="Arial" w:eastAsia="Arial" w:hAnsi="Arial"/>
                <w:sz w:val="15"/>
                <w:szCs w:val="15"/>
                <w:color w:val="0000FF"/>
              </w:rPr>
            </w:pPr>
            <w:hyperlink w:anchor="page5">
              <w:r>
                <w:rPr>
                  <w:rFonts w:ascii="Arial" w:cs="Arial" w:eastAsia="Arial" w:hAnsi="Arial"/>
                  <w:sz w:val="15"/>
                  <w:szCs w:val="15"/>
                  <w:color w:val="0000FF"/>
                </w:rPr>
                <w:t>Condensed Consolidated Statements of Earnings (unaudited)</w:t>
              </w:r>
            </w:hyperlink>
          </w:p>
        </w:tc>
        <w:tc>
          <w:tcPr>
            <w:tcW w:w="2020" w:type="dxa"/>
            <w:vAlign w:val="bottom"/>
          </w:tcPr>
          <w:p>
            <w:pPr>
              <w:spacing w:after="0"/>
              <w:rPr>
                <w:sz w:val="13"/>
                <w:szCs w:val="13"/>
                <w:color w:val="auto"/>
              </w:rPr>
            </w:pPr>
          </w:p>
        </w:tc>
        <w:tc>
          <w:tcPr>
            <w:tcW w:w="120" w:type="dxa"/>
            <w:vAlign w:val="bottom"/>
            <w:tcBorders>
              <w:bottom w:val="single" w:sz="8" w:color="0E32E1"/>
            </w:tcBorders>
          </w:tcPr>
          <w:p>
            <w:pPr>
              <w:jc w:val="center"/>
              <w:spacing w:after="0" w:line="148" w:lineRule="exact"/>
              <w:rPr>
                <w:sz w:val="20"/>
                <w:szCs w:val="20"/>
                <w:color w:val="auto"/>
              </w:rPr>
            </w:pPr>
            <w:r>
              <w:rPr>
                <w:rFonts w:ascii="Arial" w:cs="Arial" w:eastAsia="Arial" w:hAnsi="Arial"/>
                <w:sz w:val="15"/>
                <w:szCs w:val="15"/>
                <w:color w:val="0E32E1"/>
                <w:w w:val="95"/>
              </w:rPr>
              <w:t>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20" w:type="dxa"/>
            <w:vAlign w:val="bottom"/>
            <w:vMerge w:val="restart"/>
          </w:tcPr>
          <w:p>
            <w:pPr>
              <w:spacing w:after="0" w:line="20" w:lineRule="exact"/>
              <w:rPr>
                <w:sz w:val="1"/>
                <w:szCs w:val="1"/>
                <w:color w:val="auto"/>
              </w:rPr>
            </w:pPr>
          </w:p>
        </w:tc>
        <w:tc>
          <w:tcPr>
            <w:tcW w:w="120" w:type="dxa"/>
            <w:vAlign w:val="bottom"/>
            <w:vMerge w:val="restart"/>
          </w:tcPr>
          <w:p>
            <w:pPr>
              <w:jc w:val="center"/>
              <w:spacing w:after="0" w:line="168" w:lineRule="exact"/>
              <w:rPr>
                <w:sz w:val="20"/>
                <w:szCs w:val="20"/>
                <w:color w:val="auto"/>
              </w:rPr>
            </w:pPr>
            <w:r>
              <w:rPr>
                <w:rFonts w:ascii="Arial" w:cs="Arial" w:eastAsia="Arial" w:hAnsi="Arial"/>
                <w:sz w:val="15"/>
                <w:szCs w:val="15"/>
                <w:color w:val="0E32E1"/>
                <w:w w:val="95"/>
              </w:rPr>
              <w:t>5</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580" w:type="dxa"/>
            <w:vAlign w:val="bottom"/>
            <w:gridSpan w:val="15"/>
          </w:tcPr>
          <w:p>
            <w:pPr>
              <w:spacing w:after="0" w:line="156" w:lineRule="exact"/>
              <w:rPr>
                <w:rFonts w:ascii="Arial" w:cs="Arial" w:eastAsia="Arial" w:hAnsi="Arial"/>
                <w:sz w:val="15"/>
                <w:szCs w:val="15"/>
                <w:color w:val="0000FF"/>
              </w:rPr>
            </w:pPr>
            <w:hyperlink w:anchor="page6">
              <w:r>
                <w:rPr>
                  <w:rFonts w:ascii="Arial" w:cs="Arial" w:eastAsia="Arial" w:hAnsi="Arial"/>
                  <w:sz w:val="15"/>
                  <w:szCs w:val="15"/>
                  <w:color w:val="0000FF"/>
                </w:rPr>
                <w:t>Condensed Consolidated Statements of Comprehensive Earnings (unaudited)</w:t>
              </w:r>
            </w:hyperlink>
          </w:p>
        </w:tc>
        <w:tc>
          <w:tcPr>
            <w:tcW w:w="2020" w:type="dxa"/>
            <w:vAlign w:val="bottom"/>
            <w:vMerge w:val="continue"/>
          </w:tcPr>
          <w:p>
            <w:pPr>
              <w:spacing w:after="0"/>
              <w:rPr>
                <w:sz w:val="15"/>
                <w:szCs w:val="15"/>
                <w:color w:val="auto"/>
              </w:rPr>
            </w:pPr>
          </w:p>
        </w:tc>
        <w:tc>
          <w:tcPr>
            <w:tcW w:w="120" w:type="dxa"/>
            <w:vAlign w:val="bottom"/>
            <w:tcBorders>
              <w:bottom w:val="single" w:sz="8" w:color="0E32E1"/>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Borders>
              <w:top w:val="single" w:sz="8" w:color="0000FF"/>
              <w:bottom w:val="single" w:sz="8" w:color="0000FF"/>
            </w:tcBorders>
            <w:gridSpan w:val="7"/>
          </w:tcPr>
          <w:p>
            <w:pPr>
              <w:spacing w:after="0" w:line="156" w:lineRule="exact"/>
              <w:rPr>
                <w:rFonts w:ascii="Arial" w:cs="Arial" w:eastAsia="Arial" w:hAnsi="Arial"/>
                <w:sz w:val="15"/>
                <w:szCs w:val="15"/>
                <w:color w:val="0000FF"/>
                <w:w w:val="87"/>
              </w:rPr>
            </w:pPr>
            <w:hyperlink w:anchor="page8">
              <w:r>
                <w:rPr>
                  <w:rFonts w:ascii="Arial" w:cs="Arial" w:eastAsia="Arial" w:hAnsi="Arial"/>
                  <w:sz w:val="15"/>
                  <w:szCs w:val="15"/>
                  <w:color w:val="0000FF"/>
                  <w:w w:val="87"/>
                </w:rPr>
                <w:t>Condensed Consolidated Statements of Equity (unaudited)</w:t>
              </w:r>
            </w:hyperlink>
          </w:p>
        </w:tc>
        <w:tc>
          <w:tcPr>
            <w:tcW w:w="1080" w:type="dxa"/>
            <w:vAlign w:val="bottom"/>
            <w:tcBorders>
              <w:top w:val="single" w:sz="8" w:color="0000FF"/>
            </w:tcBorders>
            <w:gridSpan w:val="6"/>
          </w:tcPr>
          <w:p>
            <w:pPr>
              <w:spacing w:after="0"/>
              <w:rPr>
                <w:sz w:val="15"/>
                <w:szCs w:val="15"/>
                <w:color w:val="auto"/>
              </w:rPr>
            </w:pPr>
          </w:p>
        </w:tc>
        <w:tc>
          <w:tcPr>
            <w:tcW w:w="4040" w:type="dxa"/>
            <w:vAlign w:val="bottom"/>
            <w:gridSpan w:val="2"/>
          </w:tcPr>
          <w:p>
            <w:pPr>
              <w:spacing w:after="0"/>
              <w:rPr>
                <w:sz w:val="15"/>
                <w:szCs w:val="15"/>
                <w:color w:val="auto"/>
              </w:rPr>
            </w:pPr>
          </w:p>
        </w:tc>
        <w:tc>
          <w:tcPr>
            <w:tcW w:w="2020" w:type="dxa"/>
            <w:vAlign w:val="bottom"/>
          </w:tcPr>
          <w:p>
            <w:pPr>
              <w:spacing w:after="0"/>
              <w:rPr>
                <w:sz w:val="15"/>
                <w:szCs w:val="15"/>
                <w:color w:val="auto"/>
              </w:rPr>
            </w:pPr>
          </w:p>
        </w:tc>
        <w:tc>
          <w:tcPr>
            <w:tcW w:w="120" w:type="dxa"/>
            <w:vAlign w:val="bottom"/>
            <w:tcBorders>
              <w:bottom w:val="single" w:sz="8" w:color="0E32E1"/>
            </w:tcBorders>
          </w:tcPr>
          <w:p>
            <w:pPr>
              <w:jc w:val="center"/>
              <w:spacing w:after="0" w:line="148" w:lineRule="exact"/>
              <w:rPr>
                <w:sz w:val="20"/>
                <w:szCs w:val="20"/>
                <w:color w:val="auto"/>
              </w:rPr>
            </w:pPr>
            <w:r>
              <w:rPr>
                <w:rFonts w:ascii="Arial" w:cs="Arial" w:eastAsia="Arial" w:hAnsi="Arial"/>
                <w:sz w:val="15"/>
                <w:szCs w:val="15"/>
                <w:color w:val="0E32E1"/>
                <w:w w:val="95"/>
              </w:rPr>
              <w:t>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tcBorders>
              <w:bottom w:val="single" w:sz="8" w:color="0000FF"/>
            </w:tcBorders>
            <w:gridSpan w:val="9"/>
          </w:tcPr>
          <w:p>
            <w:pPr>
              <w:spacing w:after="0" w:line="156" w:lineRule="exact"/>
              <w:rPr>
                <w:rFonts w:ascii="Arial" w:cs="Arial" w:eastAsia="Arial" w:hAnsi="Arial"/>
                <w:sz w:val="15"/>
                <w:szCs w:val="15"/>
                <w:color w:val="0000FF"/>
                <w:w w:val="87"/>
              </w:rPr>
            </w:pPr>
            <w:hyperlink w:anchor="page9">
              <w:r>
                <w:rPr>
                  <w:rFonts w:ascii="Arial" w:cs="Arial" w:eastAsia="Arial" w:hAnsi="Arial"/>
                  <w:sz w:val="15"/>
                  <w:szCs w:val="15"/>
                  <w:color w:val="0000FF"/>
                  <w:w w:val="87"/>
                </w:rPr>
                <w:t>Condensed Consolidated Statements of Cash Flows (unaudited)</w:t>
              </w:r>
            </w:hyperlink>
          </w:p>
        </w:tc>
        <w:tc>
          <w:tcPr>
            <w:tcW w:w="4820" w:type="dxa"/>
            <w:vAlign w:val="bottom"/>
            <w:gridSpan w:val="6"/>
          </w:tcPr>
          <w:p>
            <w:pPr>
              <w:spacing w:after="0"/>
              <w:rPr>
                <w:sz w:val="15"/>
                <w:szCs w:val="15"/>
                <w:color w:val="auto"/>
              </w:rPr>
            </w:pPr>
          </w:p>
        </w:tc>
        <w:tc>
          <w:tcPr>
            <w:tcW w:w="2020" w:type="dxa"/>
            <w:vAlign w:val="bottom"/>
          </w:tcPr>
          <w:p>
            <w:pPr>
              <w:spacing w:after="0"/>
              <w:rPr>
                <w:sz w:val="15"/>
                <w:szCs w:val="15"/>
                <w:color w:val="auto"/>
              </w:rPr>
            </w:pPr>
          </w:p>
        </w:tc>
        <w:tc>
          <w:tcPr>
            <w:tcW w:w="120" w:type="dxa"/>
            <w:vAlign w:val="bottom"/>
            <w:tcBorders>
              <w:bottom w:val="single" w:sz="8" w:color="0E32E1"/>
            </w:tcBorders>
          </w:tcPr>
          <w:p>
            <w:pPr>
              <w:jc w:val="center"/>
              <w:spacing w:after="0" w:line="148" w:lineRule="exact"/>
              <w:rPr>
                <w:sz w:val="20"/>
                <w:szCs w:val="20"/>
                <w:color w:val="auto"/>
              </w:rPr>
            </w:pPr>
            <w:r>
              <w:rPr>
                <w:rFonts w:ascii="Arial" w:cs="Arial" w:eastAsia="Arial" w:hAnsi="Arial"/>
                <w:sz w:val="15"/>
                <w:szCs w:val="15"/>
                <w:color w:val="0E32E1"/>
                <w:w w:val="95"/>
              </w:rPr>
              <w:t>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40" w:type="dxa"/>
            <w:vAlign w:val="bottom"/>
            <w:tcBorders>
              <w:bottom w:val="single" w:sz="8" w:color="0000FF"/>
            </w:tcBorders>
            <w:gridSpan w:val="12"/>
          </w:tcPr>
          <w:p>
            <w:pPr>
              <w:spacing w:after="0" w:line="156" w:lineRule="exact"/>
              <w:rPr>
                <w:rFonts w:ascii="Arial" w:cs="Arial" w:eastAsia="Arial" w:hAnsi="Arial"/>
                <w:sz w:val="15"/>
                <w:szCs w:val="15"/>
                <w:color w:val="0000FF"/>
                <w:w w:val="88"/>
              </w:rPr>
            </w:pPr>
            <w:hyperlink w:anchor="page11">
              <w:r>
                <w:rPr>
                  <w:rFonts w:ascii="Arial" w:cs="Arial" w:eastAsia="Arial" w:hAnsi="Arial"/>
                  <w:sz w:val="15"/>
                  <w:szCs w:val="15"/>
                  <w:color w:val="0000FF"/>
                  <w:w w:val="88"/>
                </w:rPr>
                <w:t>Notes to Unaudited Condensed Consolidated Financial Statements</w:t>
              </w:r>
            </w:hyperlink>
          </w:p>
        </w:tc>
        <w:tc>
          <w:tcPr>
            <w:tcW w:w="4640" w:type="dxa"/>
            <w:vAlign w:val="bottom"/>
            <w:gridSpan w:val="3"/>
          </w:tcPr>
          <w:p>
            <w:pPr>
              <w:spacing w:after="0"/>
              <w:rPr>
                <w:sz w:val="15"/>
                <w:szCs w:val="15"/>
                <w:color w:val="auto"/>
              </w:rPr>
            </w:pPr>
          </w:p>
        </w:tc>
        <w:tc>
          <w:tcPr>
            <w:tcW w:w="2020" w:type="dxa"/>
            <w:vAlign w:val="bottom"/>
          </w:tcPr>
          <w:p>
            <w:pPr>
              <w:spacing w:after="0"/>
              <w:rPr>
                <w:sz w:val="15"/>
                <w:szCs w:val="15"/>
                <w:color w:val="auto"/>
              </w:rPr>
            </w:pPr>
          </w:p>
        </w:tc>
        <w:tc>
          <w:tcPr>
            <w:tcW w:w="120" w:type="dxa"/>
            <w:vAlign w:val="bottom"/>
            <w:tcBorders>
              <w:bottom w:val="single" w:sz="8" w:color="0E32E1"/>
            </w:tcBorders>
          </w:tcPr>
          <w:p>
            <w:pPr>
              <w:jc w:val="center"/>
              <w:spacing w:after="0" w:line="148" w:lineRule="exact"/>
              <w:rPr>
                <w:sz w:val="20"/>
                <w:szCs w:val="20"/>
                <w:color w:val="auto"/>
              </w:rPr>
            </w:pPr>
            <w:r>
              <w:rPr>
                <w:rFonts w:ascii="Arial" w:cs="Arial" w:eastAsia="Arial" w:hAnsi="Arial"/>
                <w:sz w:val="15"/>
                <w:szCs w:val="15"/>
                <w:color w:val="0E32E1"/>
                <w:w w:val="71"/>
              </w:rPr>
              <w:t>10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8680" w:type="dxa"/>
            <w:vAlign w:val="bottom"/>
            <w:gridSpan w:val="17"/>
          </w:tcPr>
          <w:p>
            <w:pPr>
              <w:spacing w:after="0" w:line="156" w:lineRule="exact"/>
              <w:rPr>
                <w:rFonts w:ascii="Arial" w:cs="Arial" w:eastAsia="Arial" w:hAnsi="Arial"/>
                <w:sz w:val="15"/>
                <w:szCs w:val="15"/>
                <w:color w:val="0000FF"/>
              </w:rPr>
            </w:pPr>
            <w:hyperlink w:anchor="page60">
              <w:r>
                <w:rPr>
                  <w:rFonts w:ascii="Arial" w:cs="Arial" w:eastAsia="Arial" w:hAnsi="Arial"/>
                  <w:sz w:val="15"/>
                  <w:szCs w:val="15"/>
                  <w:color w:val="0000FF"/>
                </w:rPr>
                <w:t>Item 2. Management's Discussion and Analysis of Financial Condition and Results of Operations</w:t>
              </w:r>
            </w:hyperlink>
          </w:p>
        </w:tc>
        <w:tc>
          <w:tcPr>
            <w:tcW w:w="2180" w:type="dxa"/>
            <w:vAlign w:val="bottom"/>
            <w:gridSpan w:val="3"/>
          </w:tcPr>
          <w:p>
            <w:pPr>
              <w:jc w:val="center"/>
              <w:ind w:left="1869"/>
              <w:spacing w:after="0" w:line="148" w:lineRule="exact"/>
              <w:rPr>
                <w:sz w:val="20"/>
                <w:szCs w:val="20"/>
                <w:color w:val="auto"/>
              </w:rPr>
            </w:pPr>
            <w:r>
              <w:rPr>
                <w:rFonts w:ascii="Arial" w:cs="Arial" w:eastAsia="Arial" w:hAnsi="Arial"/>
                <w:sz w:val="15"/>
                <w:szCs w:val="15"/>
                <w:color w:val="0E32E1"/>
                <w:w w:val="95"/>
              </w:rPr>
              <w:t>59</w:t>
            </w:r>
          </w:p>
        </w:tc>
        <w:tc>
          <w:tcPr>
            <w:tcW w:w="0" w:type="dxa"/>
            <w:vAlign w:val="bottom"/>
          </w:tcPr>
          <w:p>
            <w:pPr>
              <w:spacing w:after="0"/>
              <w:rPr>
                <w:sz w:val="1"/>
                <w:szCs w:val="1"/>
                <w:color w:val="auto"/>
              </w:rPr>
            </w:pPr>
          </w:p>
        </w:tc>
      </w:tr>
      <w:tr>
        <w:trPr>
          <w:trHeight w:val="177"/>
        </w:trPr>
        <w:tc>
          <w:tcPr>
            <w:tcW w:w="20" w:type="dxa"/>
            <w:vAlign w:val="bottom"/>
            <w:tcBorders>
              <w:top w:val="single" w:sz="8" w:color="0000FF"/>
            </w:tcBorders>
          </w:tcPr>
          <w:p>
            <w:pPr>
              <w:spacing w:after="0"/>
              <w:rPr>
                <w:sz w:val="15"/>
                <w:szCs w:val="15"/>
                <w:color w:val="auto"/>
              </w:rPr>
            </w:pPr>
          </w:p>
        </w:tc>
        <w:tc>
          <w:tcPr>
            <w:tcW w:w="5700" w:type="dxa"/>
            <w:vAlign w:val="bottom"/>
            <w:tcBorders>
              <w:top w:val="single" w:sz="8" w:color="0000FF"/>
            </w:tcBorders>
            <w:gridSpan w:val="15"/>
          </w:tcPr>
          <w:p>
            <w:pPr>
              <w:spacing w:after="0"/>
              <w:rPr>
                <w:rFonts w:ascii="Arial" w:cs="Arial" w:eastAsia="Arial" w:hAnsi="Arial"/>
                <w:sz w:val="15"/>
                <w:szCs w:val="15"/>
                <w:color w:val="0E32E1"/>
              </w:rPr>
            </w:pPr>
            <w:hyperlink w:anchor="page92">
              <w:r>
                <w:rPr>
                  <w:rFonts w:ascii="Arial" w:cs="Arial" w:eastAsia="Arial" w:hAnsi="Arial"/>
                  <w:sz w:val="15"/>
                  <w:szCs w:val="15"/>
                  <w:color w:val="0E32E1"/>
                </w:rPr>
                <w:t>Item 3. Quantitative and Qualitative Disclosures about Market Risk</w:t>
              </w:r>
            </w:hyperlink>
          </w:p>
        </w:tc>
        <w:tc>
          <w:tcPr>
            <w:tcW w:w="2960" w:type="dxa"/>
            <w:vAlign w:val="bottom"/>
          </w:tcPr>
          <w:p>
            <w:pPr>
              <w:spacing w:after="0"/>
              <w:rPr>
                <w:sz w:val="15"/>
                <w:szCs w:val="15"/>
                <w:color w:val="auto"/>
              </w:rPr>
            </w:pPr>
          </w:p>
        </w:tc>
        <w:tc>
          <w:tcPr>
            <w:tcW w:w="2180" w:type="dxa"/>
            <w:vAlign w:val="bottom"/>
            <w:gridSpan w:val="3"/>
          </w:tcPr>
          <w:p>
            <w:pPr>
              <w:jc w:val="center"/>
              <w:ind w:left="1869"/>
              <w:spacing w:after="0"/>
              <w:rPr>
                <w:sz w:val="20"/>
                <w:szCs w:val="20"/>
                <w:color w:val="auto"/>
              </w:rPr>
            </w:pPr>
            <w:r>
              <w:rPr>
                <w:rFonts w:ascii="Arial" w:cs="Arial" w:eastAsia="Arial" w:hAnsi="Arial"/>
                <w:sz w:val="15"/>
                <w:szCs w:val="15"/>
                <w:color w:val="0E32E1"/>
                <w:w w:val="95"/>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080" w:type="dxa"/>
            <w:vAlign w:val="bottom"/>
            <w:gridSpan w:val="6"/>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60" w:type="dxa"/>
            <w:vAlign w:val="bottom"/>
            <w:gridSpan w:val="4"/>
          </w:tcPr>
          <w:p>
            <w:pPr>
              <w:spacing w:after="0" w:line="20" w:lineRule="exact"/>
              <w:rPr>
                <w:sz w:val="1"/>
                <w:szCs w:val="1"/>
                <w:color w:val="auto"/>
              </w:rPr>
            </w:pPr>
          </w:p>
        </w:tc>
        <w:tc>
          <w:tcPr>
            <w:tcW w:w="2020" w:type="dxa"/>
            <w:vAlign w:val="bottom"/>
            <w:tcBorders>
              <w:right w:val="single" w:sz="8" w:color="0E32E1"/>
            </w:tcBorders>
          </w:tcPr>
          <w:p>
            <w:pPr>
              <w:spacing w:after="0" w:line="20" w:lineRule="exact"/>
              <w:rPr>
                <w:sz w:val="1"/>
                <w:szCs w:val="1"/>
                <w:color w:val="auto"/>
              </w:rPr>
            </w:pPr>
          </w:p>
        </w:tc>
        <w:tc>
          <w:tcPr>
            <w:tcW w:w="120" w:type="dxa"/>
            <w:vAlign w:val="bottom"/>
            <w:tcBorders>
              <w:right w:val="single" w:sz="8" w:color="0E32E1"/>
            </w:tcBorders>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8680" w:type="dxa"/>
            <w:vAlign w:val="bottom"/>
            <w:gridSpan w:val="17"/>
          </w:tcPr>
          <w:p>
            <w:pPr>
              <w:spacing w:after="0" w:line="168" w:lineRule="exact"/>
              <w:rPr>
                <w:rFonts w:ascii="Arial" w:cs="Arial" w:eastAsia="Arial" w:hAnsi="Arial"/>
                <w:sz w:val="15"/>
                <w:szCs w:val="15"/>
                <w:color w:val="0000FF"/>
              </w:rPr>
            </w:pPr>
            <w:hyperlink w:anchor="page93">
              <w:r>
                <w:rPr>
                  <w:rFonts w:ascii="Arial" w:cs="Arial" w:eastAsia="Arial" w:hAnsi="Arial"/>
                  <w:sz w:val="15"/>
                  <w:szCs w:val="15"/>
                  <w:color w:val="0000FF"/>
                </w:rPr>
                <w:t>Item 4. Controls and Procedures</w:t>
              </w:r>
            </w:hyperlink>
          </w:p>
        </w:tc>
        <w:tc>
          <w:tcPr>
            <w:tcW w:w="2180" w:type="dxa"/>
            <w:vAlign w:val="bottom"/>
            <w:gridSpan w:val="3"/>
          </w:tcPr>
          <w:p>
            <w:pPr>
              <w:jc w:val="center"/>
              <w:ind w:left="1869"/>
              <w:spacing w:after="0" w:line="168" w:lineRule="exact"/>
              <w:rPr>
                <w:sz w:val="20"/>
                <w:szCs w:val="20"/>
                <w:color w:val="auto"/>
              </w:rPr>
            </w:pPr>
            <w:r>
              <w:rPr>
                <w:rFonts w:ascii="Arial" w:cs="Arial" w:eastAsia="Arial" w:hAnsi="Arial"/>
                <w:sz w:val="15"/>
                <w:szCs w:val="15"/>
                <w:color w:val="0E32E1"/>
                <w:w w:val="95"/>
              </w:rPr>
              <w:t>91</w:t>
            </w:r>
          </w:p>
        </w:tc>
        <w:tc>
          <w:tcPr>
            <w:tcW w:w="0" w:type="dxa"/>
            <w:vAlign w:val="bottom"/>
          </w:tcPr>
          <w:p>
            <w:pPr>
              <w:spacing w:after="0"/>
              <w:rPr>
                <w:sz w:val="1"/>
                <w:szCs w:val="1"/>
                <w:color w:val="auto"/>
              </w:rPr>
            </w:pPr>
          </w:p>
        </w:tc>
      </w:tr>
      <w:tr>
        <w:trPr>
          <w:trHeight w:val="421"/>
        </w:trPr>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20" w:type="dxa"/>
            <w:vAlign w:val="bottom"/>
            <w:gridSpan w:val="6"/>
          </w:tcPr>
          <w:p>
            <w:pPr>
              <w:jc w:val="center"/>
              <w:ind w:right="2320"/>
              <w:spacing w:after="0"/>
              <w:rPr>
                <w:sz w:val="20"/>
                <w:szCs w:val="20"/>
                <w:color w:val="auto"/>
              </w:rPr>
            </w:pPr>
            <w:r>
              <w:rPr>
                <w:rFonts w:ascii="Arial" w:cs="Arial" w:eastAsia="Arial" w:hAnsi="Arial"/>
                <w:sz w:val="15"/>
                <w:szCs w:val="15"/>
                <w:b w:val="1"/>
                <w:bCs w:val="1"/>
                <w:color w:val="auto"/>
              </w:rPr>
              <w:t>PART II. OTHER INFORMATION</w:t>
            </w:r>
          </w:p>
        </w:tc>
        <w:tc>
          <w:tcPr>
            <w:tcW w:w="2020" w:type="dxa"/>
            <w:vAlign w:val="bottom"/>
          </w:tcPr>
          <w:p>
            <w:pPr>
              <w:spacing w:after="0"/>
              <w:rPr>
                <w:sz w:val="24"/>
                <w:szCs w:val="24"/>
                <w:color w:val="auto"/>
              </w:rPr>
            </w:pPr>
          </w:p>
        </w:tc>
        <w:tc>
          <w:tcPr>
            <w:tcW w:w="120" w:type="dxa"/>
            <w:vAlign w:val="bottom"/>
            <w:tcBorders>
              <w:top w:val="single" w:sz="8" w:color="0E32E1"/>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680" w:type="dxa"/>
            <w:vAlign w:val="bottom"/>
            <w:gridSpan w:val="17"/>
          </w:tcPr>
          <w:p>
            <w:pPr>
              <w:spacing w:after="0" w:line="135" w:lineRule="exact"/>
              <w:rPr>
                <w:rFonts w:ascii="Arial" w:cs="Arial" w:eastAsia="Arial" w:hAnsi="Arial"/>
                <w:sz w:val="15"/>
                <w:szCs w:val="15"/>
                <w:color w:val="0000FF"/>
              </w:rPr>
            </w:pPr>
            <w:hyperlink w:anchor="page94">
              <w:r>
                <w:rPr>
                  <w:rFonts w:ascii="Arial" w:cs="Arial" w:eastAsia="Arial" w:hAnsi="Arial"/>
                  <w:sz w:val="15"/>
                  <w:szCs w:val="15"/>
                  <w:color w:val="0000FF"/>
                </w:rPr>
                <w:t>Item 1. Legal Proceedings</w:t>
              </w:r>
            </w:hyperlink>
          </w:p>
        </w:tc>
        <w:tc>
          <w:tcPr>
            <w:tcW w:w="2180" w:type="dxa"/>
            <w:vAlign w:val="bottom"/>
            <w:gridSpan w:val="3"/>
          </w:tcPr>
          <w:p>
            <w:pPr>
              <w:jc w:val="center"/>
              <w:ind w:left="1869"/>
              <w:spacing w:after="0" w:line="135" w:lineRule="exact"/>
              <w:rPr>
                <w:sz w:val="20"/>
                <w:szCs w:val="20"/>
                <w:color w:val="auto"/>
              </w:rPr>
            </w:pPr>
            <w:r>
              <w:rPr>
                <w:rFonts w:ascii="Arial" w:cs="Arial" w:eastAsia="Arial" w:hAnsi="Arial"/>
                <w:sz w:val="15"/>
                <w:szCs w:val="15"/>
                <w:color w:val="0E32E1"/>
                <w:w w:val="95"/>
              </w:rPr>
              <w:t>92</w:t>
            </w:r>
          </w:p>
        </w:tc>
        <w:tc>
          <w:tcPr>
            <w:tcW w:w="0" w:type="dxa"/>
            <w:vAlign w:val="bottom"/>
          </w:tcPr>
          <w:p>
            <w:pPr>
              <w:spacing w:after="0"/>
              <w:rPr>
                <w:sz w:val="1"/>
                <w:szCs w:val="1"/>
                <w:color w:val="auto"/>
              </w:rPr>
            </w:pPr>
          </w:p>
        </w:tc>
      </w:tr>
      <w:tr>
        <w:trPr>
          <w:trHeight w:val="20"/>
        </w:trPr>
        <w:tc>
          <w:tcPr>
            <w:tcW w:w="20" w:type="dxa"/>
            <w:vAlign w:val="bottom"/>
            <w:tcBorders>
              <w:top w:val="single" w:sz="8" w:color="0000FF"/>
            </w:tcBorders>
            <w:shd w:val="clear" w:color="auto" w:fill="0000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520" w:type="dxa"/>
            <w:vAlign w:val="bottom"/>
            <w:tcBorders>
              <w:top w:val="single" w:sz="8" w:color="0000FF"/>
            </w:tcBorders>
            <w:shd w:val="clear" w:color="auto" w:fill="0000FF"/>
          </w:tcPr>
          <w:p>
            <w:pPr>
              <w:spacing w:after="0" w:line="20" w:lineRule="exact"/>
              <w:rPr>
                <w:sz w:val="1"/>
                <w:szCs w:val="1"/>
                <w:color w:val="auto"/>
              </w:rPr>
            </w:pPr>
          </w:p>
        </w:tc>
        <w:tc>
          <w:tcPr>
            <w:tcW w:w="320" w:type="dxa"/>
            <w:vAlign w:val="bottom"/>
            <w:tcBorders>
              <w:top w:val="single" w:sz="8" w:color="0000FF"/>
            </w:tcBorders>
            <w:shd w:val="clear" w:color="auto" w:fill="0000FF"/>
          </w:tcPr>
          <w:p>
            <w:pPr>
              <w:spacing w:after="0" w:line="20" w:lineRule="exact"/>
              <w:rPr>
                <w:sz w:val="1"/>
                <w:szCs w:val="1"/>
                <w:color w:val="auto"/>
              </w:rPr>
            </w:pPr>
          </w:p>
        </w:tc>
        <w:tc>
          <w:tcPr>
            <w:tcW w:w="600" w:type="dxa"/>
            <w:vAlign w:val="bottom"/>
            <w:tcBorders>
              <w:top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20" w:type="dxa"/>
            <w:vAlign w:val="bottom"/>
            <w:vMerge w:val="restart"/>
          </w:tcPr>
          <w:p>
            <w:pPr>
              <w:spacing w:after="0" w:line="20" w:lineRule="exact"/>
              <w:rPr>
                <w:sz w:val="1"/>
                <w:szCs w:val="1"/>
                <w:color w:val="auto"/>
              </w:rPr>
            </w:pPr>
          </w:p>
        </w:tc>
        <w:tc>
          <w:tcPr>
            <w:tcW w:w="120" w:type="dxa"/>
            <w:vAlign w:val="bottom"/>
            <w:tcBorders>
              <w:top w:val="single" w:sz="8" w:color="0E32E1"/>
            </w:tcBorders>
            <w:vMerge w:val="restart"/>
          </w:tcPr>
          <w:p>
            <w:pPr>
              <w:jc w:val="center"/>
              <w:spacing w:after="0" w:line="168" w:lineRule="exact"/>
              <w:rPr>
                <w:sz w:val="20"/>
                <w:szCs w:val="20"/>
                <w:color w:val="auto"/>
              </w:rPr>
            </w:pPr>
            <w:r>
              <w:rPr>
                <w:rFonts w:ascii="Arial" w:cs="Arial" w:eastAsia="Arial" w:hAnsi="Arial"/>
                <w:sz w:val="15"/>
                <w:szCs w:val="15"/>
                <w:color w:val="0E32E1"/>
                <w:w w:val="71"/>
              </w:rPr>
              <w:t>92</w:t>
            </w: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20" w:type="dxa"/>
            <w:vAlign w:val="bottom"/>
            <w:tcBorders>
              <w:bottom w:val="single" w:sz="8" w:color="0000FF"/>
            </w:tcBorders>
            <w:gridSpan w:val="13"/>
          </w:tcPr>
          <w:p>
            <w:pPr>
              <w:spacing w:after="0" w:line="156" w:lineRule="exact"/>
              <w:rPr>
                <w:rFonts w:ascii="Arial" w:cs="Arial" w:eastAsia="Arial" w:hAnsi="Arial"/>
                <w:sz w:val="15"/>
                <w:szCs w:val="15"/>
                <w:color w:val="0000FF"/>
                <w:w w:val="88"/>
              </w:rPr>
            </w:pPr>
            <w:hyperlink w:anchor="page94">
              <w:r>
                <w:rPr>
                  <w:rFonts w:ascii="Arial" w:cs="Arial" w:eastAsia="Arial" w:hAnsi="Arial"/>
                  <w:sz w:val="15"/>
                  <w:szCs w:val="15"/>
                  <w:color w:val="0000FF"/>
                  <w:w w:val="88"/>
                </w:rPr>
                <w:t>Item 2. Unregistered Sales of Equity Securities and Use of Proceeds</w:t>
              </w:r>
            </w:hyperlink>
          </w:p>
        </w:tc>
        <w:tc>
          <w:tcPr>
            <w:tcW w:w="4660" w:type="dxa"/>
            <w:vAlign w:val="bottom"/>
            <w:gridSpan w:val="4"/>
          </w:tcPr>
          <w:p>
            <w:pPr>
              <w:spacing w:after="0"/>
              <w:rPr>
                <w:sz w:val="15"/>
                <w:szCs w:val="15"/>
                <w:color w:val="auto"/>
              </w:rPr>
            </w:pPr>
          </w:p>
        </w:tc>
        <w:tc>
          <w:tcPr>
            <w:tcW w:w="2020" w:type="dxa"/>
            <w:vAlign w:val="bottom"/>
            <w:vMerge w:val="continue"/>
          </w:tcPr>
          <w:p>
            <w:pPr>
              <w:spacing w:after="0"/>
              <w:rPr>
                <w:sz w:val="15"/>
                <w:szCs w:val="15"/>
                <w:color w:val="auto"/>
              </w:rPr>
            </w:pPr>
          </w:p>
        </w:tc>
        <w:tc>
          <w:tcPr>
            <w:tcW w:w="120" w:type="dxa"/>
            <w:vAlign w:val="bottom"/>
            <w:tcBorders>
              <w:bottom w:val="single" w:sz="8" w:color="0E32E1"/>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680" w:type="dxa"/>
            <w:vAlign w:val="bottom"/>
            <w:gridSpan w:val="17"/>
          </w:tcPr>
          <w:p>
            <w:pPr>
              <w:spacing w:after="0" w:line="156" w:lineRule="exact"/>
              <w:rPr>
                <w:rFonts w:ascii="Arial" w:cs="Arial" w:eastAsia="Arial" w:hAnsi="Arial"/>
                <w:sz w:val="15"/>
                <w:szCs w:val="15"/>
                <w:color w:val="0000FF"/>
              </w:rPr>
            </w:pPr>
            <w:hyperlink w:anchor="page94">
              <w:r>
                <w:rPr>
                  <w:rFonts w:ascii="Arial" w:cs="Arial" w:eastAsia="Arial" w:hAnsi="Arial"/>
                  <w:sz w:val="15"/>
                  <w:szCs w:val="15"/>
                  <w:color w:val="0000FF"/>
                </w:rPr>
                <w:t>Item 6. Exhibits</w:t>
              </w:r>
            </w:hyperlink>
          </w:p>
        </w:tc>
        <w:tc>
          <w:tcPr>
            <w:tcW w:w="2020" w:type="dxa"/>
            <w:vAlign w:val="bottom"/>
          </w:tcPr>
          <w:p>
            <w:pPr>
              <w:spacing w:after="0"/>
              <w:rPr>
                <w:sz w:val="15"/>
                <w:szCs w:val="15"/>
                <w:color w:val="auto"/>
              </w:rPr>
            </w:pPr>
          </w:p>
        </w:tc>
        <w:tc>
          <w:tcPr>
            <w:tcW w:w="120" w:type="dxa"/>
            <w:vAlign w:val="bottom"/>
            <w:tcBorders>
              <w:bottom w:val="single" w:sz="8" w:color="0E32E1"/>
            </w:tcBorders>
          </w:tcPr>
          <w:p>
            <w:pPr>
              <w:jc w:val="center"/>
              <w:spacing w:after="0" w:line="148" w:lineRule="exact"/>
              <w:rPr>
                <w:sz w:val="20"/>
                <w:szCs w:val="20"/>
                <w:color w:val="auto"/>
              </w:rPr>
            </w:pPr>
            <w:r>
              <w:rPr>
                <w:rFonts w:ascii="Arial" w:cs="Arial" w:eastAsia="Arial" w:hAnsi="Arial"/>
                <w:sz w:val="15"/>
                <w:szCs w:val="15"/>
                <w:color w:val="0E32E1"/>
                <w:w w:val="71"/>
              </w:rPr>
              <w:t>92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940" w:type="dxa"/>
            <w:vAlign w:val="bottom"/>
            <w:tcBorders>
              <w:top w:val="single" w:sz="8" w:color="0000FF"/>
            </w:tcBorders>
            <w:gridSpan w:val="4"/>
          </w:tcPr>
          <w:p>
            <w:pPr>
              <w:spacing w:after="0" w:line="156" w:lineRule="exact"/>
              <w:rPr>
                <w:rFonts w:ascii="Arial" w:cs="Arial" w:eastAsia="Arial" w:hAnsi="Arial"/>
                <w:sz w:val="15"/>
                <w:szCs w:val="15"/>
                <w:color w:val="0000FF"/>
              </w:rPr>
            </w:pPr>
            <w:hyperlink w:anchor="page95">
              <w:r>
                <w:rPr>
                  <w:rFonts w:ascii="Arial" w:cs="Arial" w:eastAsia="Arial" w:hAnsi="Arial"/>
                  <w:sz w:val="15"/>
                  <w:szCs w:val="15"/>
                  <w:color w:val="0000FF"/>
                </w:rPr>
                <w:t>Signatures</w:t>
              </w:r>
            </w:hyperlink>
          </w:p>
        </w:tc>
        <w:tc>
          <w:tcPr>
            <w:tcW w:w="7740" w:type="dxa"/>
            <w:vAlign w:val="bottom"/>
            <w:gridSpan w:val="13"/>
          </w:tcPr>
          <w:p>
            <w:pPr>
              <w:spacing w:after="0"/>
              <w:rPr>
                <w:sz w:val="13"/>
                <w:szCs w:val="13"/>
                <w:color w:val="auto"/>
              </w:rPr>
            </w:pPr>
          </w:p>
        </w:tc>
        <w:tc>
          <w:tcPr>
            <w:tcW w:w="2180" w:type="dxa"/>
            <w:vAlign w:val="bottom"/>
            <w:gridSpan w:val="3"/>
          </w:tcPr>
          <w:p>
            <w:pPr>
              <w:jc w:val="center"/>
              <w:ind w:left="1869"/>
              <w:spacing w:after="0" w:line="148" w:lineRule="exact"/>
              <w:rPr>
                <w:sz w:val="20"/>
                <w:szCs w:val="20"/>
                <w:color w:val="auto"/>
              </w:rPr>
            </w:pPr>
            <w:r>
              <w:rPr>
                <w:rFonts w:ascii="Arial" w:cs="Arial" w:eastAsia="Arial" w:hAnsi="Arial"/>
                <w:sz w:val="15"/>
                <w:szCs w:val="15"/>
                <w:color w:val="0E32E1"/>
                <w:w w:val="95"/>
              </w:rPr>
              <w:t>93</w:t>
            </w:r>
          </w:p>
        </w:tc>
        <w:tc>
          <w:tcPr>
            <w:tcW w:w="0" w:type="dxa"/>
            <w:vAlign w:val="bottom"/>
          </w:tcPr>
          <w:p>
            <w:pPr>
              <w:spacing w:after="0"/>
              <w:rPr>
                <w:sz w:val="1"/>
                <w:szCs w:val="1"/>
                <w:color w:val="auto"/>
              </w:rPr>
            </w:pPr>
          </w:p>
        </w:tc>
      </w:tr>
      <w:tr>
        <w:trPr>
          <w:trHeight w:val="22"/>
        </w:trPr>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20" w:type="dxa"/>
            <w:vAlign w:val="bottom"/>
            <w:tcBorders>
              <w:right w:val="single" w:sz="8" w:color="0E32E1"/>
            </w:tcBorders>
          </w:tcPr>
          <w:p>
            <w:pPr>
              <w:spacing w:after="0" w:line="20" w:lineRule="exact"/>
              <w:rPr>
                <w:sz w:val="1"/>
                <w:szCs w:val="1"/>
                <w:color w:val="auto"/>
              </w:rPr>
            </w:pPr>
          </w:p>
        </w:tc>
        <w:tc>
          <w:tcPr>
            <w:tcW w:w="120" w:type="dxa"/>
            <w:vAlign w:val="bottom"/>
            <w:tcBorders>
              <w:right w:val="single" w:sz="8" w:color="0E32E1"/>
            </w:tcBorders>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0880"/>
          </w:cols>
          <w:pgMar w:left="300" w:top="129" w:right="719" w:bottom="1440" w:gutter="0" w:footer="0" w:header="0"/>
        </w:sectPr>
      </w:pPr>
    </w:p>
    <w:bookmarkStart w:id="3" w:name="page4"/>
    <w:bookmarkEnd w:id="3"/>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 FINANCIAL INFORMATION</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Item 1. Condensed Consolidated Financial Statements</w:t>
      </w:r>
    </w:p>
    <w:p>
      <w:pPr>
        <w:spacing w:after="0" w:line="200" w:lineRule="exact"/>
        <w:rPr>
          <w:sz w:val="20"/>
          <w:szCs w:val="20"/>
          <w:color w:val="auto"/>
        </w:rPr>
      </w:pPr>
    </w:p>
    <w:p>
      <w:pPr>
        <w:spacing w:after="0" w:line="346" w:lineRule="exact"/>
        <w:rPr>
          <w:sz w:val="20"/>
          <w:szCs w:val="20"/>
          <w:color w:val="auto"/>
        </w:rPr>
      </w:pPr>
    </w:p>
    <w:p>
      <w:pPr>
        <w:jc w:val="right"/>
        <w:ind w:right="447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4" w:name="page5"/>
    <w:bookmarkEnd w:id="4"/>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FIDELITY NATIONAL FINANCIAL, INC. AND SUBSIDIARIES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millions, except share data)</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September 30,</w:t>
            </w:r>
          </w:p>
        </w:tc>
        <w:tc>
          <w:tcPr>
            <w:tcW w:w="160" w:type="dxa"/>
            <w:vAlign w:val="bottom"/>
          </w:tcPr>
          <w:p>
            <w:pPr>
              <w:spacing w:after="0"/>
              <w:rPr>
                <w:sz w:val="12"/>
                <w:szCs w:val="12"/>
                <w:color w:val="auto"/>
              </w:rPr>
            </w:pPr>
          </w:p>
        </w:tc>
        <w:tc>
          <w:tcPr>
            <w:tcW w:w="960" w:type="dxa"/>
            <w:vAlign w:val="bottom"/>
          </w:tcPr>
          <w:p>
            <w:pPr>
              <w:jc w:val="right"/>
              <w:ind w:right="154"/>
              <w:spacing w:after="0"/>
              <w:rPr>
                <w:sz w:val="20"/>
                <w:szCs w:val="20"/>
                <w:color w:val="auto"/>
              </w:rPr>
            </w:pPr>
            <w:r>
              <w:rPr>
                <w:rFonts w:ascii="Arial" w:cs="Arial" w:eastAsia="Arial" w:hAnsi="Arial"/>
                <w:sz w:val="12"/>
                <w:szCs w:val="12"/>
                <w:b w:val="1"/>
                <w:bCs w:val="1"/>
                <w:color w:val="auto"/>
                <w:w w:val="92"/>
              </w:rPr>
              <w:t>December 31,</w:t>
            </w:r>
          </w:p>
        </w:tc>
        <w:tc>
          <w:tcPr>
            <w:tcW w:w="0" w:type="dxa"/>
            <w:vAlign w:val="bottom"/>
          </w:tcPr>
          <w:p>
            <w:pPr>
              <w:spacing w:after="0"/>
              <w:rPr>
                <w:sz w:val="1"/>
                <w:szCs w:val="1"/>
                <w:color w:val="auto"/>
              </w:rPr>
            </w:pPr>
          </w:p>
        </w:tc>
      </w:tr>
      <w:tr>
        <w:trPr>
          <w:trHeight w:val="153"/>
        </w:trPr>
        <w:tc>
          <w:tcPr>
            <w:tcW w:w="89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74"/>
              <w:spacing w:after="0"/>
              <w:rPr>
                <w:sz w:val="20"/>
                <w:szCs w:val="20"/>
                <w:color w:val="auto"/>
              </w:rPr>
            </w:pPr>
            <w:r>
              <w:rPr>
                <w:rFonts w:ascii="Arial" w:cs="Arial" w:eastAsia="Arial" w:hAnsi="Arial"/>
                <w:sz w:val="12"/>
                <w:szCs w:val="12"/>
                <w:b w:val="1"/>
                <w:bCs w:val="1"/>
                <w:color w:val="auto"/>
                <w:w w:val="89"/>
              </w:rPr>
              <w:t>2021</w:t>
            </w: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32"/>
        </w:trPr>
        <w:tc>
          <w:tcPr>
            <w:tcW w:w="8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94"/>
              <w:spacing w:after="0"/>
              <w:rPr>
                <w:sz w:val="20"/>
                <w:szCs w:val="20"/>
                <w:color w:val="auto"/>
              </w:rPr>
            </w:pPr>
            <w:r>
              <w:rPr>
                <w:rFonts w:ascii="Arial" w:cs="Arial" w:eastAsia="Arial" w:hAnsi="Arial"/>
                <w:sz w:val="10"/>
                <w:szCs w:val="10"/>
                <w:b w:val="1"/>
                <w:bCs w:val="1"/>
                <w:color w:val="auto"/>
                <w:w w:val="97"/>
              </w:rPr>
              <w:t>(Unaudited)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960" w:type="dxa"/>
            <w:vAlign w:val="bottom"/>
            <w:shd w:val="clear" w:color="auto" w:fill="CCEEFF"/>
          </w:tcPr>
          <w:p>
            <w:pPr>
              <w:ind w:left="5420"/>
              <w:spacing w:after="0"/>
              <w:rPr>
                <w:sz w:val="20"/>
                <w:szCs w:val="20"/>
                <w:color w:val="auto"/>
              </w:rPr>
            </w:pPr>
            <w:r>
              <w:rPr>
                <w:rFonts w:ascii="Arial" w:cs="Arial" w:eastAsia="Arial" w:hAnsi="Arial"/>
                <w:sz w:val="12"/>
                <w:szCs w:val="12"/>
                <w:b w:val="1"/>
                <w:bCs w:val="1"/>
                <w:color w:val="auto"/>
              </w:rPr>
              <w:t>ASSETS</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960" w:type="dxa"/>
            <w:vAlign w:val="bottom"/>
          </w:tcPr>
          <w:p>
            <w:pPr>
              <w:ind w:left="20"/>
              <w:spacing w:after="0"/>
              <w:rPr>
                <w:sz w:val="20"/>
                <w:szCs w:val="20"/>
                <w:color w:val="auto"/>
              </w:rPr>
            </w:pPr>
            <w:r>
              <w:rPr>
                <w:rFonts w:ascii="Arial" w:cs="Arial" w:eastAsia="Arial" w:hAnsi="Arial"/>
                <w:sz w:val="13"/>
                <w:szCs w:val="13"/>
                <w:color w:val="auto"/>
              </w:rPr>
              <w:t>Investments: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896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w w:val="99"/>
              </w:rPr>
              <w:t>Fixed maturity securities available for sale, at fair value, at September 30, 2021 and December 31, 2020, net of allowance for credit losses of $8 and $19,</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30,435</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27,587</w:t>
            </w:r>
          </w:p>
        </w:tc>
        <w:tc>
          <w:tcPr>
            <w:tcW w:w="0" w:type="dxa"/>
            <w:vAlign w:val="bottom"/>
          </w:tcPr>
          <w:p>
            <w:pPr>
              <w:spacing w:after="0"/>
              <w:rPr>
                <w:sz w:val="1"/>
                <w:szCs w:val="1"/>
                <w:color w:val="auto"/>
              </w:rPr>
            </w:pPr>
          </w:p>
        </w:tc>
      </w:tr>
      <w:tr>
        <w:trPr>
          <w:trHeight w:val="172"/>
        </w:trPr>
        <w:tc>
          <w:tcPr>
            <w:tcW w:w="89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respectively, and includes pledged fixed maturity securities of $458 and $455, respectively, related to secured trust deposits</w:t>
            </w:r>
          </w:p>
        </w:tc>
        <w:tc>
          <w:tcPr>
            <w:tcW w:w="14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960" w:type="dxa"/>
            <w:vAlign w:val="bottom"/>
          </w:tcPr>
          <w:p>
            <w:pPr>
              <w:ind w:left="180"/>
              <w:spacing w:after="0"/>
              <w:rPr>
                <w:sz w:val="20"/>
                <w:szCs w:val="20"/>
                <w:color w:val="auto"/>
              </w:rPr>
            </w:pPr>
            <w:r>
              <w:rPr>
                <w:rFonts w:ascii="Arial" w:cs="Arial" w:eastAsia="Arial" w:hAnsi="Arial"/>
                <w:sz w:val="13"/>
                <w:szCs w:val="13"/>
                <w:color w:val="auto"/>
              </w:rPr>
              <w:t>Preferred securities, at fair value</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1,202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1,341</w:t>
            </w:r>
          </w:p>
        </w:tc>
        <w:tc>
          <w:tcPr>
            <w:tcW w:w="0" w:type="dxa"/>
            <w:vAlign w:val="bottom"/>
          </w:tcPr>
          <w:p>
            <w:pPr>
              <w:spacing w:after="0"/>
              <w:rPr>
                <w:sz w:val="1"/>
                <w:szCs w:val="1"/>
                <w:color w:val="auto"/>
              </w:rPr>
            </w:pPr>
          </w:p>
        </w:tc>
      </w:tr>
      <w:tr>
        <w:trPr>
          <w:trHeight w:val="179"/>
        </w:trPr>
        <w:tc>
          <w:tcPr>
            <w:tcW w:w="89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Equity securities, at fair value</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w:t>
            </w:r>
          </w:p>
        </w:tc>
        <w:tc>
          <w:tcPr>
            <w:tcW w:w="0" w:type="dxa"/>
            <w:vAlign w:val="bottom"/>
          </w:tcPr>
          <w:p>
            <w:pPr>
              <w:spacing w:after="0"/>
              <w:rPr>
                <w:sz w:val="1"/>
                <w:szCs w:val="1"/>
                <w:color w:val="auto"/>
              </w:rPr>
            </w:pPr>
          </w:p>
        </w:tc>
      </w:tr>
      <w:tr>
        <w:trPr>
          <w:trHeight w:val="175"/>
        </w:trPr>
        <w:tc>
          <w:tcPr>
            <w:tcW w:w="8960" w:type="dxa"/>
            <w:vAlign w:val="bottom"/>
          </w:tcPr>
          <w:p>
            <w:pPr>
              <w:ind w:left="180"/>
              <w:spacing w:after="0"/>
              <w:rPr>
                <w:sz w:val="20"/>
                <w:szCs w:val="20"/>
                <w:color w:val="auto"/>
              </w:rPr>
            </w:pPr>
            <w:r>
              <w:rPr>
                <w:rFonts w:ascii="Arial" w:cs="Arial" w:eastAsia="Arial" w:hAnsi="Arial"/>
                <w:sz w:val="13"/>
                <w:szCs w:val="13"/>
                <w:color w:val="auto"/>
              </w:rPr>
              <w:t>Derivative investments</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581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548</w:t>
            </w:r>
          </w:p>
        </w:tc>
        <w:tc>
          <w:tcPr>
            <w:tcW w:w="0" w:type="dxa"/>
            <w:vAlign w:val="bottom"/>
          </w:tcPr>
          <w:p>
            <w:pPr>
              <w:spacing w:after="0"/>
              <w:rPr>
                <w:sz w:val="1"/>
                <w:szCs w:val="1"/>
                <w:color w:val="auto"/>
              </w:rPr>
            </w:pPr>
          </w:p>
        </w:tc>
      </w:tr>
      <w:tr>
        <w:trPr>
          <w:trHeight w:val="179"/>
        </w:trPr>
        <w:tc>
          <w:tcPr>
            <w:tcW w:w="89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Mortgage loans, net of allowance for credit losses of $33 and $39 at September 30, 2021 and December 31, 2020, respectively</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2,031</w:t>
            </w:r>
          </w:p>
        </w:tc>
        <w:tc>
          <w:tcPr>
            <w:tcW w:w="0" w:type="dxa"/>
            <w:vAlign w:val="bottom"/>
          </w:tcPr>
          <w:p>
            <w:pPr>
              <w:spacing w:after="0"/>
              <w:rPr>
                <w:sz w:val="1"/>
                <w:szCs w:val="1"/>
                <w:color w:val="auto"/>
              </w:rPr>
            </w:pPr>
          </w:p>
        </w:tc>
      </w:tr>
      <w:tr>
        <w:trPr>
          <w:trHeight w:val="175"/>
        </w:trPr>
        <w:tc>
          <w:tcPr>
            <w:tcW w:w="8960" w:type="dxa"/>
            <w:vAlign w:val="bottom"/>
          </w:tcPr>
          <w:p>
            <w:pPr>
              <w:ind w:left="180"/>
              <w:spacing w:after="0"/>
              <w:rPr>
                <w:sz w:val="20"/>
                <w:szCs w:val="20"/>
                <w:color w:val="auto"/>
              </w:rPr>
            </w:pPr>
            <w:r>
              <w:rPr>
                <w:rFonts w:ascii="Arial" w:cs="Arial" w:eastAsia="Arial" w:hAnsi="Arial"/>
                <w:sz w:val="13"/>
                <w:szCs w:val="13"/>
                <w:color w:val="auto"/>
              </w:rPr>
              <w:t>Investments in unconsolidated affiliates</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2,160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1,294</w:t>
            </w:r>
          </w:p>
        </w:tc>
        <w:tc>
          <w:tcPr>
            <w:tcW w:w="0" w:type="dxa"/>
            <w:vAlign w:val="bottom"/>
          </w:tcPr>
          <w:p>
            <w:pPr>
              <w:spacing w:after="0"/>
              <w:rPr>
                <w:sz w:val="1"/>
                <w:szCs w:val="1"/>
                <w:color w:val="auto"/>
              </w:rPr>
            </w:pPr>
          </w:p>
        </w:tc>
      </w:tr>
      <w:tr>
        <w:trPr>
          <w:trHeight w:val="179"/>
        </w:trPr>
        <w:tc>
          <w:tcPr>
            <w:tcW w:w="89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long-term investments</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w:t>
            </w:r>
          </w:p>
        </w:tc>
        <w:tc>
          <w:tcPr>
            <w:tcW w:w="0" w:type="dxa"/>
            <w:vAlign w:val="bottom"/>
          </w:tcPr>
          <w:p>
            <w:pPr>
              <w:spacing w:after="0"/>
              <w:rPr>
                <w:sz w:val="1"/>
                <w:szCs w:val="1"/>
                <w:color w:val="auto"/>
              </w:rPr>
            </w:pPr>
          </w:p>
        </w:tc>
      </w:tr>
      <w:tr>
        <w:trPr>
          <w:trHeight w:val="137"/>
        </w:trPr>
        <w:tc>
          <w:tcPr>
            <w:tcW w:w="8960" w:type="dxa"/>
            <w:vAlign w:val="bottom"/>
          </w:tcPr>
          <w:p>
            <w:pPr>
              <w:ind w:left="180"/>
              <w:spacing w:after="0" w:line="137" w:lineRule="exact"/>
              <w:rPr>
                <w:sz w:val="20"/>
                <w:szCs w:val="20"/>
                <w:color w:val="auto"/>
              </w:rPr>
            </w:pPr>
            <w:r>
              <w:rPr>
                <w:rFonts w:ascii="Arial" w:cs="Arial" w:eastAsia="Arial" w:hAnsi="Arial"/>
                <w:sz w:val="13"/>
                <w:szCs w:val="13"/>
                <w:color w:val="auto"/>
                <w:w w:val="92"/>
              </w:rPr>
              <w:t>Short-term investments, at September 30, 2021 and December 31, 2020 includes pledged short-term investments of $3 and $1, respectively, related to secured trust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527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769</w:t>
            </w:r>
          </w:p>
        </w:tc>
        <w:tc>
          <w:tcPr>
            <w:tcW w:w="0" w:type="dxa"/>
            <w:vAlign w:val="bottom"/>
          </w:tcPr>
          <w:p>
            <w:pPr>
              <w:spacing w:after="0"/>
              <w:rPr>
                <w:sz w:val="1"/>
                <w:szCs w:val="1"/>
                <w:color w:val="auto"/>
              </w:rPr>
            </w:pPr>
          </w:p>
        </w:tc>
      </w:tr>
      <w:tr>
        <w:trPr>
          <w:trHeight w:val="170"/>
        </w:trPr>
        <w:tc>
          <w:tcPr>
            <w:tcW w:w="896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deposits</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960" w:type="dxa"/>
            <w:vAlign w:val="bottom"/>
            <w:shd w:val="clear" w:color="auto" w:fill="CCEEFF"/>
          </w:tcPr>
          <w:p>
            <w:pPr>
              <w:ind w:left="420"/>
              <w:spacing w:after="0"/>
              <w:rPr>
                <w:sz w:val="20"/>
                <w:szCs w:val="20"/>
                <w:color w:val="auto"/>
              </w:rPr>
            </w:pPr>
            <w:r>
              <w:rPr>
                <w:rFonts w:ascii="Arial" w:cs="Arial" w:eastAsia="Arial" w:hAnsi="Arial"/>
                <w:sz w:val="13"/>
                <w:szCs w:val="13"/>
                <w:color w:val="auto"/>
              </w:rPr>
              <w:t>Total investments</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40,274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35,047</w:t>
            </w:r>
          </w:p>
        </w:tc>
        <w:tc>
          <w:tcPr>
            <w:tcW w:w="0" w:type="dxa"/>
            <w:vAlign w:val="bottom"/>
          </w:tcPr>
          <w:p>
            <w:pPr>
              <w:spacing w:after="0"/>
              <w:rPr>
                <w:sz w:val="1"/>
                <w:szCs w:val="1"/>
                <w:color w:val="auto"/>
              </w:rPr>
            </w:pPr>
          </w:p>
        </w:tc>
      </w:tr>
      <w:tr>
        <w:trPr>
          <w:trHeight w:val="175"/>
        </w:trPr>
        <w:tc>
          <w:tcPr>
            <w:tcW w:w="8960" w:type="dxa"/>
            <w:vAlign w:val="bottom"/>
          </w:tcPr>
          <w:p>
            <w:pPr>
              <w:ind w:left="20"/>
              <w:spacing w:after="0"/>
              <w:rPr>
                <w:sz w:val="20"/>
                <w:szCs w:val="20"/>
                <w:color w:val="auto"/>
              </w:rPr>
            </w:pPr>
            <w:r>
              <w:rPr>
                <w:rFonts w:ascii="Arial" w:cs="Arial" w:eastAsia="Arial" w:hAnsi="Arial"/>
                <w:sz w:val="13"/>
                <w:szCs w:val="13"/>
                <w:color w:val="auto"/>
                <w:w w:val="94"/>
              </w:rPr>
              <w:t>Cash and cash equivalents, at September 30, 2021 and December 31, 2020 includes $694 and $270, respectively, of pledged cash related to secured trust deposits</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5,148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2,719</w:t>
            </w:r>
          </w:p>
        </w:tc>
        <w:tc>
          <w:tcPr>
            <w:tcW w:w="0" w:type="dxa"/>
            <w:vAlign w:val="bottom"/>
          </w:tcPr>
          <w:p>
            <w:pPr>
              <w:spacing w:after="0"/>
              <w:rPr>
                <w:sz w:val="1"/>
                <w:szCs w:val="1"/>
                <w:color w:val="auto"/>
              </w:rPr>
            </w:pPr>
          </w:p>
        </w:tc>
      </w:tr>
      <w:tr>
        <w:trPr>
          <w:trHeight w:val="179"/>
        </w:trPr>
        <w:tc>
          <w:tcPr>
            <w:tcW w:w="8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and notes receivables, net of allowance of $32 and $28 at September 30, 2021 and December 31, 2020, respectively</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w:t>
            </w:r>
          </w:p>
        </w:tc>
        <w:tc>
          <w:tcPr>
            <w:tcW w:w="0" w:type="dxa"/>
            <w:vAlign w:val="bottom"/>
          </w:tcPr>
          <w:p>
            <w:pPr>
              <w:spacing w:after="0"/>
              <w:rPr>
                <w:sz w:val="1"/>
                <w:szCs w:val="1"/>
                <w:color w:val="auto"/>
              </w:rPr>
            </w:pPr>
          </w:p>
        </w:tc>
      </w:tr>
      <w:tr>
        <w:trPr>
          <w:trHeight w:val="175"/>
        </w:trPr>
        <w:tc>
          <w:tcPr>
            <w:tcW w:w="8960" w:type="dxa"/>
            <w:vAlign w:val="bottom"/>
          </w:tcPr>
          <w:p>
            <w:pPr>
              <w:ind w:left="20"/>
              <w:spacing w:after="0"/>
              <w:rPr>
                <w:sz w:val="20"/>
                <w:szCs w:val="20"/>
                <w:color w:val="auto"/>
              </w:rPr>
            </w:pPr>
            <w:r>
              <w:rPr>
                <w:rFonts w:ascii="Arial" w:cs="Arial" w:eastAsia="Arial" w:hAnsi="Arial"/>
                <w:sz w:val="13"/>
                <w:szCs w:val="13"/>
                <w:color w:val="auto"/>
              </w:rPr>
              <w:t>Reinsurance recoverable, net of allowance for credit losses of $19 and $21 at September 30, 2021 and December 31, 2020, respectively</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3,518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3,211</w:t>
            </w:r>
          </w:p>
        </w:tc>
        <w:tc>
          <w:tcPr>
            <w:tcW w:w="0" w:type="dxa"/>
            <w:vAlign w:val="bottom"/>
          </w:tcPr>
          <w:p>
            <w:pPr>
              <w:spacing w:after="0"/>
              <w:rPr>
                <w:sz w:val="1"/>
                <w:szCs w:val="1"/>
                <w:color w:val="auto"/>
              </w:rPr>
            </w:pPr>
          </w:p>
        </w:tc>
      </w:tr>
      <w:tr>
        <w:trPr>
          <w:trHeight w:val="179"/>
        </w:trPr>
        <w:tc>
          <w:tcPr>
            <w:tcW w:w="8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4,495</w:t>
            </w:r>
          </w:p>
        </w:tc>
        <w:tc>
          <w:tcPr>
            <w:tcW w:w="0" w:type="dxa"/>
            <w:vAlign w:val="bottom"/>
          </w:tcPr>
          <w:p>
            <w:pPr>
              <w:spacing w:after="0"/>
              <w:rPr>
                <w:sz w:val="1"/>
                <w:szCs w:val="1"/>
                <w:color w:val="auto"/>
              </w:rPr>
            </w:pPr>
          </w:p>
        </w:tc>
      </w:tr>
      <w:tr>
        <w:trPr>
          <w:trHeight w:val="175"/>
        </w:trPr>
        <w:tc>
          <w:tcPr>
            <w:tcW w:w="8960" w:type="dxa"/>
            <w:vAlign w:val="bottom"/>
          </w:tcPr>
          <w:p>
            <w:pPr>
              <w:ind w:left="20"/>
              <w:spacing w:after="0"/>
              <w:rPr>
                <w:sz w:val="20"/>
                <w:szCs w:val="20"/>
                <w:color w:val="auto"/>
              </w:rPr>
            </w:pPr>
            <w:r>
              <w:rPr>
                <w:rFonts w:ascii="Arial" w:cs="Arial" w:eastAsia="Arial" w:hAnsi="Arial"/>
                <w:sz w:val="13"/>
                <w:szCs w:val="13"/>
                <w:color w:val="auto"/>
              </w:rPr>
              <w:t>Prepaid expenses and other assets</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1,169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997</w:t>
            </w:r>
          </w:p>
        </w:tc>
        <w:tc>
          <w:tcPr>
            <w:tcW w:w="0" w:type="dxa"/>
            <w:vAlign w:val="bottom"/>
          </w:tcPr>
          <w:p>
            <w:pPr>
              <w:spacing w:after="0"/>
              <w:rPr>
                <w:sz w:val="1"/>
                <w:szCs w:val="1"/>
                <w:color w:val="auto"/>
              </w:rPr>
            </w:pPr>
          </w:p>
        </w:tc>
      </w:tr>
      <w:tr>
        <w:trPr>
          <w:trHeight w:val="179"/>
        </w:trPr>
        <w:tc>
          <w:tcPr>
            <w:tcW w:w="8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 assets</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w:t>
            </w:r>
          </w:p>
        </w:tc>
        <w:tc>
          <w:tcPr>
            <w:tcW w:w="0" w:type="dxa"/>
            <w:vAlign w:val="bottom"/>
          </w:tcPr>
          <w:p>
            <w:pPr>
              <w:spacing w:after="0"/>
              <w:rPr>
                <w:sz w:val="1"/>
                <w:szCs w:val="1"/>
                <w:color w:val="auto"/>
              </w:rPr>
            </w:pPr>
          </w:p>
        </w:tc>
      </w:tr>
      <w:tr>
        <w:trPr>
          <w:trHeight w:val="175"/>
        </w:trPr>
        <w:tc>
          <w:tcPr>
            <w:tcW w:w="8960" w:type="dxa"/>
            <w:vAlign w:val="bottom"/>
          </w:tcPr>
          <w:p>
            <w:pPr>
              <w:ind w:left="20"/>
              <w:spacing w:after="0"/>
              <w:rPr>
                <w:sz w:val="20"/>
                <w:szCs w:val="20"/>
                <w:color w:val="auto"/>
              </w:rPr>
            </w:pPr>
            <w:r>
              <w:rPr>
                <w:rFonts w:ascii="Arial" w:cs="Arial" w:eastAsia="Arial" w:hAnsi="Arial"/>
                <w:sz w:val="13"/>
                <w:szCs w:val="13"/>
                <w:color w:val="auto"/>
              </w:rPr>
              <w:t>Other intangible assets, net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2,264</w:t>
            </w:r>
          </w:p>
        </w:tc>
        <w:tc>
          <w:tcPr>
            <w:tcW w:w="0" w:type="dxa"/>
            <w:vAlign w:val="bottom"/>
          </w:tcPr>
          <w:p>
            <w:pPr>
              <w:spacing w:after="0"/>
              <w:rPr>
                <w:sz w:val="1"/>
                <w:szCs w:val="1"/>
                <w:color w:val="auto"/>
              </w:rPr>
            </w:pPr>
          </w:p>
        </w:tc>
      </w:tr>
      <w:tr>
        <w:trPr>
          <w:trHeight w:val="179"/>
        </w:trPr>
        <w:tc>
          <w:tcPr>
            <w:tcW w:w="8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Title plants</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w:t>
            </w:r>
          </w:p>
        </w:tc>
        <w:tc>
          <w:tcPr>
            <w:tcW w:w="0" w:type="dxa"/>
            <w:vAlign w:val="bottom"/>
          </w:tcPr>
          <w:p>
            <w:pPr>
              <w:spacing w:after="0"/>
              <w:rPr>
                <w:sz w:val="1"/>
                <w:szCs w:val="1"/>
                <w:color w:val="auto"/>
              </w:rPr>
            </w:pPr>
          </w:p>
        </w:tc>
      </w:tr>
      <w:tr>
        <w:trPr>
          <w:trHeight w:val="175"/>
        </w:trPr>
        <w:tc>
          <w:tcPr>
            <w:tcW w:w="8960" w:type="dxa"/>
            <w:vAlign w:val="bottom"/>
          </w:tcPr>
          <w:p>
            <w:pPr>
              <w:ind w:left="20"/>
              <w:spacing w:after="0"/>
              <w:rPr>
                <w:sz w:val="20"/>
                <w:szCs w:val="20"/>
                <w:color w:val="auto"/>
              </w:rPr>
            </w:pPr>
            <w:r>
              <w:rPr>
                <w:rFonts w:ascii="Arial" w:cs="Arial" w:eastAsia="Arial" w:hAnsi="Arial"/>
                <w:sz w:val="13"/>
                <w:szCs w:val="13"/>
                <w:color w:val="auto"/>
              </w:rPr>
              <w:t>Property and equipment, net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186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180</w:t>
            </w:r>
          </w:p>
        </w:tc>
        <w:tc>
          <w:tcPr>
            <w:tcW w:w="0" w:type="dxa"/>
            <w:vAlign w:val="bottom"/>
          </w:tcPr>
          <w:p>
            <w:pPr>
              <w:spacing w:after="0"/>
              <w:rPr>
                <w:sz w:val="1"/>
                <w:szCs w:val="1"/>
                <w:color w:val="auto"/>
              </w:rPr>
            </w:pPr>
          </w:p>
        </w:tc>
      </w:tr>
      <w:tr>
        <w:trPr>
          <w:trHeight w:val="177"/>
        </w:trPr>
        <w:tc>
          <w:tcPr>
            <w:tcW w:w="8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Assets of discontinued operations</w:t>
            </w: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w:t>
            </w:r>
          </w:p>
        </w:tc>
        <w:tc>
          <w:tcPr>
            <w:tcW w:w="0" w:type="dxa"/>
            <w:vAlign w:val="bottom"/>
          </w:tcPr>
          <w:p>
            <w:pPr>
              <w:spacing w:after="0"/>
              <w:rPr>
                <w:sz w:val="1"/>
                <w:szCs w:val="1"/>
                <w:color w:val="auto"/>
              </w:rPr>
            </w:pPr>
          </w:p>
        </w:tc>
      </w:tr>
      <w:tr>
        <w:trPr>
          <w:trHeight w:val="170"/>
        </w:trPr>
        <w:tc>
          <w:tcPr>
            <w:tcW w:w="8960" w:type="dxa"/>
            <w:vAlign w:val="bottom"/>
          </w:tcPr>
          <w:p>
            <w:pPr>
              <w:ind w:left="420"/>
              <w:spacing w:after="0"/>
              <w:rPr>
                <w:sz w:val="20"/>
                <w:szCs w:val="20"/>
                <w:color w:val="auto"/>
              </w:rPr>
            </w:pPr>
            <w:r>
              <w:rPr>
                <w:rFonts w:ascii="Arial" w:cs="Arial" w:eastAsia="Arial" w:hAnsi="Arial"/>
                <w:sz w:val="13"/>
                <w:szCs w:val="13"/>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58,506</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50,455</w:t>
            </w:r>
          </w:p>
        </w:tc>
        <w:tc>
          <w:tcPr>
            <w:tcW w:w="0" w:type="dxa"/>
            <w:vAlign w:val="bottom"/>
          </w:tcPr>
          <w:p>
            <w:pPr>
              <w:spacing w:after="0"/>
              <w:rPr>
                <w:sz w:val="1"/>
                <w:szCs w:val="1"/>
                <w:color w:val="auto"/>
              </w:rPr>
            </w:pPr>
          </w:p>
        </w:tc>
      </w:tr>
      <w:tr>
        <w:trPr>
          <w:trHeight w:val="20"/>
        </w:trPr>
        <w:tc>
          <w:tcPr>
            <w:tcW w:w="8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8960" w:type="dxa"/>
            <w:vAlign w:val="bottom"/>
            <w:shd w:val="clear" w:color="auto" w:fill="CCEEFF"/>
          </w:tcPr>
          <w:p>
            <w:pPr>
              <w:ind w:left="4900"/>
              <w:spacing w:after="0" w:line="117" w:lineRule="exact"/>
              <w:rPr>
                <w:sz w:val="20"/>
                <w:szCs w:val="20"/>
                <w:color w:val="auto"/>
              </w:rPr>
            </w:pPr>
            <w:r>
              <w:rPr>
                <w:rFonts w:ascii="Arial" w:cs="Arial" w:eastAsia="Arial" w:hAnsi="Arial"/>
                <w:sz w:val="12"/>
                <w:szCs w:val="12"/>
                <w:b w:val="1"/>
                <w:bCs w:val="1"/>
                <w:color w:val="auto"/>
              </w:rPr>
              <w:t>LIABILITIES AND EQUITY</w:t>
            </w: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960" w:type="dxa"/>
            <w:vAlign w:val="bottom"/>
          </w:tcPr>
          <w:p>
            <w:pPr>
              <w:ind w:left="20"/>
              <w:spacing w:after="0"/>
              <w:rPr>
                <w:sz w:val="20"/>
                <w:szCs w:val="20"/>
                <w:color w:val="auto"/>
              </w:rPr>
            </w:pPr>
            <w:r>
              <w:rPr>
                <w:rFonts w:ascii="Arial" w:cs="Arial" w:eastAsia="Arial" w:hAnsi="Arial"/>
                <w:sz w:val="13"/>
                <w:szCs w:val="13"/>
                <w:color w:val="auto"/>
              </w:rPr>
              <w:t>Liabilities: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Contractholder funds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33,988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28,718</w:t>
            </w:r>
          </w:p>
        </w:tc>
        <w:tc>
          <w:tcPr>
            <w:tcW w:w="0" w:type="dxa"/>
            <w:vAlign w:val="bottom"/>
          </w:tcPr>
          <w:p>
            <w:pPr>
              <w:spacing w:after="0"/>
              <w:rPr>
                <w:sz w:val="1"/>
                <w:szCs w:val="1"/>
                <w:color w:val="auto"/>
              </w:rPr>
            </w:pPr>
          </w:p>
        </w:tc>
      </w:tr>
      <w:tr>
        <w:trPr>
          <w:trHeight w:val="175"/>
        </w:trPr>
        <w:tc>
          <w:tcPr>
            <w:tcW w:w="8960" w:type="dxa"/>
            <w:vAlign w:val="bottom"/>
          </w:tcPr>
          <w:p>
            <w:pPr>
              <w:ind w:left="20"/>
              <w:spacing w:after="0"/>
              <w:rPr>
                <w:sz w:val="20"/>
                <w:szCs w:val="20"/>
                <w:color w:val="auto"/>
              </w:rPr>
            </w:pPr>
            <w:r>
              <w:rPr>
                <w:rFonts w:ascii="Arial" w:cs="Arial" w:eastAsia="Arial" w:hAnsi="Arial"/>
                <w:sz w:val="13"/>
                <w:szCs w:val="13"/>
                <w:color w:val="auto"/>
              </w:rPr>
              <w:t>Future policy benefits</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3,985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4,010</w:t>
            </w:r>
          </w:p>
        </w:tc>
        <w:tc>
          <w:tcPr>
            <w:tcW w:w="0" w:type="dxa"/>
            <w:vAlign w:val="bottom"/>
          </w:tcPr>
          <w:p>
            <w:pPr>
              <w:spacing w:after="0"/>
              <w:rPr>
                <w:sz w:val="1"/>
                <w:szCs w:val="1"/>
                <w:color w:val="auto"/>
              </w:rPr>
            </w:pPr>
          </w:p>
        </w:tc>
      </w:tr>
      <w:tr>
        <w:trPr>
          <w:trHeight w:val="179"/>
        </w:trPr>
        <w:tc>
          <w:tcPr>
            <w:tcW w:w="8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payable and accrued liabilities</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2,402</w:t>
            </w:r>
          </w:p>
        </w:tc>
        <w:tc>
          <w:tcPr>
            <w:tcW w:w="0" w:type="dxa"/>
            <w:vAlign w:val="bottom"/>
          </w:tcPr>
          <w:p>
            <w:pPr>
              <w:spacing w:after="0"/>
              <w:rPr>
                <w:sz w:val="1"/>
                <w:szCs w:val="1"/>
                <w:color w:val="auto"/>
              </w:rPr>
            </w:pPr>
          </w:p>
        </w:tc>
      </w:tr>
      <w:tr>
        <w:trPr>
          <w:trHeight w:val="175"/>
        </w:trPr>
        <w:tc>
          <w:tcPr>
            <w:tcW w:w="8960" w:type="dxa"/>
            <w:vAlign w:val="bottom"/>
          </w:tcPr>
          <w:p>
            <w:pPr>
              <w:ind w:left="20"/>
              <w:spacing w:after="0"/>
              <w:rPr>
                <w:sz w:val="20"/>
                <w:szCs w:val="20"/>
                <w:color w:val="auto"/>
              </w:rPr>
            </w:pPr>
            <w:r>
              <w:rPr>
                <w:rFonts w:ascii="Arial" w:cs="Arial" w:eastAsia="Arial" w:hAnsi="Arial"/>
                <w:sz w:val="13"/>
                <w:szCs w:val="13"/>
                <w:color w:val="auto"/>
              </w:rPr>
              <w:t>Notes payable</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3,097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2,662</w:t>
            </w:r>
          </w:p>
        </w:tc>
        <w:tc>
          <w:tcPr>
            <w:tcW w:w="0" w:type="dxa"/>
            <w:vAlign w:val="bottom"/>
          </w:tcPr>
          <w:p>
            <w:pPr>
              <w:spacing w:after="0"/>
              <w:rPr>
                <w:sz w:val="1"/>
                <w:szCs w:val="1"/>
                <w:color w:val="auto"/>
              </w:rPr>
            </w:pPr>
          </w:p>
        </w:tc>
      </w:tr>
      <w:tr>
        <w:trPr>
          <w:trHeight w:val="179"/>
        </w:trPr>
        <w:tc>
          <w:tcPr>
            <w:tcW w:w="8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Reserve for title claim losses</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1,623</w:t>
            </w:r>
          </w:p>
        </w:tc>
        <w:tc>
          <w:tcPr>
            <w:tcW w:w="0" w:type="dxa"/>
            <w:vAlign w:val="bottom"/>
          </w:tcPr>
          <w:p>
            <w:pPr>
              <w:spacing w:after="0"/>
              <w:rPr>
                <w:sz w:val="1"/>
                <w:szCs w:val="1"/>
                <w:color w:val="auto"/>
              </w:rPr>
            </w:pPr>
          </w:p>
        </w:tc>
      </w:tr>
      <w:tr>
        <w:trPr>
          <w:trHeight w:val="175"/>
        </w:trPr>
        <w:tc>
          <w:tcPr>
            <w:tcW w:w="8960" w:type="dxa"/>
            <w:vAlign w:val="bottom"/>
          </w:tcPr>
          <w:p>
            <w:pPr>
              <w:ind w:left="20"/>
              <w:spacing w:after="0"/>
              <w:rPr>
                <w:sz w:val="20"/>
                <w:szCs w:val="20"/>
                <w:color w:val="auto"/>
              </w:rPr>
            </w:pPr>
            <w:r>
              <w:rPr>
                <w:rFonts w:ascii="Arial" w:cs="Arial" w:eastAsia="Arial" w:hAnsi="Arial"/>
                <w:sz w:val="13"/>
                <w:szCs w:val="13"/>
                <w:color w:val="auto"/>
              </w:rPr>
              <w:t>Funds withheld for reinsurance liabilities</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1,508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806</w:t>
            </w:r>
          </w:p>
        </w:tc>
        <w:tc>
          <w:tcPr>
            <w:tcW w:w="0" w:type="dxa"/>
            <w:vAlign w:val="bottom"/>
          </w:tcPr>
          <w:p>
            <w:pPr>
              <w:spacing w:after="0"/>
              <w:rPr>
                <w:sz w:val="1"/>
                <w:szCs w:val="1"/>
                <w:color w:val="auto"/>
              </w:rPr>
            </w:pPr>
          </w:p>
        </w:tc>
      </w:tr>
      <w:tr>
        <w:trPr>
          <w:trHeight w:val="179"/>
        </w:trPr>
        <w:tc>
          <w:tcPr>
            <w:tcW w:w="8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Secured trust deposits</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711</w:t>
            </w:r>
          </w:p>
        </w:tc>
        <w:tc>
          <w:tcPr>
            <w:tcW w:w="0" w:type="dxa"/>
            <w:vAlign w:val="bottom"/>
          </w:tcPr>
          <w:p>
            <w:pPr>
              <w:spacing w:after="0"/>
              <w:rPr>
                <w:sz w:val="1"/>
                <w:szCs w:val="1"/>
                <w:color w:val="auto"/>
              </w:rPr>
            </w:pPr>
          </w:p>
        </w:tc>
      </w:tr>
      <w:tr>
        <w:trPr>
          <w:trHeight w:val="175"/>
        </w:trPr>
        <w:tc>
          <w:tcPr>
            <w:tcW w:w="8960" w:type="dxa"/>
            <w:vAlign w:val="bottom"/>
          </w:tcPr>
          <w:p>
            <w:pPr>
              <w:ind w:left="20"/>
              <w:spacing w:after="0"/>
              <w:rPr>
                <w:sz w:val="20"/>
                <w:szCs w:val="20"/>
                <w:color w:val="auto"/>
              </w:rPr>
            </w:pPr>
            <w:r>
              <w:rPr>
                <w:rFonts w:ascii="Arial" w:cs="Arial" w:eastAsia="Arial" w:hAnsi="Arial"/>
                <w:sz w:val="13"/>
                <w:szCs w:val="13"/>
                <w:color w:val="auto"/>
              </w:rPr>
              <w:t>Lease liabilities</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409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414</w:t>
            </w:r>
          </w:p>
        </w:tc>
        <w:tc>
          <w:tcPr>
            <w:tcW w:w="0" w:type="dxa"/>
            <w:vAlign w:val="bottom"/>
          </w:tcPr>
          <w:p>
            <w:pPr>
              <w:spacing w:after="0"/>
              <w:rPr>
                <w:sz w:val="1"/>
                <w:szCs w:val="1"/>
                <w:color w:val="auto"/>
              </w:rPr>
            </w:pPr>
          </w:p>
        </w:tc>
      </w:tr>
      <w:tr>
        <w:trPr>
          <w:trHeight w:val="179"/>
        </w:trPr>
        <w:tc>
          <w:tcPr>
            <w:tcW w:w="8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taxes payable</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75"/>
        </w:trPr>
        <w:tc>
          <w:tcPr>
            <w:tcW w:w="8960" w:type="dxa"/>
            <w:vAlign w:val="bottom"/>
          </w:tcPr>
          <w:p>
            <w:pPr>
              <w:ind w:left="20"/>
              <w:spacing w:after="0"/>
              <w:rPr>
                <w:sz w:val="20"/>
                <w:szCs w:val="20"/>
                <w:color w:val="auto"/>
              </w:rPr>
            </w:pPr>
            <w:r>
              <w:rPr>
                <w:rFonts w:ascii="Arial" w:cs="Arial" w:eastAsia="Arial" w:hAnsi="Arial"/>
                <w:sz w:val="13"/>
                <w:szCs w:val="13"/>
                <w:color w:val="auto"/>
              </w:rPr>
              <w:t>Deferred tax liability</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79"/>
        </w:trPr>
        <w:tc>
          <w:tcPr>
            <w:tcW w:w="8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Liabilities of discontinued operations</w:t>
            </w: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w:t>
            </w:r>
          </w:p>
        </w:tc>
        <w:tc>
          <w:tcPr>
            <w:tcW w:w="0" w:type="dxa"/>
            <w:vAlign w:val="bottom"/>
          </w:tcPr>
          <w:p>
            <w:pPr>
              <w:spacing w:after="0"/>
              <w:rPr>
                <w:sz w:val="1"/>
                <w:szCs w:val="1"/>
                <w:color w:val="auto"/>
              </w:rPr>
            </w:pPr>
          </w:p>
        </w:tc>
      </w:tr>
      <w:tr>
        <w:trPr>
          <w:trHeight w:val="166"/>
        </w:trPr>
        <w:tc>
          <w:tcPr>
            <w:tcW w:w="8960" w:type="dxa"/>
            <w:vAlign w:val="bottom"/>
          </w:tcPr>
          <w:p>
            <w:pPr>
              <w:ind w:left="420"/>
              <w:spacing w:after="0"/>
              <w:rPr>
                <w:sz w:val="20"/>
                <w:szCs w:val="20"/>
                <w:color w:val="auto"/>
              </w:rPr>
            </w:pPr>
            <w:r>
              <w:rPr>
                <w:rFonts w:ascii="Arial" w:cs="Arial" w:eastAsia="Arial" w:hAnsi="Arial"/>
                <w:sz w:val="13"/>
                <w:szCs w:val="13"/>
                <w:color w:val="auto"/>
              </w:rPr>
              <w:t>Total liabilities</w:t>
            </w: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49,132</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42,063</w:t>
            </w:r>
          </w:p>
        </w:tc>
        <w:tc>
          <w:tcPr>
            <w:tcW w:w="0" w:type="dxa"/>
            <w:vAlign w:val="bottom"/>
          </w:tcPr>
          <w:p>
            <w:pPr>
              <w:spacing w:after="0"/>
              <w:rPr>
                <w:sz w:val="1"/>
                <w:szCs w:val="1"/>
                <w:color w:val="auto"/>
              </w:rPr>
            </w:pPr>
          </w:p>
        </w:tc>
      </w:tr>
      <w:tr>
        <w:trPr>
          <w:trHeight w:val="179"/>
        </w:trPr>
        <w:tc>
          <w:tcPr>
            <w:tcW w:w="8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8960" w:type="dxa"/>
            <w:vAlign w:val="bottom"/>
          </w:tcPr>
          <w:p>
            <w:pPr>
              <w:ind w:left="180"/>
              <w:spacing w:after="0" w:line="137" w:lineRule="exact"/>
              <w:rPr>
                <w:sz w:val="20"/>
                <w:szCs w:val="20"/>
                <w:color w:val="auto"/>
              </w:rPr>
            </w:pPr>
            <w:r>
              <w:rPr>
                <w:rFonts w:ascii="Arial" w:cs="Arial" w:eastAsia="Arial" w:hAnsi="Arial"/>
                <w:sz w:val="13"/>
                <w:szCs w:val="13"/>
                <w:color w:val="auto"/>
                <w:w w:val="97"/>
              </w:rPr>
              <w:t>FNF common stock, $0.0001 par value; authorized 600,000,000 shares as of September 30, 2021 and December 31, 2020; outstanding of 284,743,161 and</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960" w:type="dxa"/>
            <w:vAlign w:val="bottom"/>
          </w:tcPr>
          <w:p>
            <w:pPr>
              <w:ind w:left="180"/>
              <w:spacing w:after="0" w:line="133" w:lineRule="exact"/>
              <w:rPr>
                <w:sz w:val="20"/>
                <w:szCs w:val="20"/>
                <w:color w:val="auto"/>
              </w:rPr>
            </w:pPr>
            <w:r>
              <w:rPr>
                <w:rFonts w:ascii="Arial" w:cs="Arial" w:eastAsia="Arial" w:hAnsi="Arial"/>
                <w:sz w:val="13"/>
                <w:szCs w:val="13"/>
                <w:color w:val="auto"/>
                <w:w w:val="92"/>
              </w:rPr>
              <w:t>291,448,627 as of September 30, 2021 and December 31, 2020, respectively, and issued of 324,064,003 and 322,622,948 as of September 30, 2021 and December</w:t>
            </w:r>
          </w:p>
        </w:tc>
        <w:tc>
          <w:tcPr>
            <w:tcW w:w="14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8960" w:type="dxa"/>
            <w:vAlign w:val="bottom"/>
          </w:tcPr>
          <w:p>
            <w:pPr>
              <w:ind w:left="180"/>
              <w:spacing w:after="0"/>
              <w:rPr>
                <w:sz w:val="20"/>
                <w:szCs w:val="20"/>
                <w:color w:val="auto"/>
              </w:rPr>
            </w:pPr>
            <w:r>
              <w:rPr>
                <w:rFonts w:ascii="Arial" w:cs="Arial" w:eastAsia="Arial" w:hAnsi="Arial"/>
                <w:sz w:val="13"/>
                <w:szCs w:val="13"/>
                <w:color w:val="auto"/>
              </w:rPr>
              <w:t>31, 2020, respectively</w:t>
            </w: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9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Preferred stock, $0.0001 par value; authorized 50,000,000 shares; issued and outstanding, none</w:t>
            </w: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960" w:type="dxa"/>
            <w:vAlign w:val="bottom"/>
          </w:tcPr>
          <w:p>
            <w:pPr>
              <w:ind w:left="180"/>
              <w:spacing w:after="0"/>
              <w:rPr>
                <w:sz w:val="20"/>
                <w:szCs w:val="20"/>
                <w:color w:val="auto"/>
              </w:rPr>
            </w:pPr>
            <w:r>
              <w:rPr>
                <w:rFonts w:ascii="Arial" w:cs="Arial" w:eastAsia="Arial" w:hAnsi="Arial"/>
                <w:sz w:val="13"/>
                <w:szCs w:val="13"/>
                <w:color w:val="auto"/>
              </w:rPr>
              <w:t>Additional paid-in capital</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5,790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5,720</w:t>
            </w:r>
          </w:p>
        </w:tc>
        <w:tc>
          <w:tcPr>
            <w:tcW w:w="0" w:type="dxa"/>
            <w:vAlign w:val="bottom"/>
          </w:tcPr>
          <w:p>
            <w:pPr>
              <w:spacing w:after="0"/>
              <w:rPr>
                <w:sz w:val="1"/>
                <w:szCs w:val="1"/>
                <w:color w:val="auto"/>
              </w:rPr>
            </w:pPr>
          </w:p>
        </w:tc>
      </w:tr>
      <w:tr>
        <w:trPr>
          <w:trHeight w:val="179"/>
        </w:trPr>
        <w:tc>
          <w:tcPr>
            <w:tcW w:w="89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Retained earnings</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2,394</w:t>
            </w:r>
          </w:p>
        </w:tc>
        <w:tc>
          <w:tcPr>
            <w:tcW w:w="0" w:type="dxa"/>
            <w:vAlign w:val="bottom"/>
          </w:tcPr>
          <w:p>
            <w:pPr>
              <w:spacing w:after="0"/>
              <w:rPr>
                <w:sz w:val="1"/>
                <w:szCs w:val="1"/>
                <w:color w:val="auto"/>
              </w:rPr>
            </w:pPr>
          </w:p>
        </w:tc>
      </w:tr>
      <w:tr>
        <w:trPr>
          <w:trHeight w:val="175"/>
        </w:trPr>
        <w:tc>
          <w:tcPr>
            <w:tcW w:w="8960" w:type="dxa"/>
            <w:vAlign w:val="bottom"/>
          </w:tcPr>
          <w:p>
            <w:pPr>
              <w:ind w:left="180"/>
              <w:spacing w:after="0"/>
              <w:rPr>
                <w:sz w:val="20"/>
                <w:szCs w:val="20"/>
                <w:color w:val="auto"/>
              </w:rPr>
            </w:pPr>
            <w:r>
              <w:rPr>
                <w:rFonts w:ascii="Arial" w:cs="Arial" w:eastAsia="Arial" w:hAnsi="Arial"/>
                <w:sz w:val="13"/>
                <w:szCs w:val="13"/>
                <w:color w:val="auto"/>
              </w:rPr>
              <w:t>Accumulated other comprehensive earnings</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1,005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1,304</w:t>
            </w:r>
          </w:p>
        </w:tc>
        <w:tc>
          <w:tcPr>
            <w:tcW w:w="0" w:type="dxa"/>
            <w:vAlign w:val="bottom"/>
          </w:tcPr>
          <w:p>
            <w:pPr>
              <w:spacing w:after="0"/>
              <w:rPr>
                <w:sz w:val="1"/>
                <w:szCs w:val="1"/>
                <w:color w:val="auto"/>
              </w:rPr>
            </w:pPr>
          </w:p>
        </w:tc>
      </w:tr>
      <w:tr>
        <w:trPr>
          <w:trHeight w:val="179"/>
        </w:trPr>
        <w:tc>
          <w:tcPr>
            <w:tcW w:w="89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Less: Treasury stock, 39,320,842 shares and 31,174,321 shares as of September 30, 2021 and December 31, 2020, respectively, at cost</w:t>
            </w: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(1,424)</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(1,067)</w:t>
            </w:r>
          </w:p>
        </w:tc>
        <w:tc>
          <w:tcPr>
            <w:tcW w:w="0" w:type="dxa"/>
            <w:vAlign w:val="bottom"/>
          </w:tcPr>
          <w:p>
            <w:pPr>
              <w:spacing w:after="0"/>
              <w:rPr>
                <w:sz w:val="1"/>
                <w:szCs w:val="1"/>
                <w:color w:val="auto"/>
              </w:rPr>
            </w:pPr>
          </w:p>
        </w:tc>
      </w:tr>
      <w:tr>
        <w:trPr>
          <w:trHeight w:val="166"/>
        </w:trPr>
        <w:tc>
          <w:tcPr>
            <w:tcW w:w="8960" w:type="dxa"/>
            <w:vAlign w:val="bottom"/>
          </w:tcPr>
          <w:p>
            <w:pPr>
              <w:ind w:left="420"/>
              <w:spacing w:after="0"/>
              <w:rPr>
                <w:sz w:val="20"/>
                <w:szCs w:val="20"/>
                <w:color w:val="auto"/>
              </w:rPr>
            </w:pPr>
            <w:r>
              <w:rPr>
                <w:rFonts w:ascii="Arial" w:cs="Arial" w:eastAsia="Arial" w:hAnsi="Arial"/>
                <w:sz w:val="13"/>
                <w:szCs w:val="13"/>
                <w:color w:val="auto"/>
              </w:rPr>
              <w:t>Total Fidelity National Financial, Inc. shareholders’ equity</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9,332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8,351</w:t>
            </w:r>
          </w:p>
        </w:tc>
        <w:tc>
          <w:tcPr>
            <w:tcW w:w="0" w:type="dxa"/>
            <w:vAlign w:val="bottom"/>
          </w:tcPr>
          <w:p>
            <w:pPr>
              <w:spacing w:after="0"/>
              <w:rPr>
                <w:sz w:val="1"/>
                <w:szCs w:val="1"/>
                <w:color w:val="auto"/>
              </w:rPr>
            </w:pPr>
          </w:p>
        </w:tc>
      </w:tr>
      <w:tr>
        <w:trPr>
          <w:trHeight w:val="179"/>
        </w:trPr>
        <w:tc>
          <w:tcPr>
            <w:tcW w:w="89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Non-controlling interests</w:t>
            </w: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66"/>
        </w:trPr>
        <w:tc>
          <w:tcPr>
            <w:tcW w:w="8960" w:type="dxa"/>
            <w:vAlign w:val="bottom"/>
            <w:tcBorders>
              <w:bottom w:val="single" w:sz="8" w:color="CCEEFF"/>
            </w:tcBorders>
          </w:tcPr>
          <w:p>
            <w:pPr>
              <w:ind w:left="420"/>
              <w:spacing w:after="0"/>
              <w:rPr>
                <w:sz w:val="20"/>
                <w:szCs w:val="20"/>
                <w:color w:val="auto"/>
              </w:rPr>
            </w:pPr>
            <w:r>
              <w:rPr>
                <w:rFonts w:ascii="Arial" w:cs="Arial" w:eastAsia="Arial" w:hAnsi="Arial"/>
                <w:sz w:val="13"/>
                <w:szCs w:val="13"/>
                <w:color w:val="auto"/>
              </w:rPr>
              <w:t>Total equity</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9,374</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8,392</w:t>
            </w:r>
          </w:p>
        </w:tc>
        <w:tc>
          <w:tcPr>
            <w:tcW w:w="0" w:type="dxa"/>
            <w:vAlign w:val="bottom"/>
          </w:tcPr>
          <w:p>
            <w:pPr>
              <w:spacing w:after="0"/>
              <w:rPr>
                <w:sz w:val="1"/>
                <w:szCs w:val="1"/>
                <w:color w:val="auto"/>
              </w:rPr>
            </w:pPr>
          </w:p>
        </w:tc>
      </w:tr>
      <w:tr>
        <w:trPr>
          <w:trHeight w:val="195"/>
        </w:trPr>
        <w:tc>
          <w:tcPr>
            <w:tcW w:w="89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3"/>
                <w:szCs w:val="13"/>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58,506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50,455</w:t>
            </w:r>
          </w:p>
        </w:tc>
        <w:tc>
          <w:tcPr>
            <w:tcW w:w="0" w:type="dxa"/>
            <w:vAlign w:val="bottom"/>
          </w:tcPr>
          <w:p>
            <w:pPr>
              <w:spacing w:after="0"/>
              <w:rPr>
                <w:sz w:val="1"/>
                <w:szCs w:val="1"/>
                <w:color w:val="auto"/>
              </w:rPr>
            </w:pPr>
          </w:p>
        </w:tc>
      </w:tr>
      <w:tr>
        <w:trPr>
          <w:trHeight w:val="20"/>
        </w:trPr>
        <w:tc>
          <w:tcPr>
            <w:tcW w:w="8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Condensed Consolidated Financial Statements</w:t>
      </w: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wp:posOffset>
            </wp:positionV>
            <wp:extent cx="7182485"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 w:name="page6"/>
    <w:bookmarkEnd w:id="5"/>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FIDELITY NATIONAL FINANCIAL, INC.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EARNINGS</w:t>
      </w:r>
    </w:p>
    <w:p>
      <w:pPr>
        <w:jc w:val="center"/>
        <w:spacing w:after="0"/>
        <w:rPr>
          <w:sz w:val="20"/>
          <w:szCs w:val="20"/>
          <w:color w:val="auto"/>
        </w:rPr>
      </w:pPr>
      <w:r>
        <w:rPr>
          <w:rFonts w:ascii="Arial" w:cs="Arial" w:eastAsia="Arial" w:hAnsi="Arial"/>
          <w:sz w:val="12"/>
          <w:szCs w:val="12"/>
          <w:color w:val="auto"/>
        </w:rPr>
        <w:t>(Dollars in millions, except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1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5"/>
          </w:tcPr>
          <w:p>
            <w:pPr>
              <w:jc w:val="center"/>
              <w:ind w:right="240"/>
              <w:spacing w:after="0"/>
              <w:rPr>
                <w:sz w:val="20"/>
                <w:szCs w:val="20"/>
                <w:color w:val="auto"/>
              </w:rPr>
            </w:pPr>
            <w:r>
              <w:rPr>
                <w:rFonts w:ascii="Arial" w:cs="Arial" w:eastAsia="Arial" w:hAnsi="Arial"/>
                <w:sz w:val="12"/>
                <w:szCs w:val="12"/>
                <w:b w:val="1"/>
                <w:bCs w:val="1"/>
                <w:color w:val="auto"/>
                <w:w w:val="88"/>
              </w:rPr>
              <w:t>Three months ended</w:t>
            </w:r>
          </w:p>
        </w:tc>
        <w:tc>
          <w:tcPr>
            <w:tcW w:w="1600" w:type="dxa"/>
            <w:vAlign w:val="bottom"/>
            <w:gridSpan w:val="6"/>
          </w:tcPr>
          <w:p>
            <w:pPr>
              <w:ind w:left="20"/>
              <w:spacing w:after="0"/>
              <w:rPr>
                <w:sz w:val="20"/>
                <w:szCs w:val="20"/>
                <w:color w:val="auto"/>
              </w:rPr>
            </w:pPr>
            <w:r>
              <w:rPr>
                <w:rFonts w:ascii="Arial" w:cs="Arial" w:eastAsia="Arial" w:hAnsi="Arial"/>
                <w:sz w:val="12"/>
                <w:szCs w:val="12"/>
                <w:b w:val="1"/>
                <w:bCs w:val="1"/>
                <w:color w:val="auto"/>
                <w:w w:val="88"/>
              </w:rPr>
              <w:t>Nine months ended September</w:t>
            </w:r>
          </w:p>
        </w:tc>
        <w:tc>
          <w:tcPr>
            <w:tcW w:w="0" w:type="dxa"/>
            <w:vAlign w:val="bottom"/>
          </w:tcPr>
          <w:p>
            <w:pPr>
              <w:spacing w:after="0"/>
              <w:rPr>
                <w:sz w:val="1"/>
                <w:szCs w:val="1"/>
                <w:color w:val="auto"/>
              </w:rPr>
            </w:pPr>
          </w:p>
        </w:tc>
      </w:tr>
      <w:tr>
        <w:trPr>
          <w:trHeight w:val="153"/>
        </w:trPr>
        <w:tc>
          <w:tcPr>
            <w:tcW w:w="6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5"/>
          </w:tcPr>
          <w:p>
            <w:pPr>
              <w:jc w:val="center"/>
              <w:ind w:right="240"/>
              <w:spacing w:after="0"/>
              <w:rPr>
                <w:sz w:val="20"/>
                <w:szCs w:val="20"/>
                <w:color w:val="auto"/>
              </w:rPr>
            </w:pPr>
            <w:r>
              <w:rPr>
                <w:rFonts w:ascii="Arial" w:cs="Arial" w:eastAsia="Arial" w:hAnsi="Arial"/>
                <w:sz w:val="12"/>
                <w:szCs w:val="12"/>
                <w:b w:val="1"/>
                <w:bCs w:val="1"/>
                <w:color w:val="auto"/>
                <w:w w:val="87"/>
              </w:rPr>
              <w:t>September 30,</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w w:val="83"/>
              </w:rPr>
              <w:t>30,</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1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2"/>
                <w:szCs w:val="12"/>
                <w:b w:val="1"/>
                <w:bCs w:val="1"/>
                <w:color w:val="auto"/>
                <w:w w:val="82"/>
              </w:rPr>
              <w:t>2020</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2"/>
                <w:szCs w:val="12"/>
                <w:b w:val="1"/>
                <w:bCs w:val="1"/>
                <w:color w:val="auto"/>
              </w:rPr>
              <w:t>2021</w:t>
            </w: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2"/>
                <w:szCs w:val="12"/>
                <w:b w:val="1"/>
                <w:bCs w:val="1"/>
                <w:color w:val="auto"/>
                <w:w w:val="82"/>
              </w:rPr>
              <w:t>2020</w:t>
            </w:r>
          </w:p>
        </w:tc>
        <w:tc>
          <w:tcPr>
            <w:tcW w:w="0" w:type="dxa"/>
            <w:vAlign w:val="bottom"/>
          </w:tcPr>
          <w:p>
            <w:pPr>
              <w:spacing w:after="0"/>
              <w:rPr>
                <w:sz w:val="1"/>
                <w:szCs w:val="1"/>
                <w:color w:val="auto"/>
              </w:rPr>
            </w:pPr>
          </w:p>
        </w:tc>
      </w:tr>
      <w:tr>
        <w:trPr>
          <w:trHeight w:val="146"/>
        </w:trPr>
        <w:tc>
          <w:tcPr>
            <w:tcW w:w="61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jc w:val="center"/>
              <w:ind w:left="275"/>
              <w:spacing w:after="0"/>
              <w:rPr>
                <w:sz w:val="20"/>
                <w:szCs w:val="20"/>
                <w:color w:val="auto"/>
              </w:rPr>
            </w:pPr>
            <w:r>
              <w:rPr>
                <w:rFonts w:ascii="Arial" w:cs="Arial" w:eastAsia="Arial" w:hAnsi="Arial"/>
                <w:sz w:val="12"/>
                <w:szCs w:val="12"/>
                <w:b w:val="1"/>
                <w:bCs w:val="1"/>
                <w:color w:val="auto"/>
                <w:w w:val="89"/>
              </w:rPr>
              <w:t>(Unaudited)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4"/>
          </w:tcPr>
          <w:p>
            <w:pPr>
              <w:jc w:val="right"/>
              <w:spacing w:after="0"/>
              <w:rPr>
                <w:sz w:val="20"/>
                <w:szCs w:val="20"/>
                <w:color w:val="auto"/>
              </w:rPr>
            </w:pPr>
            <w:r>
              <w:rPr>
                <w:rFonts w:ascii="Arial" w:cs="Arial" w:eastAsia="Arial" w:hAnsi="Arial"/>
                <w:sz w:val="12"/>
                <w:szCs w:val="12"/>
                <w:b w:val="1"/>
                <w:bCs w:val="1"/>
                <w:color w:val="auto"/>
              </w:rPr>
              <w:t>(Unaudited)</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Revenues:</w:t>
            </w:r>
          </w:p>
        </w:tc>
        <w:tc>
          <w:tcPr>
            <w:tcW w:w="1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00" w:type="dxa"/>
            <w:vAlign w:val="bottom"/>
          </w:tcPr>
          <w:p>
            <w:pPr>
              <w:ind w:left="180"/>
              <w:spacing w:after="0"/>
              <w:rPr>
                <w:sz w:val="20"/>
                <w:szCs w:val="20"/>
                <w:color w:val="auto"/>
              </w:rPr>
            </w:pPr>
            <w:r>
              <w:rPr>
                <w:rFonts w:ascii="Arial" w:cs="Arial" w:eastAsia="Arial" w:hAnsi="Arial"/>
                <w:sz w:val="13"/>
                <w:szCs w:val="13"/>
                <w:color w:val="auto"/>
              </w:rPr>
              <w:t>Direct title insurance premiums</w:t>
            </w:r>
          </w:p>
        </w:tc>
        <w:tc>
          <w:tcPr>
            <w:tcW w:w="2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896</w:t>
            </w:r>
          </w:p>
        </w:tc>
        <w:tc>
          <w:tcPr>
            <w:tcW w:w="80" w:type="dxa"/>
            <w:vAlign w:val="bottom"/>
          </w:tcPr>
          <w:p>
            <w:pPr>
              <w:spacing w:after="0"/>
              <w:rPr>
                <w:sz w:val="15"/>
                <w:szCs w:val="15"/>
                <w:color w:val="auto"/>
              </w:rPr>
            </w:pP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733</w:t>
            </w:r>
          </w:p>
        </w:tc>
        <w:tc>
          <w:tcPr>
            <w:tcW w:w="8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2,546</w:t>
            </w:r>
          </w:p>
        </w:tc>
        <w:tc>
          <w:tcPr>
            <w:tcW w:w="3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1,854</w:t>
            </w:r>
          </w:p>
        </w:tc>
        <w:tc>
          <w:tcPr>
            <w:tcW w:w="0" w:type="dxa"/>
            <w:vAlign w:val="bottom"/>
          </w:tcPr>
          <w:p>
            <w:pPr>
              <w:spacing w:after="0"/>
              <w:rPr>
                <w:sz w:val="1"/>
                <w:szCs w:val="1"/>
                <w:color w:val="auto"/>
              </w:rPr>
            </w:pPr>
          </w:p>
        </w:tc>
      </w:tr>
      <w:tr>
        <w:trPr>
          <w:trHeight w:val="179"/>
        </w:trPr>
        <w:tc>
          <w:tcPr>
            <w:tcW w:w="6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Agency title insurance premiums</w:t>
            </w:r>
          </w:p>
        </w:tc>
        <w:tc>
          <w:tcPr>
            <w:tcW w:w="1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3,632</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2,497</w:t>
            </w:r>
          </w:p>
        </w:tc>
        <w:tc>
          <w:tcPr>
            <w:tcW w:w="0" w:type="dxa"/>
            <w:vAlign w:val="bottom"/>
          </w:tcPr>
          <w:p>
            <w:pPr>
              <w:spacing w:after="0"/>
              <w:rPr>
                <w:sz w:val="1"/>
                <w:szCs w:val="1"/>
                <w:color w:val="auto"/>
              </w:rPr>
            </w:pPr>
          </w:p>
        </w:tc>
      </w:tr>
      <w:tr>
        <w:trPr>
          <w:trHeight w:val="175"/>
        </w:trPr>
        <w:tc>
          <w:tcPr>
            <w:tcW w:w="6100" w:type="dxa"/>
            <w:vAlign w:val="bottom"/>
          </w:tcPr>
          <w:p>
            <w:pPr>
              <w:ind w:left="180"/>
              <w:spacing w:after="0"/>
              <w:rPr>
                <w:sz w:val="20"/>
                <w:szCs w:val="20"/>
                <w:color w:val="auto"/>
              </w:rPr>
            </w:pPr>
            <w:r>
              <w:rPr>
                <w:rFonts w:ascii="Arial" w:cs="Arial" w:eastAsia="Arial" w:hAnsi="Arial"/>
                <w:sz w:val="13"/>
                <w:szCs w:val="13"/>
                <w:color w:val="auto"/>
              </w:rPr>
              <w:t>Escrow, title-related and other fees</w:t>
            </w:r>
          </w:p>
        </w:tc>
        <w:tc>
          <w:tcPr>
            <w:tcW w:w="1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1,324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853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3,123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2,201</w:t>
            </w:r>
          </w:p>
        </w:tc>
        <w:tc>
          <w:tcPr>
            <w:tcW w:w="0" w:type="dxa"/>
            <w:vAlign w:val="bottom"/>
          </w:tcPr>
          <w:p>
            <w:pPr>
              <w:spacing w:after="0"/>
              <w:rPr>
                <w:sz w:val="1"/>
                <w:szCs w:val="1"/>
                <w:color w:val="auto"/>
              </w:rPr>
            </w:pPr>
          </w:p>
        </w:tc>
      </w:tr>
      <w:tr>
        <w:trPr>
          <w:trHeight w:val="179"/>
        </w:trPr>
        <w:tc>
          <w:tcPr>
            <w:tcW w:w="6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Interest and investment income</w:t>
            </w:r>
          </w:p>
        </w:tc>
        <w:tc>
          <w:tcPr>
            <w:tcW w:w="1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541</w:t>
            </w:r>
          </w:p>
        </w:tc>
        <w:tc>
          <w:tcPr>
            <w:tcW w:w="0" w:type="dxa"/>
            <w:vAlign w:val="bottom"/>
          </w:tcPr>
          <w:p>
            <w:pPr>
              <w:spacing w:after="0"/>
              <w:rPr>
                <w:sz w:val="1"/>
                <w:szCs w:val="1"/>
                <w:color w:val="auto"/>
              </w:rPr>
            </w:pPr>
          </w:p>
        </w:tc>
      </w:tr>
      <w:tr>
        <w:trPr>
          <w:trHeight w:val="175"/>
        </w:trPr>
        <w:tc>
          <w:tcPr>
            <w:tcW w:w="61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Recognized gains and losses, net</w:t>
            </w:r>
          </w:p>
        </w:tc>
        <w:tc>
          <w:tcPr>
            <w:tcW w:w="18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70"/>
        </w:trPr>
        <w:tc>
          <w:tcPr>
            <w:tcW w:w="6100" w:type="dxa"/>
            <w:vAlign w:val="bottom"/>
            <w:shd w:val="clear" w:color="auto" w:fill="CCEEFF"/>
          </w:tcPr>
          <w:p>
            <w:pPr>
              <w:ind w:left="660"/>
              <w:spacing w:after="0"/>
              <w:rPr>
                <w:sz w:val="20"/>
                <w:szCs w:val="20"/>
                <w:color w:val="auto"/>
              </w:rPr>
            </w:pPr>
            <w:r>
              <w:rPr>
                <w:rFonts w:ascii="Arial" w:cs="Arial" w:eastAsia="Arial" w:hAnsi="Arial"/>
                <w:sz w:val="13"/>
                <w:szCs w:val="13"/>
                <w:color w:val="auto"/>
              </w:rPr>
              <w:t>Total revenues</w:t>
            </w:r>
          </w:p>
        </w:tc>
        <w:tc>
          <w:tcPr>
            <w:tcW w:w="1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10,846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7,008</w:t>
            </w:r>
          </w:p>
        </w:tc>
        <w:tc>
          <w:tcPr>
            <w:tcW w:w="0" w:type="dxa"/>
            <w:vAlign w:val="bottom"/>
          </w:tcPr>
          <w:p>
            <w:pPr>
              <w:spacing w:after="0"/>
              <w:rPr>
                <w:sz w:val="1"/>
                <w:szCs w:val="1"/>
                <w:color w:val="auto"/>
              </w:rPr>
            </w:pPr>
          </w:p>
        </w:tc>
      </w:tr>
      <w:tr>
        <w:trPr>
          <w:trHeight w:val="175"/>
        </w:trPr>
        <w:tc>
          <w:tcPr>
            <w:tcW w:w="6100" w:type="dxa"/>
            <w:vAlign w:val="bottom"/>
          </w:tcPr>
          <w:p>
            <w:pPr>
              <w:ind w:left="20"/>
              <w:spacing w:after="0"/>
              <w:rPr>
                <w:sz w:val="20"/>
                <w:szCs w:val="20"/>
                <w:color w:val="auto"/>
              </w:rPr>
            </w:pPr>
            <w:r>
              <w:rPr>
                <w:rFonts w:ascii="Arial" w:cs="Arial" w:eastAsia="Arial" w:hAnsi="Arial"/>
                <w:sz w:val="13"/>
                <w:szCs w:val="13"/>
                <w:color w:val="auto"/>
              </w:rPr>
              <w:t>Expenses:</w:t>
            </w:r>
          </w:p>
        </w:tc>
        <w:tc>
          <w:tcPr>
            <w:tcW w:w="1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Personnel costs</w:t>
            </w:r>
          </w:p>
        </w:tc>
        <w:tc>
          <w:tcPr>
            <w:tcW w:w="1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2,596</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2,088</w:t>
            </w:r>
          </w:p>
        </w:tc>
        <w:tc>
          <w:tcPr>
            <w:tcW w:w="0" w:type="dxa"/>
            <w:vAlign w:val="bottom"/>
          </w:tcPr>
          <w:p>
            <w:pPr>
              <w:spacing w:after="0"/>
              <w:rPr>
                <w:sz w:val="1"/>
                <w:szCs w:val="1"/>
                <w:color w:val="auto"/>
              </w:rPr>
            </w:pPr>
          </w:p>
        </w:tc>
      </w:tr>
      <w:tr>
        <w:trPr>
          <w:trHeight w:val="175"/>
        </w:trPr>
        <w:tc>
          <w:tcPr>
            <w:tcW w:w="6100" w:type="dxa"/>
            <w:vAlign w:val="bottom"/>
          </w:tcPr>
          <w:p>
            <w:pPr>
              <w:ind w:left="180"/>
              <w:spacing w:after="0"/>
              <w:rPr>
                <w:sz w:val="20"/>
                <w:szCs w:val="20"/>
                <w:color w:val="auto"/>
              </w:rPr>
            </w:pPr>
            <w:r>
              <w:rPr>
                <w:rFonts w:ascii="Arial" w:cs="Arial" w:eastAsia="Arial" w:hAnsi="Arial"/>
                <w:sz w:val="13"/>
                <w:szCs w:val="13"/>
                <w:color w:val="auto"/>
              </w:rPr>
              <w:t>Agent commissions</w:t>
            </w:r>
          </w:p>
        </w:tc>
        <w:tc>
          <w:tcPr>
            <w:tcW w:w="1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1,010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749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2,787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1,907</w:t>
            </w:r>
          </w:p>
        </w:tc>
        <w:tc>
          <w:tcPr>
            <w:tcW w:w="0" w:type="dxa"/>
            <w:vAlign w:val="bottom"/>
          </w:tcPr>
          <w:p>
            <w:pPr>
              <w:spacing w:after="0"/>
              <w:rPr>
                <w:sz w:val="1"/>
                <w:szCs w:val="1"/>
                <w:color w:val="auto"/>
              </w:rPr>
            </w:pPr>
          </w:p>
        </w:tc>
      </w:tr>
      <w:tr>
        <w:trPr>
          <w:trHeight w:val="179"/>
        </w:trPr>
        <w:tc>
          <w:tcPr>
            <w:tcW w:w="6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operating expenses</w:t>
            </w:r>
          </w:p>
        </w:tc>
        <w:tc>
          <w:tcPr>
            <w:tcW w:w="1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1,432</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1,306</w:t>
            </w:r>
          </w:p>
        </w:tc>
        <w:tc>
          <w:tcPr>
            <w:tcW w:w="0" w:type="dxa"/>
            <w:vAlign w:val="bottom"/>
          </w:tcPr>
          <w:p>
            <w:pPr>
              <w:spacing w:after="0"/>
              <w:rPr>
                <w:sz w:val="1"/>
                <w:szCs w:val="1"/>
                <w:color w:val="auto"/>
              </w:rPr>
            </w:pPr>
          </w:p>
        </w:tc>
      </w:tr>
      <w:tr>
        <w:trPr>
          <w:trHeight w:val="175"/>
        </w:trPr>
        <w:tc>
          <w:tcPr>
            <w:tcW w:w="6100" w:type="dxa"/>
            <w:vAlign w:val="bottom"/>
          </w:tcPr>
          <w:p>
            <w:pPr>
              <w:ind w:left="180"/>
              <w:spacing w:after="0"/>
              <w:rPr>
                <w:sz w:val="20"/>
                <w:szCs w:val="20"/>
                <w:color w:val="auto"/>
              </w:rPr>
            </w:pPr>
            <w:r>
              <w:rPr>
                <w:rFonts w:ascii="Arial" w:cs="Arial" w:eastAsia="Arial" w:hAnsi="Arial"/>
                <w:sz w:val="13"/>
                <w:szCs w:val="13"/>
                <w:color w:val="auto"/>
              </w:rPr>
              <w:t>Benefits and other changes in policy reserves</w:t>
            </w:r>
          </w:p>
        </w:tc>
        <w:tc>
          <w:tcPr>
            <w:tcW w:w="1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251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734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406</w:t>
            </w:r>
          </w:p>
        </w:tc>
        <w:tc>
          <w:tcPr>
            <w:tcW w:w="0" w:type="dxa"/>
            <w:vAlign w:val="bottom"/>
          </w:tcPr>
          <w:p>
            <w:pPr>
              <w:spacing w:after="0"/>
              <w:rPr>
                <w:sz w:val="1"/>
                <w:szCs w:val="1"/>
                <w:color w:val="auto"/>
              </w:rPr>
            </w:pPr>
          </w:p>
        </w:tc>
      </w:tr>
      <w:tr>
        <w:trPr>
          <w:trHeight w:val="179"/>
        </w:trPr>
        <w:tc>
          <w:tcPr>
            <w:tcW w:w="6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Depreciation and amortization</w:t>
            </w:r>
          </w:p>
        </w:tc>
        <w:tc>
          <w:tcPr>
            <w:tcW w:w="1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w:t>
            </w:r>
          </w:p>
        </w:tc>
        <w:tc>
          <w:tcPr>
            <w:tcW w:w="0" w:type="dxa"/>
            <w:vAlign w:val="bottom"/>
          </w:tcPr>
          <w:p>
            <w:pPr>
              <w:spacing w:after="0"/>
              <w:rPr>
                <w:sz w:val="1"/>
                <w:szCs w:val="1"/>
                <w:color w:val="auto"/>
              </w:rPr>
            </w:pPr>
          </w:p>
        </w:tc>
      </w:tr>
      <w:tr>
        <w:trPr>
          <w:trHeight w:val="175"/>
        </w:trPr>
        <w:tc>
          <w:tcPr>
            <w:tcW w:w="6100" w:type="dxa"/>
            <w:vAlign w:val="bottom"/>
          </w:tcPr>
          <w:p>
            <w:pPr>
              <w:ind w:left="180"/>
              <w:spacing w:after="0"/>
              <w:rPr>
                <w:sz w:val="20"/>
                <w:szCs w:val="20"/>
                <w:color w:val="auto"/>
              </w:rPr>
            </w:pPr>
            <w:r>
              <w:rPr>
                <w:rFonts w:ascii="Arial" w:cs="Arial" w:eastAsia="Arial" w:hAnsi="Arial"/>
                <w:sz w:val="13"/>
                <w:szCs w:val="13"/>
                <w:color w:val="auto"/>
              </w:rPr>
              <w:t>Provision for title claim losses</w:t>
            </w:r>
          </w:p>
        </w:tc>
        <w:tc>
          <w:tcPr>
            <w:tcW w:w="1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196</w:t>
            </w:r>
          </w:p>
        </w:tc>
        <w:tc>
          <w:tcPr>
            <w:tcW w:w="0" w:type="dxa"/>
            <w:vAlign w:val="bottom"/>
          </w:tcPr>
          <w:p>
            <w:pPr>
              <w:spacing w:after="0"/>
              <w:rPr>
                <w:sz w:val="1"/>
                <w:szCs w:val="1"/>
                <w:color w:val="auto"/>
              </w:rPr>
            </w:pPr>
          </w:p>
        </w:tc>
      </w:tr>
      <w:tr>
        <w:trPr>
          <w:trHeight w:val="179"/>
        </w:trPr>
        <w:tc>
          <w:tcPr>
            <w:tcW w:w="6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Interest expense</w:t>
            </w:r>
          </w:p>
        </w:tc>
        <w:tc>
          <w:tcPr>
            <w:tcW w:w="18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66"/>
        </w:trPr>
        <w:tc>
          <w:tcPr>
            <w:tcW w:w="6100" w:type="dxa"/>
            <w:vAlign w:val="bottom"/>
            <w:tcBorders>
              <w:bottom w:val="single" w:sz="8" w:color="CCEEFF"/>
            </w:tcBorders>
          </w:tcPr>
          <w:p>
            <w:pPr>
              <w:ind w:left="660"/>
              <w:spacing w:after="0"/>
              <w:rPr>
                <w:sz w:val="20"/>
                <w:szCs w:val="20"/>
                <w:color w:val="auto"/>
              </w:rPr>
            </w:pPr>
            <w:r>
              <w:rPr>
                <w:rFonts w:ascii="Arial" w:cs="Arial" w:eastAsia="Arial" w:hAnsi="Arial"/>
                <w:sz w:val="13"/>
                <w:szCs w:val="13"/>
                <w:color w:val="auto"/>
              </w:rPr>
              <w:t>Total expenses</w:t>
            </w:r>
          </w:p>
        </w:tc>
        <w:tc>
          <w:tcPr>
            <w:tcW w:w="1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2,966</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2,437</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8,450</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6,154</w:t>
            </w:r>
          </w:p>
        </w:tc>
        <w:tc>
          <w:tcPr>
            <w:tcW w:w="0" w:type="dxa"/>
            <w:vAlign w:val="bottom"/>
          </w:tcPr>
          <w:p>
            <w:pPr>
              <w:spacing w:after="0"/>
              <w:rPr>
                <w:sz w:val="1"/>
                <w:szCs w:val="1"/>
                <w:color w:val="auto"/>
              </w:rPr>
            </w:pPr>
          </w:p>
        </w:tc>
      </w:tr>
      <w:tr>
        <w:trPr>
          <w:trHeight w:val="170"/>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8"/>
              </w:rPr>
              <w:t>Earnings from continuing operations before income taxes and equity in earnings of unconsolidated affiliates</w:t>
            </w:r>
          </w:p>
        </w:tc>
        <w:tc>
          <w:tcPr>
            <w:tcW w:w="1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854</w:t>
            </w:r>
          </w:p>
        </w:tc>
        <w:tc>
          <w:tcPr>
            <w:tcW w:w="0" w:type="dxa"/>
            <w:vAlign w:val="bottom"/>
          </w:tcPr>
          <w:p>
            <w:pPr>
              <w:spacing w:after="0"/>
              <w:rPr>
                <w:sz w:val="1"/>
                <w:szCs w:val="1"/>
                <w:color w:val="auto"/>
              </w:rPr>
            </w:pPr>
          </w:p>
        </w:tc>
      </w:tr>
      <w:tr>
        <w:trPr>
          <w:trHeight w:val="175"/>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w:t>
            </w:r>
          </w:p>
        </w:tc>
        <w:tc>
          <w:tcPr>
            <w:tcW w:w="18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555</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194</w:t>
            </w:r>
          </w:p>
        </w:tc>
        <w:tc>
          <w:tcPr>
            <w:tcW w:w="0" w:type="dxa"/>
            <w:vAlign w:val="bottom"/>
          </w:tcPr>
          <w:p>
            <w:pPr>
              <w:spacing w:after="0"/>
              <w:rPr>
                <w:sz w:val="1"/>
                <w:szCs w:val="1"/>
                <w:color w:val="auto"/>
              </w:rPr>
            </w:pPr>
          </w:p>
        </w:tc>
      </w:tr>
      <w:tr>
        <w:trPr>
          <w:trHeight w:val="170"/>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Earnings before equity in earnings of unconsolidated affiliates</w:t>
            </w:r>
          </w:p>
        </w:tc>
        <w:tc>
          <w:tcPr>
            <w:tcW w:w="1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w:t>
            </w:r>
          </w:p>
        </w:tc>
        <w:tc>
          <w:tcPr>
            <w:tcW w:w="0" w:type="dxa"/>
            <w:vAlign w:val="bottom"/>
          </w:tcPr>
          <w:p>
            <w:pPr>
              <w:spacing w:after="0"/>
              <w:rPr>
                <w:sz w:val="1"/>
                <w:szCs w:val="1"/>
                <w:color w:val="auto"/>
              </w:rPr>
            </w:pPr>
          </w:p>
        </w:tc>
      </w:tr>
      <w:tr>
        <w:trPr>
          <w:trHeight w:val="175"/>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Equity in earnings of unconsolidated affiliates</w:t>
            </w:r>
          </w:p>
        </w:tc>
        <w:tc>
          <w:tcPr>
            <w:tcW w:w="18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0"/>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earnings from continuing operations</w:t>
            </w:r>
          </w:p>
        </w:tc>
        <w:tc>
          <w:tcPr>
            <w:tcW w:w="1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669</w:t>
            </w:r>
          </w:p>
        </w:tc>
        <w:tc>
          <w:tcPr>
            <w:tcW w:w="0" w:type="dxa"/>
            <w:vAlign w:val="bottom"/>
          </w:tcPr>
          <w:p>
            <w:pPr>
              <w:spacing w:after="0"/>
              <w:rPr>
                <w:sz w:val="1"/>
                <w:szCs w:val="1"/>
                <w:color w:val="auto"/>
              </w:rPr>
            </w:pPr>
          </w:p>
        </w:tc>
      </w:tr>
      <w:tr>
        <w:trPr>
          <w:trHeight w:val="175"/>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(loss) earnings from discontinued operations, net of tax</w:t>
            </w:r>
          </w:p>
        </w:tc>
        <w:tc>
          <w:tcPr>
            <w:tcW w:w="18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70"/>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earnings</w:t>
            </w:r>
          </w:p>
        </w:tc>
        <w:tc>
          <w:tcPr>
            <w:tcW w:w="1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646</w:t>
            </w:r>
          </w:p>
        </w:tc>
        <w:tc>
          <w:tcPr>
            <w:tcW w:w="0" w:type="dxa"/>
            <w:vAlign w:val="bottom"/>
          </w:tcPr>
          <w:p>
            <w:pPr>
              <w:spacing w:after="0"/>
              <w:rPr>
                <w:sz w:val="1"/>
                <w:szCs w:val="1"/>
                <w:color w:val="auto"/>
              </w:rPr>
            </w:pPr>
          </w:p>
        </w:tc>
      </w:tr>
      <w:tr>
        <w:trPr>
          <w:trHeight w:val="175"/>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Net earnings attributable to non-controlling interests</w:t>
            </w:r>
          </w:p>
        </w:tc>
        <w:tc>
          <w:tcPr>
            <w:tcW w:w="18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68"/>
        </w:trPr>
        <w:tc>
          <w:tcPr>
            <w:tcW w:w="61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Net earnings attributable to Fidelity National Financial, Inc. common shareholders</w:t>
            </w:r>
          </w:p>
        </w:tc>
        <w:tc>
          <w:tcPr>
            <w:tcW w:w="206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732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4"/>
              <w:spacing w:after="0" w:line="148" w:lineRule="exact"/>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378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1,889</w:t>
            </w:r>
          </w:p>
        </w:tc>
        <w:tc>
          <w:tcPr>
            <w:tcW w:w="380" w:type="dxa"/>
            <w:vAlign w:val="bottom"/>
            <w:gridSpan w:val="3"/>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626</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Earnings per share</w:t>
            </w:r>
          </w:p>
        </w:tc>
        <w:tc>
          <w:tcPr>
            <w:tcW w:w="1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100" w:type="dxa"/>
            <w:vAlign w:val="bottom"/>
            <w:vMerge w:val="continue"/>
          </w:tcPr>
          <w:p>
            <w:pPr>
              <w:spacing w:after="0"/>
              <w:rPr>
                <w:sz w:val="10"/>
                <w:szCs w:val="10"/>
                <w:color w:val="auto"/>
              </w:rPr>
            </w:pPr>
          </w:p>
        </w:tc>
        <w:tc>
          <w:tcPr>
            <w:tcW w:w="1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Basic</w:t>
            </w:r>
          </w:p>
        </w:tc>
        <w:tc>
          <w:tcPr>
            <w:tcW w:w="1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00" w:type="dxa"/>
            <w:vAlign w:val="bottom"/>
          </w:tcPr>
          <w:p>
            <w:pPr>
              <w:ind w:left="20"/>
              <w:spacing w:after="0"/>
              <w:rPr>
                <w:sz w:val="20"/>
                <w:szCs w:val="20"/>
                <w:color w:val="auto"/>
              </w:rPr>
            </w:pPr>
            <w:r>
              <w:rPr>
                <w:rFonts w:ascii="Arial" w:cs="Arial" w:eastAsia="Arial" w:hAnsi="Arial"/>
                <w:sz w:val="13"/>
                <w:szCs w:val="13"/>
                <w:color w:val="auto"/>
              </w:rPr>
              <w:t>Net earnings per share from continuing operations attributable to common shareholders</w:t>
            </w:r>
          </w:p>
        </w:tc>
        <w:tc>
          <w:tcPr>
            <w:tcW w:w="2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2.60</w:t>
            </w:r>
          </w:p>
        </w:tc>
        <w:tc>
          <w:tcPr>
            <w:tcW w:w="80" w:type="dxa"/>
            <w:vAlign w:val="bottom"/>
          </w:tcPr>
          <w:p>
            <w:pPr>
              <w:spacing w:after="0"/>
              <w:rPr>
                <w:sz w:val="15"/>
                <w:szCs w:val="15"/>
                <w:color w:val="auto"/>
              </w:rPr>
            </w:pP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1.40</w:t>
            </w:r>
          </w:p>
        </w:tc>
        <w:tc>
          <w:tcPr>
            <w:tcW w:w="8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6.57</w:t>
            </w:r>
          </w:p>
        </w:tc>
        <w:tc>
          <w:tcPr>
            <w:tcW w:w="3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2.32</w:t>
            </w:r>
          </w:p>
        </w:tc>
        <w:tc>
          <w:tcPr>
            <w:tcW w:w="0" w:type="dxa"/>
            <w:vAlign w:val="bottom"/>
          </w:tcPr>
          <w:p>
            <w:pPr>
              <w:spacing w:after="0"/>
              <w:rPr>
                <w:sz w:val="1"/>
                <w:szCs w:val="1"/>
                <w:color w:val="auto"/>
              </w:rPr>
            </w:pPr>
          </w:p>
        </w:tc>
      </w:tr>
      <w:tr>
        <w:trPr>
          <w:trHeight w:val="177"/>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earnings per share from discontinued operations attributable to common shareholders</w:t>
            </w:r>
          </w:p>
        </w:tc>
        <w:tc>
          <w:tcPr>
            <w:tcW w:w="18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(0.10)</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(0.08)</w:t>
            </w:r>
          </w:p>
        </w:tc>
        <w:tc>
          <w:tcPr>
            <w:tcW w:w="0" w:type="dxa"/>
            <w:vAlign w:val="bottom"/>
          </w:tcPr>
          <w:p>
            <w:pPr>
              <w:spacing w:after="0"/>
              <w:rPr>
                <w:sz w:val="1"/>
                <w:szCs w:val="1"/>
                <w:color w:val="auto"/>
              </w:rPr>
            </w:pPr>
          </w:p>
        </w:tc>
      </w:tr>
      <w:tr>
        <w:trPr>
          <w:trHeight w:val="170"/>
        </w:trPr>
        <w:tc>
          <w:tcPr>
            <w:tcW w:w="6100" w:type="dxa"/>
            <w:vAlign w:val="bottom"/>
          </w:tcPr>
          <w:p>
            <w:pPr>
              <w:ind w:left="20"/>
              <w:spacing w:after="0"/>
              <w:rPr>
                <w:sz w:val="20"/>
                <w:szCs w:val="20"/>
                <w:color w:val="auto"/>
              </w:rPr>
            </w:pPr>
            <w:r>
              <w:rPr>
                <w:rFonts w:ascii="Arial" w:cs="Arial" w:eastAsia="Arial" w:hAnsi="Arial"/>
                <w:sz w:val="13"/>
                <w:szCs w:val="13"/>
                <w:color w:val="auto"/>
              </w:rPr>
              <w:t>Net earnings per share attributable to common shareholders, basic</w:t>
            </w:r>
          </w:p>
        </w:tc>
        <w:tc>
          <w:tcPr>
            <w:tcW w:w="2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2.59</w:t>
            </w:r>
          </w:p>
        </w:tc>
        <w:tc>
          <w:tcPr>
            <w:tcW w:w="80" w:type="dxa"/>
            <w:vAlign w:val="bottom"/>
          </w:tcPr>
          <w:p>
            <w:pPr>
              <w:spacing w:after="0"/>
              <w:rPr>
                <w:sz w:val="14"/>
                <w:szCs w:val="14"/>
                <w:color w:val="auto"/>
              </w:rPr>
            </w:pP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1.30</w:t>
            </w:r>
          </w:p>
        </w:tc>
        <w:tc>
          <w:tcPr>
            <w:tcW w:w="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6.60</w:t>
            </w:r>
          </w:p>
        </w:tc>
        <w:tc>
          <w:tcPr>
            <w:tcW w:w="3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2.24</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0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i w:val="1"/>
                <w:iCs w:val="1"/>
                <w:color w:val="auto"/>
              </w:rPr>
              <w:t>Diluted</w:t>
            </w:r>
          </w:p>
        </w:tc>
        <w:tc>
          <w:tcPr>
            <w:tcW w:w="1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100" w:type="dxa"/>
            <w:vAlign w:val="bottom"/>
          </w:tcPr>
          <w:p>
            <w:pPr>
              <w:ind w:left="20"/>
              <w:spacing w:after="0"/>
              <w:rPr>
                <w:sz w:val="20"/>
                <w:szCs w:val="20"/>
                <w:color w:val="auto"/>
              </w:rPr>
            </w:pPr>
            <w:r>
              <w:rPr>
                <w:rFonts w:ascii="Arial" w:cs="Arial" w:eastAsia="Arial" w:hAnsi="Arial"/>
                <w:sz w:val="13"/>
                <w:szCs w:val="13"/>
                <w:color w:val="auto"/>
              </w:rPr>
              <w:t>Net earnings per share from continuing operations attributable to common shareholders</w:t>
            </w:r>
          </w:p>
        </w:tc>
        <w:tc>
          <w:tcPr>
            <w:tcW w:w="2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2.58</w:t>
            </w:r>
          </w:p>
        </w:tc>
        <w:tc>
          <w:tcPr>
            <w:tcW w:w="80" w:type="dxa"/>
            <w:vAlign w:val="bottom"/>
          </w:tcPr>
          <w:p>
            <w:pPr>
              <w:spacing w:after="0"/>
              <w:rPr>
                <w:sz w:val="15"/>
                <w:szCs w:val="15"/>
                <w:color w:val="auto"/>
              </w:rPr>
            </w:pP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1.39</w:t>
            </w:r>
          </w:p>
        </w:tc>
        <w:tc>
          <w:tcPr>
            <w:tcW w:w="8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6.53</w:t>
            </w:r>
          </w:p>
        </w:tc>
        <w:tc>
          <w:tcPr>
            <w:tcW w:w="3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2.29</w:t>
            </w:r>
          </w:p>
        </w:tc>
        <w:tc>
          <w:tcPr>
            <w:tcW w:w="0" w:type="dxa"/>
            <w:vAlign w:val="bottom"/>
          </w:tcPr>
          <w:p>
            <w:pPr>
              <w:spacing w:after="0"/>
              <w:rPr>
                <w:sz w:val="1"/>
                <w:szCs w:val="1"/>
                <w:color w:val="auto"/>
              </w:rPr>
            </w:pPr>
          </w:p>
        </w:tc>
      </w:tr>
      <w:tr>
        <w:trPr>
          <w:trHeight w:val="177"/>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earnings per share from discontinued operations attributable to common shareholders</w:t>
            </w:r>
          </w:p>
        </w:tc>
        <w:tc>
          <w:tcPr>
            <w:tcW w:w="18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(0.10)</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(0.08)</w:t>
            </w:r>
          </w:p>
        </w:tc>
        <w:tc>
          <w:tcPr>
            <w:tcW w:w="0" w:type="dxa"/>
            <w:vAlign w:val="bottom"/>
          </w:tcPr>
          <w:p>
            <w:pPr>
              <w:spacing w:after="0"/>
              <w:rPr>
                <w:sz w:val="1"/>
                <w:szCs w:val="1"/>
                <w:color w:val="auto"/>
              </w:rPr>
            </w:pPr>
          </w:p>
        </w:tc>
      </w:tr>
      <w:tr>
        <w:trPr>
          <w:trHeight w:val="170"/>
        </w:trPr>
        <w:tc>
          <w:tcPr>
            <w:tcW w:w="6100" w:type="dxa"/>
            <w:vAlign w:val="bottom"/>
          </w:tcPr>
          <w:p>
            <w:pPr>
              <w:ind w:left="20"/>
              <w:spacing w:after="0"/>
              <w:rPr>
                <w:sz w:val="20"/>
                <w:szCs w:val="20"/>
                <w:color w:val="auto"/>
              </w:rPr>
            </w:pPr>
            <w:r>
              <w:rPr>
                <w:rFonts w:ascii="Arial" w:cs="Arial" w:eastAsia="Arial" w:hAnsi="Arial"/>
                <w:sz w:val="13"/>
                <w:szCs w:val="13"/>
                <w:color w:val="auto"/>
              </w:rPr>
              <w:t>Net earnings per share attributable to common shareholders, diluted</w:t>
            </w:r>
          </w:p>
        </w:tc>
        <w:tc>
          <w:tcPr>
            <w:tcW w:w="2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2.57</w:t>
            </w:r>
          </w:p>
        </w:tc>
        <w:tc>
          <w:tcPr>
            <w:tcW w:w="80" w:type="dxa"/>
            <w:vAlign w:val="bottom"/>
          </w:tcPr>
          <w:p>
            <w:pPr>
              <w:spacing w:after="0"/>
              <w:rPr>
                <w:sz w:val="14"/>
                <w:szCs w:val="14"/>
                <w:color w:val="auto"/>
              </w:rPr>
            </w:pP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1.29</w:t>
            </w:r>
          </w:p>
        </w:tc>
        <w:tc>
          <w:tcPr>
            <w:tcW w:w="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6.56</w:t>
            </w:r>
          </w:p>
        </w:tc>
        <w:tc>
          <w:tcPr>
            <w:tcW w:w="3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2.21</w:t>
            </w:r>
          </w:p>
        </w:tc>
        <w:tc>
          <w:tcPr>
            <w:tcW w:w="0" w:type="dxa"/>
            <w:vAlign w:val="bottom"/>
          </w:tcPr>
          <w:p>
            <w:pPr>
              <w:spacing w:after="0"/>
              <w:rPr>
                <w:sz w:val="1"/>
                <w:szCs w:val="1"/>
                <w:color w:val="auto"/>
              </w:rPr>
            </w:pPr>
          </w:p>
        </w:tc>
      </w:tr>
      <w:tr>
        <w:trPr>
          <w:trHeight w:val="75"/>
        </w:trPr>
        <w:tc>
          <w:tcPr>
            <w:tcW w:w="6100" w:type="dxa"/>
            <w:vAlign w:val="bottom"/>
            <w:tcBorders>
              <w:bottom w:val="single" w:sz="8" w:color="CCEEFF"/>
            </w:tcBorders>
          </w:tcPr>
          <w:p>
            <w:pPr>
              <w:spacing w:after="0"/>
              <w:rPr>
                <w:sz w:val="6"/>
                <w:szCs w:val="6"/>
                <w:color w:val="auto"/>
              </w:rPr>
            </w:pPr>
          </w:p>
        </w:tc>
        <w:tc>
          <w:tcPr>
            <w:tcW w:w="1880" w:type="dxa"/>
            <w:vAlign w:val="bottom"/>
            <w:tcBorders>
              <w:bottom w:val="single" w:sz="8" w:color="CCEEFF"/>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0" w:type="dxa"/>
            <w:vAlign w:val="bottom"/>
            <w:tcBorders>
              <w:top w:val="single" w:sz="8" w:color="auto"/>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5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100" w:type="dxa"/>
            <w:vAlign w:val="bottom"/>
            <w:tcBorders>
              <w:top w:val="single" w:sz="8" w:color="CCEEFF"/>
            </w:tcBorders>
          </w:tcPr>
          <w:p>
            <w:pPr>
              <w:ind w:left="20"/>
              <w:spacing w:after="0"/>
              <w:rPr>
                <w:sz w:val="20"/>
                <w:szCs w:val="20"/>
                <w:color w:val="auto"/>
              </w:rPr>
            </w:pPr>
            <w:r>
              <w:rPr>
                <w:rFonts w:ascii="Arial" w:cs="Arial" w:eastAsia="Arial" w:hAnsi="Arial"/>
                <w:sz w:val="13"/>
                <w:szCs w:val="13"/>
                <w:color w:val="auto"/>
              </w:rPr>
              <w:t>Weighted average common shares outstanding - basic</w:t>
            </w:r>
          </w:p>
        </w:tc>
        <w:tc>
          <w:tcPr>
            <w:tcW w:w="1880" w:type="dxa"/>
            <w:vAlign w:val="bottom"/>
            <w:tcBorders>
              <w:top w:val="single" w:sz="8" w:color="CCEEFF"/>
            </w:tcBorders>
          </w:tcPr>
          <w:p>
            <w:pPr>
              <w:spacing w:after="0"/>
              <w:rPr>
                <w:sz w:val="15"/>
                <w:szCs w:val="15"/>
                <w:color w:val="auto"/>
              </w:rPr>
            </w:pPr>
          </w:p>
        </w:tc>
        <w:tc>
          <w:tcPr>
            <w:tcW w:w="180" w:type="dxa"/>
            <w:vAlign w:val="bottom"/>
            <w:tcBorders>
              <w:top w:val="single" w:sz="8" w:color="CCEEFF"/>
              <w:bottom w:val="single" w:sz="8" w:color="auto"/>
            </w:tcBorders>
          </w:tcPr>
          <w:p>
            <w:pPr>
              <w:spacing w:after="0"/>
              <w:rPr>
                <w:sz w:val="15"/>
                <w:szCs w:val="15"/>
                <w:color w:val="auto"/>
              </w:rPr>
            </w:pPr>
          </w:p>
        </w:tc>
        <w:tc>
          <w:tcPr>
            <w:tcW w:w="6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3"/>
                <w:szCs w:val="13"/>
                <w:color w:val="auto"/>
              </w:rPr>
              <w:t>283</w:t>
            </w:r>
          </w:p>
        </w:tc>
        <w:tc>
          <w:tcPr>
            <w:tcW w:w="80" w:type="dxa"/>
            <w:vAlign w:val="bottom"/>
            <w:tcBorders>
              <w:top w:val="single" w:sz="8" w:color="CCEEFF"/>
            </w:tcBorders>
          </w:tcPr>
          <w:p>
            <w:pPr>
              <w:spacing w:after="0"/>
              <w:rPr>
                <w:sz w:val="15"/>
                <w:szCs w:val="15"/>
                <w:color w:val="auto"/>
              </w:rPr>
            </w:pPr>
          </w:p>
        </w:tc>
        <w:tc>
          <w:tcPr>
            <w:tcW w:w="260" w:type="dxa"/>
            <w:vAlign w:val="bottom"/>
            <w:tcBorders>
              <w:top w:val="single" w:sz="8" w:color="CCEEFF"/>
              <w:bottom w:val="single" w:sz="8" w:color="auto"/>
            </w:tcBorders>
          </w:tcPr>
          <w:p>
            <w:pPr>
              <w:spacing w:after="0"/>
              <w:rPr>
                <w:sz w:val="15"/>
                <w:szCs w:val="15"/>
                <w:color w:val="auto"/>
              </w:rPr>
            </w:pPr>
          </w:p>
        </w:tc>
        <w:tc>
          <w:tcPr>
            <w:tcW w:w="5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3"/>
                <w:szCs w:val="13"/>
                <w:color w:val="auto"/>
              </w:rPr>
              <w:t>291</w:t>
            </w: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CCEEFF"/>
              <w:bottom w:val="single" w:sz="8" w:color="auto"/>
            </w:tcBorders>
          </w:tcPr>
          <w:p>
            <w:pPr>
              <w:spacing w:after="0"/>
              <w:rPr>
                <w:sz w:val="15"/>
                <w:szCs w:val="15"/>
                <w:color w:val="auto"/>
              </w:rPr>
            </w:pPr>
          </w:p>
        </w:tc>
        <w:tc>
          <w:tcPr>
            <w:tcW w:w="5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3"/>
                <w:szCs w:val="13"/>
                <w:color w:val="auto"/>
              </w:rPr>
              <w:t>286</w:t>
            </w:r>
          </w:p>
        </w:tc>
        <w:tc>
          <w:tcPr>
            <w:tcW w:w="40" w:type="dxa"/>
            <w:vAlign w:val="bottom"/>
            <w:tcBorders>
              <w:top w:val="single" w:sz="8" w:color="CCEEFF"/>
              <w:bottom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60" w:type="dxa"/>
            <w:vAlign w:val="bottom"/>
            <w:tcBorders>
              <w:top w:val="single" w:sz="8" w:color="CCEEFF"/>
              <w:bottom w:val="single" w:sz="8" w:color="auto"/>
            </w:tcBorders>
          </w:tcPr>
          <w:p>
            <w:pPr>
              <w:spacing w:after="0"/>
              <w:rPr>
                <w:sz w:val="15"/>
                <w:szCs w:val="15"/>
                <w:color w:val="auto"/>
              </w:rPr>
            </w:pPr>
          </w:p>
        </w:tc>
        <w:tc>
          <w:tcPr>
            <w:tcW w:w="5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3"/>
                <w:szCs w:val="13"/>
                <w:color w:val="auto"/>
              </w:rPr>
              <w:t>280</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Weighted average common shares outstanding - diluted</w:t>
            </w:r>
          </w:p>
        </w:tc>
        <w:tc>
          <w:tcPr>
            <w:tcW w:w="18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293</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4060"/>
              <w:spacing w:after="0"/>
              <w:rPr>
                <w:sz w:val="20"/>
                <w:szCs w:val="20"/>
                <w:color w:val="auto"/>
              </w:rPr>
            </w:pPr>
            <w:r>
              <w:rPr>
                <w:rFonts w:ascii="Arial" w:cs="Arial" w:eastAsia="Arial" w:hAnsi="Arial"/>
                <w:sz w:val="13"/>
                <w:szCs w:val="13"/>
                <w:color w:val="auto"/>
                <w:w w:val="86"/>
              </w:rPr>
              <w:t>See Notes to Condensed Consolidated</w:t>
            </w:r>
            <w:r>
              <w:rPr>
                <w:rFonts w:ascii="Arial" w:cs="Arial" w:eastAsia="Arial" w:hAnsi="Arial"/>
                <w:sz w:val="14"/>
                <w:szCs w:val="14"/>
                <w:color w:val="auto"/>
                <w:w w:val="86"/>
              </w:rPr>
              <w:t>4</w:t>
            </w:r>
          </w:p>
        </w:tc>
        <w:tc>
          <w:tcPr>
            <w:tcW w:w="1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6100" w:type="dxa"/>
            <w:vAlign w:val="bottom"/>
            <w:vMerge w:val="continue"/>
          </w:tcPr>
          <w:p>
            <w:pPr>
              <w:spacing w:after="0"/>
              <w:rPr>
                <w:sz w:val="24"/>
                <w:szCs w:val="24"/>
                <w:color w:val="auto"/>
              </w:rPr>
            </w:pPr>
          </w:p>
        </w:tc>
        <w:tc>
          <w:tcPr>
            <w:tcW w:w="2060" w:type="dxa"/>
            <w:vAlign w:val="bottom"/>
            <w:gridSpan w:val="2"/>
          </w:tcPr>
          <w:p>
            <w:pPr>
              <w:jc w:val="right"/>
              <w:ind w:right="940"/>
              <w:spacing w:after="0"/>
              <w:rPr>
                <w:sz w:val="20"/>
                <w:szCs w:val="20"/>
                <w:color w:val="auto"/>
              </w:rPr>
            </w:pPr>
            <w:r>
              <w:rPr>
                <w:rFonts w:ascii="Arial" w:cs="Arial" w:eastAsia="Arial" w:hAnsi="Arial"/>
                <w:sz w:val="13"/>
                <w:szCs w:val="13"/>
                <w:color w:val="auto"/>
                <w:w w:val="90"/>
              </w:rPr>
              <w:t>Financial Statements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6100" w:type="dxa"/>
            <w:vAlign w:val="bottom"/>
            <w:tcBorders>
              <w:bottom w:val="single" w:sz="8" w:color="9A9A9A"/>
            </w:tcBorders>
          </w:tcPr>
          <w:p>
            <w:pPr>
              <w:spacing w:after="0"/>
              <w:rPr>
                <w:sz w:val="7"/>
                <w:szCs w:val="7"/>
                <w:color w:val="auto"/>
              </w:rPr>
            </w:pPr>
          </w:p>
        </w:tc>
        <w:tc>
          <w:tcPr>
            <w:tcW w:w="18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7143115</wp:posOffset>
            </wp:positionH>
            <wp:positionV relativeFrom="paragraph">
              <wp:posOffset>-26035</wp:posOffset>
            </wp:positionV>
            <wp:extent cx="32385"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 w:name="page7"/>
    <w:bookmarkEnd w:id="6"/>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FIDELITY NATIONAL FINANCIAL,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COMPREHENSIVE EARNINGS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660" w:type="dxa"/>
            <w:vAlign w:val="bottom"/>
          </w:tcPr>
          <w:p>
            <w:pPr>
              <w:spacing w:after="0"/>
              <w:rPr>
                <w:sz w:val="12"/>
                <w:szCs w:val="12"/>
                <w:color w:val="auto"/>
              </w:rPr>
            </w:pPr>
          </w:p>
        </w:tc>
        <w:tc>
          <w:tcPr>
            <w:tcW w:w="1860" w:type="dxa"/>
            <w:vAlign w:val="bottom"/>
            <w:gridSpan w:val="7"/>
          </w:tcPr>
          <w:p>
            <w:pPr>
              <w:jc w:val="center"/>
              <w:ind w:right="100"/>
              <w:spacing w:after="0"/>
              <w:rPr>
                <w:sz w:val="20"/>
                <w:szCs w:val="20"/>
                <w:color w:val="auto"/>
              </w:rPr>
            </w:pPr>
            <w:r>
              <w:rPr>
                <w:rFonts w:ascii="Arial" w:cs="Arial" w:eastAsia="Arial" w:hAnsi="Arial"/>
                <w:sz w:val="12"/>
                <w:szCs w:val="12"/>
                <w:b w:val="1"/>
                <w:bCs w:val="1"/>
                <w:color w:val="auto"/>
                <w:w w:val="87"/>
              </w:rPr>
              <w:t>Three months ended September</w:t>
            </w:r>
          </w:p>
        </w:tc>
        <w:tc>
          <w:tcPr>
            <w:tcW w:w="1760" w:type="dxa"/>
            <w:vAlign w:val="bottom"/>
            <w:gridSpan w:val="5"/>
            <w:vMerge w:val="restart"/>
          </w:tcPr>
          <w:p>
            <w:pPr>
              <w:ind w:left="20"/>
              <w:spacing w:after="0"/>
              <w:rPr>
                <w:sz w:val="20"/>
                <w:szCs w:val="20"/>
                <w:color w:val="auto"/>
              </w:rPr>
            </w:pPr>
            <w:r>
              <w:rPr>
                <w:rFonts w:ascii="Arial" w:cs="Arial" w:eastAsia="Arial" w:hAnsi="Arial"/>
                <w:sz w:val="12"/>
                <w:szCs w:val="12"/>
                <w:b w:val="1"/>
                <w:bCs w:val="1"/>
                <w:color w:val="auto"/>
                <w:w w:val="87"/>
              </w:rPr>
              <w:t>Nine months ended September 30,</w:t>
            </w:r>
          </w:p>
        </w:tc>
        <w:tc>
          <w:tcPr>
            <w:tcW w:w="0" w:type="dxa"/>
            <w:vAlign w:val="bottom"/>
          </w:tcPr>
          <w:p>
            <w:pPr>
              <w:spacing w:after="0"/>
              <w:rPr>
                <w:sz w:val="1"/>
                <w:szCs w:val="1"/>
                <w:color w:val="auto"/>
              </w:rPr>
            </w:pPr>
          </w:p>
        </w:tc>
      </w:tr>
      <w:tr>
        <w:trPr>
          <w:trHeight w:val="153"/>
        </w:trPr>
        <w:tc>
          <w:tcPr>
            <w:tcW w:w="76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2"/>
                <w:szCs w:val="12"/>
                <w:b w:val="1"/>
                <w:bCs w:val="1"/>
                <w:color w:val="auto"/>
                <w:w w:val="83"/>
              </w:rPr>
              <w:t>30,</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auto"/>
            </w:tcBorders>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660" w:type="dxa"/>
            <w:vAlign w:val="bottom"/>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28"/>
              <w:spacing w:after="0"/>
              <w:rPr>
                <w:sz w:val="20"/>
                <w:szCs w:val="20"/>
                <w:color w:val="auto"/>
              </w:rPr>
            </w:pPr>
            <w:r>
              <w:rPr>
                <w:rFonts w:ascii="Arial" w:cs="Arial" w:eastAsia="Arial" w:hAnsi="Arial"/>
                <w:sz w:val="12"/>
                <w:szCs w:val="12"/>
                <w:b w:val="1"/>
                <w:bCs w:val="1"/>
                <w:color w:val="auto"/>
                <w:w w:val="82"/>
              </w:rPr>
              <w:t>2020</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29"/>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28"/>
              <w:spacing w:after="0"/>
              <w:rPr>
                <w:sz w:val="20"/>
                <w:szCs w:val="20"/>
                <w:color w:val="auto"/>
              </w:rPr>
            </w:pPr>
            <w:r>
              <w:rPr>
                <w:rFonts w:ascii="Arial" w:cs="Arial" w:eastAsia="Arial" w:hAnsi="Arial"/>
                <w:sz w:val="12"/>
                <w:szCs w:val="12"/>
                <w:b w:val="1"/>
                <w:bCs w:val="1"/>
                <w:color w:val="auto"/>
                <w:w w:val="89"/>
              </w:rPr>
              <w:t>2020</w:t>
            </w:r>
          </w:p>
        </w:tc>
        <w:tc>
          <w:tcPr>
            <w:tcW w:w="0" w:type="dxa"/>
            <w:vAlign w:val="bottom"/>
          </w:tcPr>
          <w:p>
            <w:pPr>
              <w:spacing w:after="0"/>
              <w:rPr>
                <w:sz w:val="1"/>
                <w:szCs w:val="1"/>
                <w:color w:val="auto"/>
              </w:rPr>
            </w:pPr>
          </w:p>
        </w:tc>
      </w:tr>
      <w:tr>
        <w:trPr>
          <w:trHeight w:val="146"/>
        </w:trPr>
        <w:tc>
          <w:tcPr>
            <w:tcW w:w="7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4"/>
          </w:tcPr>
          <w:p>
            <w:pPr>
              <w:jc w:val="center"/>
              <w:spacing w:after="0"/>
              <w:rPr>
                <w:sz w:val="20"/>
                <w:szCs w:val="20"/>
                <w:color w:val="auto"/>
              </w:rPr>
            </w:pPr>
            <w:r>
              <w:rPr>
                <w:rFonts w:ascii="Arial" w:cs="Arial" w:eastAsia="Arial" w:hAnsi="Arial"/>
                <w:sz w:val="12"/>
                <w:szCs w:val="12"/>
                <w:b w:val="1"/>
                <w:bCs w:val="1"/>
                <w:color w:val="auto"/>
                <w:w w:val="92"/>
              </w:rPr>
              <w:t>(Unaudited)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jc w:val="right"/>
              <w:spacing w:after="0"/>
              <w:rPr>
                <w:sz w:val="20"/>
                <w:szCs w:val="20"/>
                <w:color w:val="auto"/>
              </w:rPr>
            </w:pPr>
            <w:r>
              <w:rPr>
                <w:rFonts w:ascii="Arial" w:cs="Arial" w:eastAsia="Arial" w:hAnsi="Arial"/>
                <w:sz w:val="12"/>
                <w:szCs w:val="12"/>
                <w:b w:val="1"/>
                <w:bCs w:val="1"/>
                <w:color w:val="auto"/>
              </w:rPr>
              <w:t>(Unaudited)</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earnings</w:t>
            </w:r>
          </w:p>
        </w:tc>
        <w:tc>
          <w:tcPr>
            <w:tcW w:w="540" w:type="dxa"/>
            <w:vAlign w:val="bottom"/>
            <w:shd w:val="clear" w:color="auto" w:fill="CCEEFF"/>
          </w:tcPr>
          <w:p>
            <w:pPr>
              <w:jc w:val="right"/>
              <w:ind w:right="374"/>
              <w:spacing w:after="0"/>
              <w:rPr>
                <w:sz w:val="20"/>
                <w:szCs w:val="20"/>
                <w:color w:val="auto"/>
              </w:rPr>
            </w:pPr>
            <w:r>
              <w:rPr>
                <w:rFonts w:ascii="Arial" w:cs="Arial" w:eastAsia="Arial" w:hAnsi="Arial"/>
                <w:sz w:val="15"/>
                <w:szCs w:val="15"/>
                <w:color w:val="auto"/>
                <w:w w:val="95"/>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737</w:t>
            </w:r>
          </w:p>
        </w:tc>
        <w:tc>
          <w:tcPr>
            <w:tcW w:w="40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646</w:t>
            </w:r>
          </w:p>
        </w:tc>
        <w:tc>
          <w:tcPr>
            <w:tcW w:w="0" w:type="dxa"/>
            <w:vAlign w:val="bottom"/>
          </w:tcPr>
          <w:p>
            <w:pPr>
              <w:spacing w:after="0"/>
              <w:rPr>
                <w:sz w:val="1"/>
                <w:szCs w:val="1"/>
                <w:color w:val="auto"/>
              </w:rPr>
            </w:pPr>
          </w:p>
        </w:tc>
      </w:tr>
      <w:tr>
        <w:trPr>
          <w:trHeight w:val="188"/>
        </w:trPr>
        <w:tc>
          <w:tcPr>
            <w:tcW w:w="7660" w:type="dxa"/>
            <w:vAlign w:val="bottom"/>
          </w:tcPr>
          <w:p>
            <w:pPr>
              <w:ind w:left="20"/>
              <w:spacing w:after="0"/>
              <w:rPr>
                <w:sz w:val="20"/>
                <w:szCs w:val="20"/>
                <w:color w:val="auto"/>
              </w:rPr>
            </w:pPr>
            <w:r>
              <w:rPr>
                <w:rFonts w:ascii="Arial" w:cs="Arial" w:eastAsia="Arial" w:hAnsi="Arial"/>
                <w:sz w:val="15"/>
                <w:szCs w:val="15"/>
                <w:color w:val="auto"/>
              </w:rPr>
              <w:t>Other comprehensive earnings (loss):</w:t>
            </w: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7660" w:type="dxa"/>
            <w:vAlign w:val="bottom"/>
            <w:shd w:val="clear" w:color="auto" w:fill="CCEEFF"/>
          </w:tcPr>
          <w:p>
            <w:pPr>
              <w:ind w:left="180"/>
              <w:spacing w:after="0" w:line="144" w:lineRule="exact"/>
              <w:rPr>
                <w:sz w:val="20"/>
                <w:szCs w:val="20"/>
                <w:color w:val="auto"/>
              </w:rPr>
            </w:pPr>
            <w:r>
              <w:rPr>
                <w:rFonts w:ascii="Arial" w:cs="Arial" w:eastAsia="Arial" w:hAnsi="Arial"/>
                <w:sz w:val="15"/>
                <w:szCs w:val="15"/>
                <w:color w:val="auto"/>
                <w:w w:val="91"/>
              </w:rPr>
              <w:t>Unrealized gain (loss) on investments and other financial instruments, net of adjustments to intangible assets and unearned</w:t>
            </w:r>
          </w:p>
        </w:tc>
        <w:tc>
          <w:tcPr>
            <w:tcW w:w="54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7"/>
              </w:rPr>
              <w:t>(65)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(232)</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683</w:t>
            </w:r>
          </w:p>
        </w:tc>
        <w:tc>
          <w:tcPr>
            <w:tcW w:w="0" w:type="dxa"/>
            <w:vAlign w:val="bottom"/>
          </w:tcPr>
          <w:p>
            <w:pPr>
              <w:spacing w:after="0"/>
              <w:rPr>
                <w:sz w:val="1"/>
                <w:szCs w:val="1"/>
                <w:color w:val="auto"/>
              </w:rPr>
            </w:pPr>
          </w:p>
        </w:tc>
      </w:tr>
      <w:tr>
        <w:trPr>
          <w:trHeight w:val="187"/>
        </w:trPr>
        <w:tc>
          <w:tcPr>
            <w:tcW w:w="76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revenue (excluding investments in unconsolidated affiliates) (1)</w:t>
            </w:r>
          </w:p>
        </w:tc>
        <w:tc>
          <w:tcPr>
            <w:tcW w:w="54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660" w:type="dxa"/>
            <w:vAlign w:val="bottom"/>
          </w:tcPr>
          <w:p>
            <w:pPr>
              <w:ind w:left="180"/>
              <w:spacing w:after="0"/>
              <w:rPr>
                <w:sz w:val="20"/>
                <w:szCs w:val="20"/>
                <w:color w:val="auto"/>
              </w:rPr>
            </w:pPr>
            <w:r>
              <w:rPr>
                <w:rFonts w:ascii="Arial" w:cs="Arial" w:eastAsia="Arial" w:hAnsi="Arial"/>
                <w:sz w:val="15"/>
                <w:szCs w:val="15"/>
                <w:color w:val="auto"/>
              </w:rPr>
              <w:t>Unrealized gain (loss) on investments in unconsolidated affiliates (2)</w:t>
            </w:r>
          </w:p>
        </w:tc>
        <w:tc>
          <w:tcPr>
            <w:tcW w:w="5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88"/>
        </w:trPr>
        <w:tc>
          <w:tcPr>
            <w:tcW w:w="76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Unrealized (loss) gain on foreign currency translation (3)</w:t>
            </w: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88"/>
        </w:trPr>
        <w:tc>
          <w:tcPr>
            <w:tcW w:w="7660" w:type="dxa"/>
            <w:vAlign w:val="bottom"/>
          </w:tcPr>
          <w:p>
            <w:pPr>
              <w:ind w:left="180"/>
              <w:spacing w:after="0"/>
              <w:rPr>
                <w:sz w:val="20"/>
                <w:szCs w:val="20"/>
                <w:color w:val="auto"/>
              </w:rPr>
            </w:pPr>
            <w:r>
              <w:rPr>
                <w:rFonts w:ascii="Arial" w:cs="Arial" w:eastAsia="Arial" w:hAnsi="Arial"/>
                <w:sz w:val="15"/>
                <w:szCs w:val="15"/>
                <w:color w:val="auto"/>
              </w:rPr>
              <w:t>Reclassification adjustments for change in unrealized gains and losses included in net earnings (4)</w:t>
            </w:r>
          </w:p>
        </w:tc>
        <w:tc>
          <w:tcPr>
            <w:tcW w:w="5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w w:val="97"/>
              </w:rPr>
              <w:t>(30)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(82)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88"/>
        </w:trPr>
        <w:tc>
          <w:tcPr>
            <w:tcW w:w="766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9"/>
              </w:rPr>
              <w:t>Change in reinsurance liabilities held at fair value resulting from a change in the instrument-specific credit risk (5)</w:t>
            </w:r>
          </w:p>
        </w:tc>
        <w:tc>
          <w:tcPr>
            <w:tcW w:w="54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9"/>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comprehensive (loss) earnings</w:t>
            </w:r>
          </w:p>
        </w:tc>
        <w:tc>
          <w:tcPr>
            <w:tcW w:w="5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7"/>
              </w:rPr>
              <w:t>(89)</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677</w:t>
            </w:r>
          </w:p>
        </w:tc>
        <w:tc>
          <w:tcPr>
            <w:tcW w:w="0" w:type="dxa"/>
            <w:vAlign w:val="bottom"/>
          </w:tcPr>
          <w:p>
            <w:pPr>
              <w:spacing w:after="0"/>
              <w:rPr>
                <w:sz w:val="1"/>
                <w:szCs w:val="1"/>
                <w:color w:val="auto"/>
              </w:rPr>
            </w:pPr>
          </w:p>
        </w:tc>
      </w:tr>
      <w:tr>
        <w:trPr>
          <w:trHeight w:val="179"/>
        </w:trPr>
        <w:tc>
          <w:tcPr>
            <w:tcW w:w="7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Comprehensive earnings</w:t>
            </w:r>
          </w:p>
        </w:tc>
        <w:tc>
          <w:tcPr>
            <w:tcW w:w="54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648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1,323</w:t>
            </w:r>
          </w:p>
        </w:tc>
        <w:tc>
          <w:tcPr>
            <w:tcW w:w="0" w:type="dxa"/>
            <w:vAlign w:val="bottom"/>
          </w:tcPr>
          <w:p>
            <w:pPr>
              <w:spacing w:after="0"/>
              <w:rPr>
                <w:sz w:val="1"/>
                <w:szCs w:val="1"/>
                <w:color w:val="auto"/>
              </w:rPr>
            </w:pPr>
          </w:p>
        </w:tc>
      </w:tr>
      <w:tr>
        <w:trPr>
          <w:trHeight w:val="188"/>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Comprehensive earnings attributable to non-controlling interests</w:t>
            </w:r>
          </w:p>
        </w:tc>
        <w:tc>
          <w:tcPr>
            <w:tcW w:w="5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99"/>
        </w:trPr>
        <w:tc>
          <w:tcPr>
            <w:tcW w:w="7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Comprehensive earnings attributable to Fidelity National Financial, Inc. common shareholders</w:t>
            </w:r>
          </w:p>
        </w:tc>
        <w:tc>
          <w:tcPr>
            <w:tcW w:w="540" w:type="dxa"/>
            <w:vAlign w:val="bottom"/>
            <w:shd w:val="clear" w:color="auto" w:fill="CCEEFF"/>
          </w:tcPr>
          <w:p>
            <w:pPr>
              <w:jc w:val="right"/>
              <w:ind w:right="374"/>
              <w:spacing w:after="0"/>
              <w:rPr>
                <w:sz w:val="20"/>
                <w:szCs w:val="20"/>
                <w:color w:val="auto"/>
              </w:rPr>
            </w:pPr>
            <w:r>
              <w:rPr>
                <w:rFonts w:ascii="Arial" w:cs="Arial" w:eastAsia="Arial" w:hAnsi="Arial"/>
                <w:sz w:val="15"/>
                <w:szCs w:val="15"/>
                <w:color w:val="auto"/>
                <w:w w:val="95"/>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643</w:t>
            </w:r>
          </w:p>
        </w:tc>
        <w:tc>
          <w:tcPr>
            <w:tcW w:w="40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1,303</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w:t>
      </w:r>
    </w:p>
    <w:p>
      <w:pPr>
        <w:spacing w:after="0" w:line="48" w:lineRule="exact"/>
        <w:rPr>
          <w:sz w:val="20"/>
          <w:szCs w:val="20"/>
          <w:color w:val="auto"/>
        </w:rPr>
      </w:pPr>
    </w:p>
    <w:p>
      <w:pPr>
        <w:ind w:left="800" w:hanging="792"/>
        <w:spacing w:after="0" w:line="266" w:lineRule="auto"/>
        <w:tabs>
          <w:tab w:leader="none" w:pos="795" w:val="left"/>
        </w:tabs>
        <w:numPr>
          <w:ilvl w:val="0"/>
          <w:numId w:val="3"/>
        </w:numPr>
        <w:rPr>
          <w:rFonts w:ascii="Arial" w:cs="Arial" w:eastAsia="Arial" w:hAnsi="Arial"/>
          <w:sz w:val="15"/>
          <w:szCs w:val="15"/>
          <w:color w:val="auto"/>
        </w:rPr>
      </w:pPr>
      <w:r>
        <w:rPr>
          <w:rFonts w:ascii="Arial" w:cs="Arial" w:eastAsia="Arial" w:hAnsi="Arial"/>
          <w:sz w:val="15"/>
          <w:szCs w:val="15"/>
          <w:color w:val="auto"/>
        </w:rPr>
        <w:t>Net of income tax (benefit) expense of $(18) million and $81 million for the three-month periods ended September 30, 2021 and 2020, respectively, and $(64) million and $183 million for the nine-month periods ended September 30, 2021 and 2020, respectively.</w:t>
      </w:r>
    </w:p>
    <w:p>
      <w:pPr>
        <w:spacing w:after="0" w:line="103" w:lineRule="exact"/>
        <w:rPr>
          <w:rFonts w:ascii="Arial" w:cs="Arial" w:eastAsia="Arial" w:hAnsi="Arial"/>
          <w:sz w:val="15"/>
          <w:szCs w:val="15"/>
          <w:color w:val="auto"/>
        </w:rPr>
      </w:pPr>
    </w:p>
    <w:p>
      <w:pPr>
        <w:ind w:left="800" w:hanging="792"/>
        <w:spacing w:after="0" w:line="266" w:lineRule="auto"/>
        <w:tabs>
          <w:tab w:leader="none" w:pos="795" w:val="left"/>
        </w:tabs>
        <w:numPr>
          <w:ilvl w:val="0"/>
          <w:numId w:val="3"/>
        </w:numPr>
        <w:rPr>
          <w:rFonts w:ascii="Arial" w:cs="Arial" w:eastAsia="Arial" w:hAnsi="Arial"/>
          <w:sz w:val="15"/>
          <w:szCs w:val="15"/>
          <w:color w:val="auto"/>
        </w:rPr>
      </w:pPr>
      <w:r>
        <w:rPr>
          <w:rFonts w:ascii="Arial" w:cs="Arial" w:eastAsia="Arial" w:hAnsi="Arial"/>
          <w:sz w:val="15"/>
          <w:szCs w:val="15"/>
          <w:color w:val="auto"/>
        </w:rPr>
        <w:t>Net of income tax expense (benefit) of $3 million and $(1) million for the three-month periods ended September 30, 2021 and 2020, respectively, and $5 million and $1 million for the nine-month periods ended September 30, 2021 and 2020, respectively.</w:t>
      </w:r>
    </w:p>
    <w:p>
      <w:pPr>
        <w:spacing w:after="0" w:line="103" w:lineRule="exact"/>
        <w:rPr>
          <w:rFonts w:ascii="Arial" w:cs="Arial" w:eastAsia="Arial" w:hAnsi="Arial"/>
          <w:sz w:val="15"/>
          <w:szCs w:val="15"/>
          <w:color w:val="auto"/>
        </w:rPr>
      </w:pPr>
    </w:p>
    <w:p>
      <w:pPr>
        <w:ind w:left="800" w:hanging="792"/>
        <w:spacing w:after="0" w:line="266" w:lineRule="auto"/>
        <w:tabs>
          <w:tab w:leader="none" w:pos="795" w:val="left"/>
        </w:tabs>
        <w:numPr>
          <w:ilvl w:val="0"/>
          <w:numId w:val="3"/>
        </w:numPr>
        <w:rPr>
          <w:rFonts w:ascii="Arial" w:cs="Arial" w:eastAsia="Arial" w:hAnsi="Arial"/>
          <w:sz w:val="15"/>
          <w:szCs w:val="15"/>
          <w:color w:val="auto"/>
        </w:rPr>
      </w:pPr>
      <w:r>
        <w:rPr>
          <w:rFonts w:ascii="Arial" w:cs="Arial" w:eastAsia="Arial" w:hAnsi="Arial"/>
          <w:sz w:val="15"/>
          <w:szCs w:val="15"/>
          <w:color w:val="auto"/>
        </w:rPr>
        <w:t>Net of income tax (benefit) expense of less than $(1) million and $2 million for the three-month periods ended September 30, 2021 and 2020, respectively and less than $1 million for the nine-month periods ended September 30, 2021 and 2020.</w:t>
      </w:r>
    </w:p>
    <w:p>
      <w:pPr>
        <w:spacing w:after="0" w:line="103" w:lineRule="exact"/>
        <w:rPr>
          <w:rFonts w:ascii="Arial" w:cs="Arial" w:eastAsia="Arial" w:hAnsi="Arial"/>
          <w:sz w:val="15"/>
          <w:szCs w:val="15"/>
          <w:color w:val="auto"/>
        </w:rPr>
      </w:pPr>
    </w:p>
    <w:p>
      <w:pPr>
        <w:ind w:left="800" w:right="20" w:hanging="792"/>
        <w:spacing w:after="0" w:line="266" w:lineRule="auto"/>
        <w:tabs>
          <w:tab w:leader="none" w:pos="795" w:val="left"/>
        </w:tabs>
        <w:numPr>
          <w:ilvl w:val="0"/>
          <w:numId w:val="3"/>
        </w:numPr>
        <w:rPr>
          <w:rFonts w:ascii="Arial" w:cs="Arial" w:eastAsia="Arial" w:hAnsi="Arial"/>
          <w:sz w:val="15"/>
          <w:szCs w:val="15"/>
          <w:color w:val="auto"/>
        </w:rPr>
      </w:pPr>
      <w:r>
        <w:rPr>
          <w:rFonts w:ascii="Arial" w:cs="Arial" w:eastAsia="Arial" w:hAnsi="Arial"/>
          <w:sz w:val="15"/>
          <w:szCs w:val="15"/>
          <w:color w:val="auto"/>
        </w:rPr>
        <w:t>Net of income tax expense of $9 million and $3 million for the three-month periods ended September 30, 2021 and 2020, respectively, and $22 million and $3 million for the nine-month periods ended September 30, 2021 and 2020, respectively.</w:t>
      </w:r>
    </w:p>
    <w:p>
      <w:pPr>
        <w:spacing w:after="0" w:line="103" w:lineRule="exact"/>
        <w:rPr>
          <w:rFonts w:ascii="Arial" w:cs="Arial" w:eastAsia="Arial" w:hAnsi="Arial"/>
          <w:sz w:val="15"/>
          <w:szCs w:val="15"/>
          <w:color w:val="auto"/>
        </w:rPr>
      </w:pPr>
    </w:p>
    <w:p>
      <w:pPr>
        <w:ind w:left="800" w:hanging="792"/>
        <w:spacing w:after="0" w:line="266" w:lineRule="auto"/>
        <w:tabs>
          <w:tab w:leader="none" w:pos="795" w:val="left"/>
        </w:tabs>
        <w:numPr>
          <w:ilvl w:val="0"/>
          <w:numId w:val="3"/>
        </w:numPr>
        <w:rPr>
          <w:rFonts w:ascii="Arial" w:cs="Arial" w:eastAsia="Arial" w:hAnsi="Arial"/>
          <w:sz w:val="15"/>
          <w:szCs w:val="15"/>
          <w:color w:val="auto"/>
        </w:rPr>
      </w:pPr>
      <w:r>
        <w:rPr>
          <w:rFonts w:ascii="Arial" w:cs="Arial" w:eastAsia="Arial" w:hAnsi="Arial"/>
          <w:sz w:val="15"/>
          <w:szCs w:val="15"/>
          <w:color w:val="auto"/>
        </w:rPr>
        <w:t>Net of income tax expense (benefit) of $1 million and $(1) million for the three-month periods ended September 30, 2021 and 2020, respectively, and $1 million and $(1) million for the nine-month periods ended September 30, 2021 and 2020, respectively.</w:t>
      </w:r>
    </w:p>
    <w:p>
      <w:pPr>
        <w:spacing w:after="0" w:line="103" w:lineRule="exact"/>
        <w:rPr>
          <w:sz w:val="20"/>
          <w:szCs w:val="20"/>
          <w:color w:val="auto"/>
        </w:rPr>
      </w:pPr>
    </w:p>
    <w:p>
      <w:pPr>
        <w:ind w:left="3620"/>
        <w:spacing w:after="0"/>
        <w:rPr>
          <w:sz w:val="20"/>
          <w:szCs w:val="20"/>
          <w:color w:val="auto"/>
        </w:rPr>
      </w:pPr>
      <w:r>
        <w:rPr>
          <w:rFonts w:ascii="Arial" w:cs="Arial" w:eastAsia="Arial" w:hAnsi="Arial"/>
          <w:sz w:val="15"/>
          <w:szCs w:val="15"/>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 w:name="page8"/>
    <w:bookmarkEnd w:id="7"/>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FIDELITY NATIONAL FINANCIAL,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millions, except per share data)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8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900" w:type="dxa"/>
            <w:vAlign w:val="bottom"/>
            <w:tcBorders>
              <w:bottom w:val="single" w:sz="8" w:color="auto"/>
            </w:tcBorders>
            <w:gridSpan w:val="8"/>
          </w:tcPr>
          <w:p>
            <w:pPr>
              <w:ind w:left="120"/>
              <w:spacing w:after="0"/>
              <w:rPr>
                <w:sz w:val="20"/>
                <w:szCs w:val="20"/>
                <w:color w:val="auto"/>
              </w:rPr>
            </w:pPr>
            <w:r>
              <w:rPr>
                <w:rFonts w:ascii="Arial" w:cs="Arial" w:eastAsia="Arial" w:hAnsi="Arial"/>
                <w:sz w:val="10"/>
                <w:szCs w:val="10"/>
                <w:b w:val="1"/>
                <w:bCs w:val="1"/>
                <w:color w:val="auto"/>
              </w:rPr>
              <w:t>Fidelity National Financial, Inc. Common Shareholders</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Accumulated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center"/>
              <w:ind w:left="489"/>
              <w:spacing w:after="0"/>
              <w:rPr>
                <w:sz w:val="20"/>
                <w:szCs w:val="20"/>
                <w:color w:val="auto"/>
              </w:rPr>
            </w:pPr>
            <w:r>
              <w:rPr>
                <w:rFonts w:ascii="Arial" w:cs="Arial" w:eastAsia="Arial" w:hAnsi="Arial"/>
                <w:sz w:val="10"/>
                <w:szCs w:val="10"/>
                <w:b w:val="1"/>
                <w:bCs w:val="1"/>
                <w:color w:val="auto"/>
              </w:rPr>
              <w:t>FNF</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rPr>
              <w:t>Other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89"/>
              <w:spacing w:after="0"/>
              <w:rPr>
                <w:sz w:val="20"/>
                <w:szCs w:val="20"/>
                <w:color w:val="auto"/>
              </w:rPr>
            </w:pPr>
            <w:r>
              <w:rPr>
                <w:rFonts w:ascii="Arial" w:cs="Arial" w:eastAsia="Arial" w:hAnsi="Arial"/>
                <w:sz w:val="10"/>
                <w:szCs w:val="10"/>
                <w:b w:val="1"/>
                <w:bCs w:val="1"/>
                <w:color w:val="auto"/>
                <w:w w:val="91"/>
              </w:rPr>
              <w:t>Redeemable</w:t>
            </w:r>
          </w:p>
        </w:tc>
        <w:tc>
          <w:tcPr>
            <w:tcW w:w="0" w:type="dxa"/>
            <w:vAlign w:val="bottom"/>
          </w:tcPr>
          <w:p>
            <w:pPr>
              <w:spacing w:after="0"/>
              <w:rPr>
                <w:sz w:val="1"/>
                <w:szCs w:val="1"/>
                <w:color w:val="auto"/>
              </w:rPr>
            </w:pPr>
          </w:p>
        </w:tc>
      </w:tr>
      <w:tr>
        <w:trPr>
          <w:trHeight w:val="144"/>
        </w:trPr>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center"/>
              <w:ind w:left="309"/>
              <w:spacing w:after="0"/>
              <w:rPr>
                <w:sz w:val="20"/>
                <w:szCs w:val="20"/>
                <w:color w:val="auto"/>
              </w:rPr>
            </w:pPr>
            <w:r>
              <w:rPr>
                <w:rFonts w:ascii="Arial" w:cs="Arial" w:eastAsia="Arial" w:hAnsi="Arial"/>
                <w:sz w:val="10"/>
                <w:szCs w:val="10"/>
                <w:b w:val="1"/>
                <w:bCs w:val="1"/>
                <w:color w:val="auto"/>
                <w:w w:val="96"/>
              </w:rPr>
              <w:t>Common</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Additional</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0"/>
              </w:rPr>
              <w:t>Comprehensive</w:t>
            </w:r>
          </w:p>
        </w:tc>
        <w:tc>
          <w:tcPr>
            <w:tcW w:w="900" w:type="dxa"/>
            <w:vAlign w:val="bottom"/>
            <w:gridSpan w:val="3"/>
          </w:tcPr>
          <w:p>
            <w:pPr>
              <w:jc w:val="right"/>
              <w:ind w:right="9"/>
              <w:spacing w:after="0"/>
              <w:rPr>
                <w:sz w:val="20"/>
                <w:szCs w:val="20"/>
                <w:color w:val="auto"/>
              </w:rPr>
            </w:pPr>
            <w:r>
              <w:rPr>
                <w:rFonts w:ascii="Arial" w:cs="Arial" w:eastAsia="Arial" w:hAnsi="Arial"/>
                <w:sz w:val="10"/>
                <w:szCs w:val="10"/>
                <w:b w:val="1"/>
                <w:bCs w:val="1"/>
                <w:color w:val="auto"/>
              </w:rPr>
              <w:t>Treasury</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left="109"/>
              <w:spacing w:after="0"/>
              <w:rPr>
                <w:sz w:val="20"/>
                <w:szCs w:val="20"/>
                <w:color w:val="auto"/>
              </w:rPr>
            </w:pPr>
            <w:r>
              <w:rPr>
                <w:rFonts w:ascii="Arial" w:cs="Arial" w:eastAsia="Arial" w:hAnsi="Arial"/>
                <w:sz w:val="10"/>
                <w:szCs w:val="10"/>
                <w:b w:val="1"/>
                <w:bCs w:val="1"/>
                <w:color w:val="auto"/>
                <w:w w:val="87"/>
              </w:rPr>
              <w:t>Non-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89"/>
              <w:spacing w:after="0"/>
              <w:rPr>
                <w:sz w:val="20"/>
                <w:szCs w:val="20"/>
                <w:color w:val="auto"/>
              </w:rPr>
            </w:pPr>
            <w:r>
              <w:rPr>
                <w:rFonts w:ascii="Arial" w:cs="Arial" w:eastAsia="Arial" w:hAnsi="Arial"/>
                <w:sz w:val="10"/>
                <w:szCs w:val="10"/>
                <w:b w:val="1"/>
                <w:bCs w:val="1"/>
                <w:color w:val="auto"/>
                <w:w w:val="96"/>
              </w:rPr>
              <w:t>Non-</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bottom w:val="single" w:sz="8" w:color="auto"/>
            </w:tcBorders>
            <w:gridSpan w:val="4"/>
          </w:tcPr>
          <w:p>
            <w:pPr>
              <w:jc w:val="center"/>
              <w:ind w:left="309"/>
              <w:spacing w:after="0"/>
              <w:rPr>
                <w:sz w:val="20"/>
                <w:szCs w:val="20"/>
                <w:color w:val="auto"/>
              </w:rPr>
            </w:pPr>
            <w:r>
              <w:rPr>
                <w:rFonts w:ascii="Arial" w:cs="Arial" w:eastAsia="Arial" w:hAnsi="Arial"/>
                <w:sz w:val="10"/>
                <w:szCs w:val="10"/>
                <w:b w:val="1"/>
                <w:bCs w:val="1"/>
                <w:color w:val="auto"/>
                <w:w w:val="95"/>
              </w:rPr>
              <w:t>Stock</w:t>
            </w: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Paid-in</w:t>
            </w:r>
          </w:p>
        </w:tc>
        <w:tc>
          <w:tcPr>
            <w:tcW w:w="1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0"/>
                <w:szCs w:val="10"/>
                <w:b w:val="1"/>
                <w:bCs w:val="1"/>
                <w:color w:val="auto"/>
              </w:rPr>
              <w:t>Retained</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3"/>
              </w:rPr>
              <w:t>Earnings</w:t>
            </w:r>
          </w:p>
        </w:tc>
        <w:tc>
          <w:tcPr>
            <w:tcW w:w="90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0"/>
                <w:szCs w:val="10"/>
                <w:b w:val="1"/>
                <w:bCs w:val="1"/>
                <w:color w:val="auto"/>
              </w:rPr>
              <w:t>Stock</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left="109"/>
              <w:spacing w:after="0"/>
              <w:rPr>
                <w:sz w:val="20"/>
                <w:szCs w:val="20"/>
                <w:color w:val="auto"/>
              </w:rPr>
            </w:pPr>
            <w:r>
              <w:rPr>
                <w:rFonts w:ascii="Arial" w:cs="Arial" w:eastAsia="Arial" w:hAnsi="Arial"/>
                <w:sz w:val="10"/>
                <w:szCs w:val="10"/>
                <w:b w:val="1"/>
                <w:bCs w:val="1"/>
                <w:color w:val="auto"/>
                <w:w w:val="92"/>
              </w:rPr>
              <w:t>controlling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Total</w:t>
            </w:r>
          </w:p>
        </w:tc>
        <w:tc>
          <w:tcPr>
            <w:tcW w:w="120" w:type="dxa"/>
            <w:vAlign w:val="bottom"/>
          </w:tcPr>
          <w:p>
            <w:pPr>
              <w:spacing w:after="0"/>
              <w:rPr>
                <w:sz w:val="12"/>
                <w:szCs w:val="12"/>
                <w:color w:val="auto"/>
              </w:rPr>
            </w:pPr>
          </w:p>
        </w:tc>
        <w:tc>
          <w:tcPr>
            <w:tcW w:w="760" w:type="dxa"/>
            <w:vAlign w:val="bottom"/>
          </w:tcPr>
          <w:p>
            <w:pPr>
              <w:jc w:val="center"/>
              <w:ind w:right="69"/>
              <w:spacing w:after="0"/>
              <w:rPr>
                <w:sz w:val="20"/>
                <w:szCs w:val="20"/>
                <w:color w:val="auto"/>
              </w:rPr>
            </w:pPr>
            <w:r>
              <w:rPr>
                <w:rFonts w:ascii="Arial" w:cs="Arial" w:eastAsia="Arial" w:hAnsi="Arial"/>
                <w:sz w:val="10"/>
                <w:szCs w:val="10"/>
                <w:b w:val="1"/>
                <w:bCs w:val="1"/>
                <w:color w:val="auto"/>
                <w:w w:val="92"/>
              </w:rPr>
              <w:t>controlling</w:t>
            </w: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ind w:left="160"/>
              <w:spacing w:after="0"/>
              <w:rPr>
                <w:sz w:val="20"/>
                <w:szCs w:val="20"/>
                <w:color w:val="auto"/>
              </w:rPr>
            </w:pPr>
            <w:r>
              <w:rPr>
                <w:rFonts w:ascii="Arial" w:cs="Arial" w:eastAsia="Arial" w:hAnsi="Arial"/>
                <w:sz w:val="10"/>
                <w:szCs w:val="10"/>
                <w:b w:val="1"/>
                <w:bCs w:val="1"/>
                <w:color w:val="auto"/>
              </w:rPr>
              <w:t>Shares</w:t>
            </w:r>
          </w:p>
        </w:tc>
        <w:tc>
          <w:tcPr>
            <w:tcW w:w="160" w:type="dxa"/>
            <w:vAlign w:val="bottom"/>
          </w:tcPr>
          <w:p>
            <w:pPr>
              <w:spacing w:after="0"/>
              <w:rPr>
                <w:sz w:val="11"/>
                <w:szCs w:val="11"/>
                <w:color w:val="auto"/>
              </w:rPr>
            </w:pPr>
          </w:p>
        </w:tc>
        <w:tc>
          <w:tcPr>
            <w:tcW w:w="360" w:type="dxa"/>
            <w:vAlign w:val="bottom"/>
          </w:tcPr>
          <w:p>
            <w:pPr>
              <w:ind w:left="80"/>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Capital</w:t>
            </w:r>
          </w:p>
        </w:tc>
        <w:tc>
          <w:tcPr>
            <w:tcW w:w="1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0"/>
                <w:szCs w:val="10"/>
                <w:b w:val="1"/>
                <w:bCs w:val="1"/>
                <w:color w:val="auto"/>
              </w:rPr>
              <w:t>Earnings</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3"/>
              </w:rPr>
              <w:t>(Loss)</w:t>
            </w:r>
          </w:p>
        </w:tc>
        <w:tc>
          <w:tcPr>
            <w:tcW w:w="720" w:type="dxa"/>
            <w:vAlign w:val="bottom"/>
            <w:gridSpan w:val="2"/>
          </w:tcPr>
          <w:p>
            <w:pPr>
              <w:ind w:left="160"/>
              <w:spacing w:after="0"/>
              <w:rPr>
                <w:sz w:val="20"/>
                <w:szCs w:val="20"/>
                <w:color w:val="auto"/>
              </w:rPr>
            </w:pPr>
            <w:r>
              <w:rPr>
                <w:rFonts w:ascii="Arial" w:cs="Arial" w:eastAsia="Arial" w:hAnsi="Arial"/>
                <w:sz w:val="10"/>
                <w:szCs w:val="10"/>
                <w:b w:val="1"/>
                <w:bCs w:val="1"/>
                <w:color w:val="auto"/>
              </w:rPr>
              <w:t>Shares</w:t>
            </w:r>
          </w:p>
        </w:tc>
        <w:tc>
          <w:tcPr>
            <w:tcW w:w="180" w:type="dxa"/>
            <w:vAlign w:val="bottom"/>
          </w:tcPr>
          <w:p>
            <w:pPr>
              <w:spacing w:after="0"/>
              <w:rPr>
                <w:sz w:val="11"/>
                <w:szCs w:val="11"/>
                <w:color w:val="auto"/>
              </w:rPr>
            </w:pPr>
          </w:p>
        </w:tc>
        <w:tc>
          <w:tcPr>
            <w:tcW w:w="380" w:type="dxa"/>
            <w:vAlign w:val="bottom"/>
          </w:tcPr>
          <w:p>
            <w:pPr>
              <w:ind w:left="80"/>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1"/>
                <w:szCs w:val="11"/>
                <w:color w:val="auto"/>
              </w:rPr>
            </w:pPr>
          </w:p>
        </w:tc>
        <w:tc>
          <w:tcPr>
            <w:tcW w:w="640" w:type="dxa"/>
            <w:vAlign w:val="bottom"/>
          </w:tcPr>
          <w:p>
            <w:pPr>
              <w:jc w:val="center"/>
              <w:ind w:left="109"/>
              <w:spacing w:after="0"/>
              <w:rPr>
                <w:sz w:val="20"/>
                <w:szCs w:val="20"/>
                <w:color w:val="auto"/>
              </w:rPr>
            </w:pPr>
            <w:r>
              <w:rPr>
                <w:rFonts w:ascii="Arial" w:cs="Arial" w:eastAsia="Arial" w:hAnsi="Arial"/>
                <w:sz w:val="10"/>
                <w:szCs w:val="10"/>
                <w:b w:val="1"/>
                <w:bCs w:val="1"/>
                <w:color w:val="auto"/>
                <w:w w:val="95"/>
              </w:rPr>
              <w:t>Interests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8"/>
              </w:rPr>
              <w:t>Equity</w:t>
            </w:r>
          </w:p>
        </w:tc>
        <w:tc>
          <w:tcPr>
            <w:tcW w:w="120" w:type="dxa"/>
            <w:vAlign w:val="bottom"/>
          </w:tcPr>
          <w:p>
            <w:pPr>
              <w:spacing w:after="0"/>
              <w:rPr>
                <w:sz w:val="11"/>
                <w:szCs w:val="11"/>
                <w:color w:val="auto"/>
              </w:rPr>
            </w:pPr>
          </w:p>
        </w:tc>
        <w:tc>
          <w:tcPr>
            <w:tcW w:w="760" w:type="dxa"/>
            <w:vAlign w:val="bottom"/>
          </w:tcPr>
          <w:p>
            <w:pPr>
              <w:jc w:val="center"/>
              <w:ind w:right="89"/>
              <w:spacing w:after="0"/>
              <w:rPr>
                <w:sz w:val="20"/>
                <w:szCs w:val="20"/>
                <w:color w:val="auto"/>
              </w:rPr>
            </w:pPr>
            <w:r>
              <w:rPr>
                <w:rFonts w:ascii="Arial" w:cs="Arial" w:eastAsia="Arial" w:hAnsi="Arial"/>
                <w:sz w:val="10"/>
                <w:szCs w:val="10"/>
                <w:b w:val="1"/>
                <w:bCs w:val="1"/>
                <w:color w:val="auto"/>
                <w:w w:val="91"/>
              </w:rPr>
              <w:t>Interests</w:t>
            </w:r>
          </w:p>
        </w:tc>
        <w:tc>
          <w:tcPr>
            <w:tcW w:w="0" w:type="dxa"/>
            <w:vAlign w:val="bottom"/>
          </w:tcPr>
          <w:p>
            <w:pPr>
              <w:spacing w:after="0"/>
              <w:rPr>
                <w:sz w:val="1"/>
                <w:szCs w:val="1"/>
                <w:color w:val="auto"/>
              </w:rPr>
            </w:pPr>
          </w:p>
        </w:tc>
      </w:tr>
      <w:tr>
        <w:trPr>
          <w:trHeight w:val="137"/>
        </w:trPr>
        <w:tc>
          <w:tcPr>
            <w:tcW w:w="2980" w:type="dxa"/>
            <w:vAlign w:val="bottom"/>
            <w:gridSpan w:val="2"/>
          </w:tcPr>
          <w:p>
            <w:pPr>
              <w:ind w:left="20"/>
              <w:spacing w:after="0"/>
              <w:rPr>
                <w:sz w:val="20"/>
                <w:szCs w:val="20"/>
                <w:color w:val="auto"/>
              </w:rPr>
            </w:pPr>
            <w:r>
              <w:rPr>
                <w:rFonts w:ascii="Arial" w:cs="Arial" w:eastAsia="Arial" w:hAnsi="Arial"/>
                <w:sz w:val="10"/>
                <w:szCs w:val="10"/>
                <w:color w:val="auto"/>
              </w:rPr>
              <w:t>Balance, June 30, 2020</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318</w:t>
            </w: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tcPr>
          <w:p>
            <w:pPr>
              <w:ind w:lef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4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rPr>
              <w:t>5,431</w:t>
            </w:r>
          </w:p>
        </w:tc>
        <w:tc>
          <w:tcPr>
            <w:tcW w:w="8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1,417</w:t>
            </w:r>
          </w:p>
        </w:tc>
        <w:tc>
          <w:tcPr>
            <w:tcW w:w="100" w:type="dxa"/>
            <w:vAlign w:val="bottom"/>
          </w:tcPr>
          <w:p>
            <w:pPr>
              <w:spacing w:after="0"/>
              <w:rPr>
                <w:sz w:val="11"/>
                <w:szCs w:val="11"/>
                <w:color w:val="auto"/>
              </w:rPr>
            </w:pPr>
          </w:p>
        </w:tc>
        <w:tc>
          <w:tcPr>
            <w:tcW w:w="14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rPr>
              <w:t>$</w:t>
            </w:r>
          </w:p>
        </w:tc>
        <w:tc>
          <w:tcPr>
            <w:tcW w:w="98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rPr>
              <w:t>429</w:t>
            </w:r>
          </w:p>
        </w:tc>
        <w:tc>
          <w:tcPr>
            <w:tcW w:w="100" w:type="dxa"/>
            <w:vAlign w:val="bottom"/>
          </w:tcPr>
          <w:p>
            <w:pPr>
              <w:spacing w:after="0"/>
              <w:rPr>
                <w:sz w:val="11"/>
                <w:szCs w:val="1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27</w:t>
            </w:r>
          </w:p>
        </w:tc>
        <w:tc>
          <w:tcPr>
            <w:tcW w:w="100" w:type="dxa"/>
            <w:vAlign w:val="bottom"/>
          </w:tcPr>
          <w:p>
            <w:pPr>
              <w:spacing w:after="0"/>
              <w:rPr>
                <w:sz w:val="11"/>
                <w:szCs w:val="11"/>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(919)</w:t>
            </w:r>
          </w:p>
        </w:tc>
        <w:tc>
          <w:tcPr>
            <w:tcW w:w="100" w:type="dxa"/>
            <w:vAlign w:val="bottom"/>
          </w:tcPr>
          <w:p>
            <w:pPr>
              <w:spacing w:after="0"/>
              <w:rPr>
                <w:sz w:val="11"/>
                <w:szCs w:val="11"/>
                <w:color w:val="auto"/>
              </w:rPr>
            </w:pPr>
          </w:p>
        </w:tc>
        <w:tc>
          <w:tcPr>
            <w:tcW w:w="640" w:type="dxa"/>
            <w:vAlign w:val="bottom"/>
            <w:tcBorders>
              <w:top w:val="single" w:sz="8" w:color="auto"/>
            </w:tcBorders>
          </w:tcPr>
          <w:p>
            <w:pPr>
              <w:jc w:val="right"/>
              <w:ind w:right="529"/>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7"/>
              </w:rPr>
              <w:t>(9)</w:t>
            </w: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rPr>
              <w:t>6,349</w:t>
            </w: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344</w:t>
            </w:r>
          </w:p>
        </w:tc>
        <w:tc>
          <w:tcPr>
            <w:tcW w:w="0" w:type="dxa"/>
            <w:vAlign w:val="bottom"/>
          </w:tcPr>
          <w:p>
            <w:pPr>
              <w:spacing w:after="0"/>
              <w:rPr>
                <w:sz w:val="1"/>
                <w:szCs w:val="1"/>
                <w:color w:val="auto"/>
              </w:rPr>
            </w:pPr>
          </w:p>
        </w:tc>
      </w:tr>
      <w:tr>
        <w:trPr>
          <w:trHeight w:val="150"/>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Redemption of Servicelink non-controlling interest</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158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47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205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(344)</w:t>
            </w:r>
          </w:p>
        </w:tc>
        <w:tc>
          <w:tcPr>
            <w:tcW w:w="0" w:type="dxa"/>
            <w:vAlign w:val="bottom"/>
          </w:tcPr>
          <w:p>
            <w:pPr>
              <w:spacing w:after="0"/>
              <w:rPr>
                <w:sz w:val="1"/>
                <w:szCs w:val="1"/>
                <w:color w:val="auto"/>
              </w:rPr>
            </w:pPr>
          </w:p>
        </w:tc>
      </w:tr>
      <w:tr>
        <w:trPr>
          <w:trHeight w:val="137"/>
        </w:trPr>
        <w:tc>
          <w:tcPr>
            <w:tcW w:w="2980" w:type="dxa"/>
            <w:vAlign w:val="bottom"/>
            <w:gridSpan w:val="2"/>
          </w:tcPr>
          <w:p>
            <w:pPr>
              <w:ind w:left="20"/>
              <w:spacing w:after="0"/>
              <w:rPr>
                <w:sz w:val="20"/>
                <w:szCs w:val="20"/>
                <w:color w:val="auto"/>
              </w:rPr>
            </w:pPr>
            <w:r>
              <w:rPr>
                <w:rFonts w:ascii="Arial" w:cs="Arial" w:eastAsia="Arial" w:hAnsi="Arial"/>
                <w:sz w:val="10"/>
                <w:szCs w:val="10"/>
                <w:color w:val="auto"/>
              </w:rPr>
              <w:t>F&amp;G Acquisition</w:t>
            </w:r>
          </w:p>
        </w:tc>
        <w:tc>
          <w:tcPr>
            <w:tcW w:w="62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ind w:right="9"/>
              <w:spacing w:after="0"/>
              <w:rPr>
                <w:sz w:val="20"/>
                <w:szCs w:val="20"/>
                <w:color w:val="auto"/>
              </w:rPr>
            </w:pPr>
            <w:r>
              <w:rPr>
                <w:rFonts w:ascii="Arial" w:cs="Arial" w:eastAsia="Arial" w:hAnsi="Arial"/>
                <w:sz w:val="10"/>
                <w:szCs w:val="10"/>
                <w:color w:val="auto"/>
              </w:rPr>
              <w:t>32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80" w:type="dxa"/>
            <w:vAlign w:val="bottom"/>
            <w:gridSpan w:val="2"/>
          </w:tcPr>
          <w:p>
            <w:pPr>
              <w:ind w:left="220"/>
              <w:spacing w:after="0"/>
              <w:rPr>
                <w:sz w:val="20"/>
                <w:szCs w:val="20"/>
                <w:color w:val="auto"/>
              </w:rPr>
            </w:pPr>
            <w:r>
              <w:rPr>
                <w:rFonts w:ascii="Arial" w:cs="Arial" w:eastAsia="Arial" w:hAnsi="Arial"/>
                <w:sz w:val="10"/>
                <w:szCs w:val="10"/>
                <w:color w:val="auto"/>
              </w:rPr>
              <w:t>—</w:t>
            </w:r>
          </w:p>
        </w:tc>
        <w:tc>
          <w:tcPr>
            <w:tcW w:w="640" w:type="dxa"/>
            <w:vAlign w:val="bottom"/>
          </w:tcPr>
          <w:p>
            <w:pPr>
              <w:spacing w:after="0"/>
              <w:rPr>
                <w:sz w:val="11"/>
                <w:szCs w:val="1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0"/>
                <w:szCs w:val="10"/>
                <w:color w:val="auto"/>
                <w:w w:val="99"/>
              </w:rPr>
              <w:t>—</w:t>
            </w:r>
          </w:p>
        </w:tc>
        <w:tc>
          <w:tcPr>
            <w:tcW w:w="120" w:type="dxa"/>
            <w:vAlign w:val="bottom"/>
          </w:tcPr>
          <w:p>
            <w:pPr>
              <w:spacing w:after="0"/>
              <w:rPr>
                <w:sz w:val="11"/>
                <w:szCs w:val="11"/>
                <w:color w:val="auto"/>
              </w:rPr>
            </w:pPr>
          </w:p>
        </w:tc>
        <w:tc>
          <w:tcPr>
            <w:tcW w:w="520" w:type="dxa"/>
            <w:vAlign w:val="bottom"/>
          </w:tcPr>
          <w:p>
            <w:pPr>
              <w:jc w:val="right"/>
              <w:ind w:right="9"/>
              <w:spacing w:after="0"/>
              <w:rPr>
                <w:sz w:val="20"/>
                <w:szCs w:val="20"/>
                <w:color w:val="auto"/>
              </w:rPr>
            </w:pPr>
            <w:r>
              <w:rPr>
                <w:rFonts w:ascii="Arial" w:cs="Arial" w:eastAsia="Arial" w:hAnsi="Arial"/>
                <w:sz w:val="10"/>
                <w:szCs w:val="10"/>
                <w:color w:val="auto"/>
              </w:rPr>
              <w:t>32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Exercise of stock options</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99"/>
              </w:rPr>
              <w:t>—</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9"/>
        </w:trPr>
        <w:tc>
          <w:tcPr>
            <w:tcW w:w="2980" w:type="dxa"/>
            <w:vAlign w:val="bottom"/>
            <w:gridSpan w:val="2"/>
          </w:tcPr>
          <w:p>
            <w:pPr>
              <w:ind w:left="20"/>
              <w:spacing w:after="0" w:line="100" w:lineRule="exact"/>
              <w:rPr>
                <w:sz w:val="20"/>
                <w:szCs w:val="20"/>
                <w:color w:val="auto"/>
              </w:rPr>
            </w:pPr>
            <w:r>
              <w:rPr>
                <w:rFonts w:ascii="Arial" w:cs="Arial" w:eastAsia="Arial" w:hAnsi="Arial"/>
                <w:sz w:val="10"/>
                <w:szCs w:val="10"/>
                <w:color w:val="auto"/>
              </w:rPr>
              <w:t>Change in reinsurance liabilities held at fair value resulting from a</w:t>
            </w:r>
          </w:p>
        </w:tc>
        <w:tc>
          <w:tcPr>
            <w:tcW w:w="740" w:type="dxa"/>
            <w:vAlign w:val="bottom"/>
            <w:gridSpan w:val="3"/>
            <w:vMerge w:val="restart"/>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460" w:type="dxa"/>
            <w:vAlign w:val="bottom"/>
            <w:gridSpan w:val="2"/>
            <w:vMerge w:val="restart"/>
          </w:tcPr>
          <w:p>
            <w:pPr>
              <w:ind w:lef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980" w:type="dxa"/>
            <w:vAlign w:val="bottom"/>
            <w:vMerge w:val="restart"/>
          </w:tcPr>
          <w:p>
            <w:pPr>
              <w:jc w:val="right"/>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480" w:type="dxa"/>
            <w:vAlign w:val="bottom"/>
            <w:gridSpan w:val="2"/>
            <w:vMerge w:val="restart"/>
          </w:tcPr>
          <w:p>
            <w:pPr>
              <w:ind w:left="220"/>
              <w:spacing w:after="0"/>
              <w:rPr>
                <w:sz w:val="20"/>
                <w:szCs w:val="20"/>
                <w:color w:val="auto"/>
              </w:rPr>
            </w:pPr>
            <w:r>
              <w:rPr>
                <w:rFonts w:ascii="Arial" w:cs="Arial" w:eastAsia="Arial" w:hAnsi="Arial"/>
                <w:sz w:val="10"/>
                <w:szCs w:val="10"/>
                <w:color w:val="auto"/>
              </w:rPr>
              <w:t>—</w:t>
            </w:r>
          </w:p>
        </w:tc>
        <w:tc>
          <w:tcPr>
            <w:tcW w:w="640" w:type="dxa"/>
            <w:vAlign w:val="bottom"/>
          </w:tcPr>
          <w:p>
            <w:pPr>
              <w:spacing w:after="0"/>
              <w:rPr>
                <w:sz w:val="8"/>
                <w:szCs w:val="8"/>
                <w:color w:val="auto"/>
              </w:rPr>
            </w:pPr>
          </w:p>
        </w:tc>
        <w:tc>
          <w:tcPr>
            <w:tcW w:w="2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w w:val="99"/>
              </w:rPr>
              <w:t>—</w:t>
            </w:r>
          </w:p>
        </w:tc>
        <w:tc>
          <w:tcPr>
            <w:tcW w:w="12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7"/>
        </w:trPr>
        <w:tc>
          <w:tcPr>
            <w:tcW w:w="2980" w:type="dxa"/>
            <w:vAlign w:val="bottom"/>
            <w:gridSpan w:val="2"/>
          </w:tcPr>
          <w:p>
            <w:pPr>
              <w:ind w:left="20"/>
              <w:spacing w:after="0"/>
              <w:rPr>
                <w:sz w:val="20"/>
                <w:szCs w:val="20"/>
                <w:color w:val="auto"/>
              </w:rPr>
            </w:pPr>
            <w:r>
              <w:rPr>
                <w:rFonts w:ascii="Arial" w:cs="Arial" w:eastAsia="Arial" w:hAnsi="Arial"/>
                <w:sz w:val="10"/>
                <w:szCs w:val="10"/>
                <w:color w:val="auto"/>
              </w:rPr>
              <w:t>change in instrument-specific credit risk</w:t>
            </w:r>
          </w:p>
        </w:tc>
        <w:tc>
          <w:tcPr>
            <w:tcW w:w="7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980" w:type="dxa"/>
            <w:vAlign w:val="bottom"/>
            <w:gridSpan w:val="2"/>
            <w:shd w:val="clear" w:color="auto" w:fill="CCEEFF"/>
          </w:tcPr>
          <w:p>
            <w:pPr>
              <w:ind w:left="20"/>
              <w:spacing w:after="0" w:line="106" w:lineRule="exact"/>
              <w:rPr>
                <w:sz w:val="20"/>
                <w:szCs w:val="20"/>
                <w:color w:val="auto"/>
              </w:rPr>
            </w:pPr>
            <w:r>
              <w:rPr>
                <w:rFonts w:ascii="Arial" w:cs="Arial" w:eastAsia="Arial" w:hAnsi="Arial"/>
                <w:sz w:val="10"/>
                <w:szCs w:val="10"/>
                <w:color w:val="auto"/>
                <w:w w:val="97"/>
              </w:rPr>
              <w:t>Other comprehensive earnings - unrealized gain on investments and</w:t>
            </w:r>
          </w:p>
        </w:tc>
        <w:tc>
          <w:tcPr>
            <w:tcW w:w="7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right"/>
              <w:ind w:right="9"/>
              <w:spacing w:after="0"/>
              <w:rPr>
                <w:sz w:val="20"/>
                <w:szCs w:val="20"/>
                <w:color w:val="auto"/>
              </w:rPr>
            </w:pPr>
            <w:r>
              <w:rPr>
                <w:rFonts w:ascii="Arial" w:cs="Arial" w:eastAsia="Arial" w:hAnsi="Arial"/>
                <w:sz w:val="10"/>
                <w:szCs w:val="10"/>
                <w:color w:val="auto"/>
              </w:rPr>
              <w:t>303</w:t>
            </w: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spacing w:after="0"/>
              <w:rPr>
                <w:sz w:val="9"/>
                <w:szCs w:val="9"/>
                <w:color w:val="auto"/>
              </w:rPr>
            </w:pPr>
          </w:p>
        </w:tc>
        <w:tc>
          <w:tcPr>
            <w:tcW w:w="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w w:val="99"/>
              </w:rPr>
              <w:t>—</w:t>
            </w:r>
          </w:p>
        </w:tc>
        <w:tc>
          <w:tcPr>
            <w:tcW w:w="1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9"/>
              <w:spacing w:after="0"/>
              <w:rPr>
                <w:sz w:val="20"/>
                <w:szCs w:val="20"/>
                <w:color w:val="auto"/>
              </w:rPr>
            </w:pPr>
            <w:r>
              <w:rPr>
                <w:rFonts w:ascii="Arial" w:cs="Arial" w:eastAsia="Arial" w:hAnsi="Arial"/>
                <w:sz w:val="10"/>
                <w:szCs w:val="10"/>
                <w:color w:val="auto"/>
              </w:rPr>
              <w:t>303</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other financial instruments</w:t>
            </w:r>
          </w:p>
        </w:tc>
        <w:tc>
          <w:tcPr>
            <w:tcW w:w="740" w:type="dxa"/>
            <w:vAlign w:val="bottom"/>
            <w:gridSpan w:val="3"/>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980" w:type="dxa"/>
            <w:vAlign w:val="bottom"/>
            <w:gridSpan w:val="2"/>
          </w:tcPr>
          <w:p>
            <w:pPr>
              <w:ind w:left="20"/>
              <w:spacing w:after="0" w:line="100" w:lineRule="exact"/>
              <w:rPr>
                <w:sz w:val="20"/>
                <w:szCs w:val="20"/>
                <w:color w:val="auto"/>
              </w:rPr>
            </w:pPr>
            <w:r>
              <w:rPr>
                <w:rFonts w:ascii="Arial" w:cs="Arial" w:eastAsia="Arial" w:hAnsi="Arial"/>
                <w:sz w:val="10"/>
                <w:szCs w:val="10"/>
                <w:color w:val="auto"/>
                <w:w w:val="99"/>
              </w:rPr>
              <w:t>Other comprehensive earnings - unrealized gain on investments in</w:t>
            </w:r>
          </w:p>
        </w:tc>
        <w:tc>
          <w:tcPr>
            <w:tcW w:w="740" w:type="dxa"/>
            <w:vAlign w:val="bottom"/>
            <w:gridSpan w:val="3"/>
            <w:vMerge w:val="restart"/>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460" w:type="dxa"/>
            <w:vAlign w:val="bottom"/>
            <w:gridSpan w:val="2"/>
            <w:vMerge w:val="restart"/>
          </w:tcPr>
          <w:p>
            <w:pPr>
              <w:ind w:lef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980" w:type="dxa"/>
            <w:vAlign w:val="bottom"/>
            <w:vMerge w:val="restart"/>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480" w:type="dxa"/>
            <w:vAlign w:val="bottom"/>
            <w:gridSpan w:val="2"/>
            <w:vMerge w:val="restart"/>
          </w:tcPr>
          <w:p>
            <w:pPr>
              <w:ind w:left="220"/>
              <w:spacing w:after="0"/>
              <w:rPr>
                <w:sz w:val="20"/>
                <w:szCs w:val="20"/>
                <w:color w:val="auto"/>
              </w:rPr>
            </w:pPr>
            <w:r>
              <w:rPr>
                <w:rFonts w:ascii="Arial" w:cs="Arial" w:eastAsia="Arial" w:hAnsi="Arial"/>
                <w:sz w:val="10"/>
                <w:szCs w:val="10"/>
                <w:color w:val="auto"/>
              </w:rPr>
              <w:t>—</w:t>
            </w:r>
          </w:p>
        </w:tc>
        <w:tc>
          <w:tcPr>
            <w:tcW w:w="640" w:type="dxa"/>
            <w:vAlign w:val="bottom"/>
          </w:tcPr>
          <w:p>
            <w:pPr>
              <w:spacing w:after="0"/>
              <w:rPr>
                <w:sz w:val="8"/>
                <w:szCs w:val="8"/>
                <w:color w:val="auto"/>
              </w:rPr>
            </w:pPr>
          </w:p>
        </w:tc>
        <w:tc>
          <w:tcPr>
            <w:tcW w:w="2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w w:val="99"/>
              </w:rPr>
              <w:t>—</w:t>
            </w:r>
          </w:p>
        </w:tc>
        <w:tc>
          <w:tcPr>
            <w:tcW w:w="12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7"/>
        </w:trPr>
        <w:tc>
          <w:tcPr>
            <w:tcW w:w="2980" w:type="dxa"/>
            <w:vAlign w:val="bottom"/>
            <w:gridSpan w:val="2"/>
          </w:tcPr>
          <w:p>
            <w:pPr>
              <w:ind w:left="20"/>
              <w:spacing w:after="0"/>
              <w:rPr>
                <w:sz w:val="20"/>
                <w:szCs w:val="20"/>
                <w:color w:val="auto"/>
              </w:rPr>
            </w:pPr>
            <w:r>
              <w:rPr>
                <w:rFonts w:ascii="Arial" w:cs="Arial" w:eastAsia="Arial" w:hAnsi="Arial"/>
                <w:sz w:val="10"/>
                <w:szCs w:val="10"/>
                <w:color w:val="auto"/>
              </w:rPr>
              <w:t>unconsolidated affiliates</w:t>
            </w:r>
          </w:p>
        </w:tc>
        <w:tc>
          <w:tcPr>
            <w:tcW w:w="7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980" w:type="dxa"/>
            <w:vAlign w:val="bottom"/>
            <w:gridSpan w:val="2"/>
            <w:shd w:val="clear" w:color="auto" w:fill="CCEEFF"/>
          </w:tcPr>
          <w:p>
            <w:pPr>
              <w:ind w:left="20"/>
              <w:spacing w:after="0" w:line="106" w:lineRule="exact"/>
              <w:rPr>
                <w:sz w:val="20"/>
                <w:szCs w:val="20"/>
                <w:color w:val="auto"/>
              </w:rPr>
            </w:pPr>
            <w:r>
              <w:rPr>
                <w:rFonts w:ascii="Arial" w:cs="Arial" w:eastAsia="Arial" w:hAnsi="Arial"/>
                <w:sz w:val="10"/>
                <w:szCs w:val="10"/>
                <w:color w:val="auto"/>
                <w:w w:val="97"/>
              </w:rPr>
              <w:t>Other comprehensive earnings - unrealized gain on foreign currency</w:t>
            </w:r>
          </w:p>
        </w:tc>
        <w:tc>
          <w:tcPr>
            <w:tcW w:w="7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right"/>
              <w:ind w:right="9"/>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spacing w:after="0"/>
              <w:rPr>
                <w:sz w:val="9"/>
                <w:szCs w:val="9"/>
                <w:color w:val="auto"/>
              </w:rPr>
            </w:pPr>
          </w:p>
        </w:tc>
        <w:tc>
          <w:tcPr>
            <w:tcW w:w="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w w:val="99"/>
              </w:rPr>
              <w:t>—</w:t>
            </w:r>
          </w:p>
        </w:tc>
        <w:tc>
          <w:tcPr>
            <w:tcW w:w="1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9"/>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translation</w:t>
            </w:r>
          </w:p>
        </w:tc>
        <w:tc>
          <w:tcPr>
            <w:tcW w:w="740" w:type="dxa"/>
            <w:vAlign w:val="bottom"/>
            <w:gridSpan w:val="3"/>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980" w:type="dxa"/>
            <w:vAlign w:val="bottom"/>
            <w:gridSpan w:val="2"/>
          </w:tcPr>
          <w:p>
            <w:pPr>
              <w:ind w:left="20"/>
              <w:spacing w:after="0" w:line="100" w:lineRule="exact"/>
              <w:rPr>
                <w:sz w:val="20"/>
                <w:szCs w:val="20"/>
                <w:color w:val="auto"/>
              </w:rPr>
            </w:pPr>
            <w:r>
              <w:rPr>
                <w:rFonts w:ascii="Arial" w:cs="Arial" w:eastAsia="Arial" w:hAnsi="Arial"/>
                <w:sz w:val="10"/>
                <w:szCs w:val="10"/>
                <w:color w:val="auto"/>
              </w:rPr>
              <w:t>Reclassification adjustments for change in unrealized gains and</w:t>
            </w:r>
          </w:p>
        </w:tc>
        <w:tc>
          <w:tcPr>
            <w:tcW w:w="740" w:type="dxa"/>
            <w:vAlign w:val="bottom"/>
            <w:gridSpan w:val="3"/>
            <w:vMerge w:val="restart"/>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460" w:type="dxa"/>
            <w:vAlign w:val="bottom"/>
            <w:gridSpan w:val="2"/>
            <w:vMerge w:val="restart"/>
          </w:tcPr>
          <w:p>
            <w:pPr>
              <w:ind w:lef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980" w:type="dxa"/>
            <w:vAlign w:val="bottom"/>
            <w:vMerge w:val="restart"/>
          </w:tcPr>
          <w:p>
            <w:pPr>
              <w:jc w:val="right"/>
              <w:spacing w:after="0"/>
              <w:rPr>
                <w:sz w:val="20"/>
                <w:szCs w:val="20"/>
                <w:color w:val="auto"/>
              </w:rPr>
            </w:pPr>
            <w:r>
              <w:rPr>
                <w:rFonts w:ascii="Arial" w:cs="Arial" w:eastAsia="Arial" w:hAnsi="Arial"/>
                <w:sz w:val="10"/>
                <w:szCs w:val="10"/>
                <w:color w:val="auto"/>
              </w:rPr>
              <w:t>(11)</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480" w:type="dxa"/>
            <w:vAlign w:val="bottom"/>
            <w:gridSpan w:val="2"/>
            <w:vMerge w:val="restart"/>
          </w:tcPr>
          <w:p>
            <w:pPr>
              <w:ind w:left="220"/>
              <w:spacing w:after="0"/>
              <w:rPr>
                <w:sz w:val="20"/>
                <w:szCs w:val="20"/>
                <w:color w:val="auto"/>
              </w:rPr>
            </w:pPr>
            <w:r>
              <w:rPr>
                <w:rFonts w:ascii="Arial" w:cs="Arial" w:eastAsia="Arial" w:hAnsi="Arial"/>
                <w:sz w:val="10"/>
                <w:szCs w:val="10"/>
                <w:color w:val="auto"/>
              </w:rPr>
              <w:t>—</w:t>
            </w:r>
          </w:p>
        </w:tc>
        <w:tc>
          <w:tcPr>
            <w:tcW w:w="640" w:type="dxa"/>
            <w:vAlign w:val="bottom"/>
          </w:tcPr>
          <w:p>
            <w:pPr>
              <w:spacing w:after="0"/>
              <w:rPr>
                <w:sz w:val="8"/>
                <w:szCs w:val="8"/>
                <w:color w:val="auto"/>
              </w:rPr>
            </w:pPr>
          </w:p>
        </w:tc>
        <w:tc>
          <w:tcPr>
            <w:tcW w:w="2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w w:val="99"/>
              </w:rPr>
              <w:t>—</w:t>
            </w:r>
          </w:p>
        </w:tc>
        <w:tc>
          <w:tcPr>
            <w:tcW w:w="12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0"/>
                <w:szCs w:val="10"/>
                <w:color w:val="auto"/>
              </w:rPr>
              <w:t>(11)</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7"/>
        </w:trPr>
        <w:tc>
          <w:tcPr>
            <w:tcW w:w="2980" w:type="dxa"/>
            <w:vAlign w:val="bottom"/>
            <w:gridSpan w:val="2"/>
          </w:tcPr>
          <w:p>
            <w:pPr>
              <w:ind w:left="20"/>
              <w:spacing w:after="0"/>
              <w:rPr>
                <w:sz w:val="20"/>
                <w:szCs w:val="20"/>
                <w:color w:val="auto"/>
              </w:rPr>
            </w:pPr>
            <w:r>
              <w:rPr>
                <w:rFonts w:ascii="Arial" w:cs="Arial" w:eastAsia="Arial" w:hAnsi="Arial"/>
                <w:sz w:val="10"/>
                <w:szCs w:val="10"/>
                <w:color w:val="auto"/>
              </w:rPr>
              <w:t>losses included in net earnings</w:t>
            </w:r>
          </w:p>
        </w:tc>
        <w:tc>
          <w:tcPr>
            <w:tcW w:w="7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Stock-based compensation</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99"/>
              </w:rPr>
              <w:t>—</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7"/>
        </w:trPr>
        <w:tc>
          <w:tcPr>
            <w:tcW w:w="2980" w:type="dxa"/>
            <w:vAlign w:val="bottom"/>
            <w:gridSpan w:val="2"/>
          </w:tcPr>
          <w:p>
            <w:pPr>
              <w:ind w:left="20"/>
              <w:spacing w:after="0"/>
              <w:rPr>
                <w:sz w:val="20"/>
                <w:szCs w:val="20"/>
                <w:color w:val="auto"/>
              </w:rPr>
            </w:pPr>
            <w:r>
              <w:rPr>
                <w:rFonts w:ascii="Arial" w:cs="Arial" w:eastAsia="Arial" w:hAnsi="Arial"/>
                <w:sz w:val="10"/>
                <w:szCs w:val="10"/>
                <w:color w:val="auto"/>
              </w:rPr>
              <w:t>Dividends declared, $0.33 per common share</w:t>
            </w:r>
          </w:p>
        </w:tc>
        <w:tc>
          <w:tcPr>
            <w:tcW w:w="740" w:type="dxa"/>
            <w:vAlign w:val="bottom"/>
            <w:gridSpan w:val="3"/>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(97)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80" w:type="dxa"/>
            <w:vAlign w:val="bottom"/>
            <w:gridSpan w:val="2"/>
          </w:tcPr>
          <w:p>
            <w:pPr>
              <w:ind w:left="220"/>
              <w:spacing w:after="0"/>
              <w:rPr>
                <w:sz w:val="20"/>
                <w:szCs w:val="20"/>
                <w:color w:val="auto"/>
              </w:rPr>
            </w:pPr>
            <w:r>
              <w:rPr>
                <w:rFonts w:ascii="Arial" w:cs="Arial" w:eastAsia="Arial" w:hAnsi="Arial"/>
                <w:sz w:val="10"/>
                <w:szCs w:val="10"/>
                <w:color w:val="auto"/>
              </w:rPr>
              <w:t>—</w:t>
            </w:r>
          </w:p>
        </w:tc>
        <w:tc>
          <w:tcPr>
            <w:tcW w:w="640" w:type="dxa"/>
            <w:vAlign w:val="bottom"/>
          </w:tcPr>
          <w:p>
            <w:pPr>
              <w:spacing w:after="0"/>
              <w:rPr>
                <w:sz w:val="11"/>
                <w:szCs w:val="1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0"/>
                <w:szCs w:val="10"/>
                <w:color w:val="auto"/>
                <w:w w:val="99"/>
              </w:rPr>
              <w:t>—</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(97)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0"/>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Subsidiary dividends declared to non-controlling interests</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7"/>
              </w:rPr>
              <w:t>(4)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7"/>
        </w:trPr>
        <w:tc>
          <w:tcPr>
            <w:tcW w:w="2980" w:type="dxa"/>
            <w:vAlign w:val="bottom"/>
            <w:gridSpan w:val="2"/>
          </w:tcPr>
          <w:p>
            <w:pPr>
              <w:ind w:left="20"/>
              <w:spacing w:after="0"/>
              <w:rPr>
                <w:sz w:val="20"/>
                <w:szCs w:val="20"/>
                <w:color w:val="auto"/>
              </w:rPr>
            </w:pPr>
            <w:r>
              <w:rPr>
                <w:rFonts w:ascii="Arial" w:cs="Arial" w:eastAsia="Arial" w:hAnsi="Arial"/>
                <w:sz w:val="10"/>
                <w:szCs w:val="10"/>
                <w:color w:val="auto"/>
              </w:rPr>
              <w:t>Net earnings</w:t>
            </w:r>
          </w:p>
        </w:tc>
        <w:tc>
          <w:tcPr>
            <w:tcW w:w="740" w:type="dxa"/>
            <w:vAlign w:val="bottom"/>
            <w:gridSpan w:val="3"/>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378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80" w:type="dxa"/>
            <w:vAlign w:val="bottom"/>
            <w:gridSpan w:val="2"/>
          </w:tcPr>
          <w:p>
            <w:pPr>
              <w:ind w:left="220"/>
              <w:spacing w:after="0"/>
              <w:rPr>
                <w:sz w:val="20"/>
                <w:szCs w:val="20"/>
                <w:color w:val="auto"/>
              </w:rPr>
            </w:pPr>
            <w:r>
              <w:rPr>
                <w:rFonts w:ascii="Arial" w:cs="Arial" w:eastAsia="Arial" w:hAnsi="Arial"/>
                <w:sz w:val="10"/>
                <w:szCs w:val="10"/>
                <w:color w:val="auto"/>
              </w:rPr>
              <w:t>—</w:t>
            </w:r>
          </w:p>
        </w:tc>
        <w:tc>
          <w:tcPr>
            <w:tcW w:w="64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9"/>
              <w:spacing w:after="0"/>
              <w:rPr>
                <w:sz w:val="20"/>
                <w:szCs w:val="20"/>
                <w:color w:val="auto"/>
              </w:rPr>
            </w:pPr>
            <w:r>
              <w:rPr>
                <w:rFonts w:ascii="Arial" w:cs="Arial" w:eastAsia="Arial" w:hAnsi="Arial"/>
                <w:sz w:val="10"/>
                <w:szCs w:val="10"/>
                <w:color w:val="auto"/>
              </w:rPr>
              <w:t>385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66"/>
        </w:trPr>
        <w:tc>
          <w:tcPr>
            <w:tcW w:w="2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Balance, September 30, 2020</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320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5,642</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1,698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9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720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(919)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ind w:right="529"/>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41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7,182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
        </w:trPr>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Balance, June 30, 2021</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324</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5,771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3,343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1,094</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(1,362)</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29"/>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42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8,888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7"/>
        </w:trPr>
        <w:tc>
          <w:tcPr>
            <w:tcW w:w="2980" w:type="dxa"/>
            <w:vAlign w:val="bottom"/>
            <w:gridSpan w:val="2"/>
          </w:tcPr>
          <w:p>
            <w:pPr>
              <w:ind w:left="20"/>
              <w:spacing w:after="0"/>
              <w:rPr>
                <w:sz w:val="20"/>
                <w:szCs w:val="20"/>
                <w:color w:val="auto"/>
              </w:rPr>
            </w:pPr>
            <w:r>
              <w:rPr>
                <w:rFonts w:ascii="Arial" w:cs="Arial" w:eastAsia="Arial" w:hAnsi="Arial"/>
                <w:sz w:val="10"/>
                <w:szCs w:val="10"/>
                <w:color w:val="auto"/>
              </w:rPr>
              <w:t>Exercise of stock options</w:t>
            </w:r>
          </w:p>
        </w:tc>
        <w:tc>
          <w:tcPr>
            <w:tcW w:w="740" w:type="dxa"/>
            <w:vAlign w:val="bottom"/>
            <w:gridSpan w:val="3"/>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ind w:right="9"/>
              <w:spacing w:after="0"/>
              <w:rPr>
                <w:sz w:val="20"/>
                <w:szCs w:val="20"/>
                <w:color w:val="auto"/>
              </w:rPr>
            </w:pPr>
            <w:r>
              <w:rPr>
                <w:rFonts w:ascii="Arial" w:cs="Arial" w:eastAsia="Arial" w:hAnsi="Arial"/>
                <w:sz w:val="10"/>
                <w:szCs w:val="10"/>
                <w:color w:val="auto"/>
              </w:rPr>
              <w:t>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80" w:type="dxa"/>
            <w:vAlign w:val="bottom"/>
            <w:gridSpan w:val="2"/>
          </w:tcPr>
          <w:p>
            <w:pPr>
              <w:ind w:left="220"/>
              <w:spacing w:after="0"/>
              <w:rPr>
                <w:sz w:val="20"/>
                <w:szCs w:val="20"/>
                <w:color w:val="auto"/>
              </w:rPr>
            </w:pPr>
            <w:r>
              <w:rPr>
                <w:rFonts w:ascii="Arial" w:cs="Arial" w:eastAsia="Arial" w:hAnsi="Arial"/>
                <w:sz w:val="10"/>
                <w:szCs w:val="10"/>
                <w:color w:val="auto"/>
              </w:rPr>
              <w:t>—</w:t>
            </w:r>
          </w:p>
        </w:tc>
        <w:tc>
          <w:tcPr>
            <w:tcW w:w="640" w:type="dxa"/>
            <w:vAlign w:val="bottom"/>
          </w:tcPr>
          <w:p>
            <w:pPr>
              <w:spacing w:after="0"/>
              <w:rPr>
                <w:sz w:val="11"/>
                <w:szCs w:val="1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0"/>
                <w:szCs w:val="10"/>
                <w:color w:val="auto"/>
                <w:w w:val="99"/>
              </w:rPr>
              <w:t>—</w:t>
            </w:r>
          </w:p>
        </w:tc>
        <w:tc>
          <w:tcPr>
            <w:tcW w:w="120" w:type="dxa"/>
            <w:vAlign w:val="bottom"/>
          </w:tcPr>
          <w:p>
            <w:pPr>
              <w:spacing w:after="0"/>
              <w:rPr>
                <w:sz w:val="11"/>
                <w:szCs w:val="11"/>
                <w:color w:val="auto"/>
              </w:rPr>
            </w:pPr>
          </w:p>
        </w:tc>
        <w:tc>
          <w:tcPr>
            <w:tcW w:w="520" w:type="dxa"/>
            <w:vAlign w:val="bottom"/>
          </w:tcPr>
          <w:p>
            <w:pPr>
              <w:jc w:val="right"/>
              <w:ind w:right="9"/>
              <w:spacing w:after="0"/>
              <w:rPr>
                <w:sz w:val="20"/>
                <w:szCs w:val="20"/>
                <w:color w:val="auto"/>
              </w:rPr>
            </w:pPr>
            <w:r>
              <w:rPr>
                <w:rFonts w:ascii="Arial" w:cs="Arial" w:eastAsia="Arial" w:hAnsi="Arial"/>
                <w:sz w:val="10"/>
                <w:szCs w:val="10"/>
                <w:color w:val="auto"/>
              </w:rPr>
              <w:t>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0"/>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Treasury stock repurchased</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(62)</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99"/>
              </w:rPr>
              <w:t>—</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9"/>
        </w:trPr>
        <w:tc>
          <w:tcPr>
            <w:tcW w:w="2980" w:type="dxa"/>
            <w:vAlign w:val="bottom"/>
            <w:gridSpan w:val="2"/>
          </w:tcPr>
          <w:p>
            <w:pPr>
              <w:ind w:left="20"/>
              <w:spacing w:after="0" w:line="100" w:lineRule="exact"/>
              <w:rPr>
                <w:sz w:val="20"/>
                <w:szCs w:val="20"/>
                <w:color w:val="auto"/>
              </w:rPr>
            </w:pPr>
            <w:r>
              <w:rPr>
                <w:rFonts w:ascii="Arial" w:cs="Arial" w:eastAsia="Arial" w:hAnsi="Arial"/>
                <w:sz w:val="10"/>
                <w:szCs w:val="10"/>
                <w:color w:val="auto"/>
              </w:rPr>
              <w:t>Change in reinsurance liabilities held at fair value resulting from a</w:t>
            </w:r>
          </w:p>
        </w:tc>
        <w:tc>
          <w:tcPr>
            <w:tcW w:w="740" w:type="dxa"/>
            <w:vAlign w:val="bottom"/>
            <w:gridSpan w:val="3"/>
            <w:vMerge w:val="restart"/>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460" w:type="dxa"/>
            <w:vAlign w:val="bottom"/>
            <w:gridSpan w:val="2"/>
            <w:vMerge w:val="restart"/>
          </w:tcPr>
          <w:p>
            <w:pPr>
              <w:ind w:lef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980" w:type="dxa"/>
            <w:vAlign w:val="bottom"/>
            <w:vMerge w:val="restart"/>
          </w:tcPr>
          <w:p>
            <w:pPr>
              <w:jc w:val="right"/>
              <w:ind w:right="9"/>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480" w:type="dxa"/>
            <w:vAlign w:val="bottom"/>
            <w:gridSpan w:val="2"/>
            <w:vMerge w:val="restart"/>
          </w:tcPr>
          <w:p>
            <w:pPr>
              <w:ind w:left="220"/>
              <w:spacing w:after="0"/>
              <w:rPr>
                <w:sz w:val="20"/>
                <w:szCs w:val="20"/>
                <w:color w:val="auto"/>
              </w:rPr>
            </w:pPr>
            <w:r>
              <w:rPr>
                <w:rFonts w:ascii="Arial" w:cs="Arial" w:eastAsia="Arial" w:hAnsi="Arial"/>
                <w:sz w:val="10"/>
                <w:szCs w:val="10"/>
                <w:color w:val="auto"/>
              </w:rPr>
              <w:t>—</w:t>
            </w:r>
          </w:p>
        </w:tc>
        <w:tc>
          <w:tcPr>
            <w:tcW w:w="640" w:type="dxa"/>
            <w:vAlign w:val="bottom"/>
          </w:tcPr>
          <w:p>
            <w:pPr>
              <w:spacing w:after="0"/>
              <w:rPr>
                <w:sz w:val="8"/>
                <w:szCs w:val="8"/>
                <w:color w:val="auto"/>
              </w:rPr>
            </w:pPr>
          </w:p>
        </w:tc>
        <w:tc>
          <w:tcPr>
            <w:tcW w:w="2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w w:val="99"/>
              </w:rPr>
              <w:t>—</w:t>
            </w:r>
          </w:p>
        </w:tc>
        <w:tc>
          <w:tcPr>
            <w:tcW w:w="120" w:type="dxa"/>
            <w:vAlign w:val="bottom"/>
          </w:tcPr>
          <w:p>
            <w:pPr>
              <w:spacing w:after="0"/>
              <w:rPr>
                <w:sz w:val="8"/>
                <w:szCs w:val="8"/>
                <w:color w:val="auto"/>
              </w:rPr>
            </w:pPr>
          </w:p>
        </w:tc>
        <w:tc>
          <w:tcPr>
            <w:tcW w:w="520" w:type="dxa"/>
            <w:vAlign w:val="bottom"/>
            <w:vMerge w:val="restart"/>
          </w:tcPr>
          <w:p>
            <w:pPr>
              <w:jc w:val="right"/>
              <w:ind w:right="9"/>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7"/>
        </w:trPr>
        <w:tc>
          <w:tcPr>
            <w:tcW w:w="2980" w:type="dxa"/>
            <w:vAlign w:val="bottom"/>
            <w:gridSpan w:val="2"/>
          </w:tcPr>
          <w:p>
            <w:pPr>
              <w:ind w:left="20"/>
              <w:spacing w:after="0"/>
              <w:rPr>
                <w:sz w:val="20"/>
                <w:szCs w:val="20"/>
                <w:color w:val="auto"/>
              </w:rPr>
            </w:pPr>
            <w:r>
              <w:rPr>
                <w:rFonts w:ascii="Arial" w:cs="Arial" w:eastAsia="Arial" w:hAnsi="Arial"/>
                <w:sz w:val="10"/>
                <w:szCs w:val="10"/>
                <w:color w:val="auto"/>
              </w:rPr>
              <w:t>change in instrument-specific credit risk</w:t>
            </w:r>
          </w:p>
        </w:tc>
        <w:tc>
          <w:tcPr>
            <w:tcW w:w="7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980" w:type="dxa"/>
            <w:vAlign w:val="bottom"/>
            <w:gridSpan w:val="2"/>
            <w:shd w:val="clear" w:color="auto" w:fill="CCEEFF"/>
          </w:tcPr>
          <w:p>
            <w:pPr>
              <w:ind w:left="20"/>
              <w:spacing w:after="0" w:line="106" w:lineRule="exact"/>
              <w:rPr>
                <w:sz w:val="20"/>
                <w:szCs w:val="20"/>
                <w:color w:val="auto"/>
              </w:rPr>
            </w:pPr>
            <w:r>
              <w:rPr>
                <w:rFonts w:ascii="Arial" w:cs="Arial" w:eastAsia="Arial" w:hAnsi="Arial"/>
                <w:sz w:val="10"/>
                <w:szCs w:val="10"/>
                <w:color w:val="auto"/>
              </w:rPr>
              <w:t>Other comprehensive earnings — unrealized loss on investments</w:t>
            </w:r>
          </w:p>
        </w:tc>
        <w:tc>
          <w:tcPr>
            <w:tcW w:w="7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(65)</w:t>
            </w: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spacing w:after="0"/>
              <w:rPr>
                <w:sz w:val="9"/>
                <w:szCs w:val="9"/>
                <w:color w:val="auto"/>
              </w:rPr>
            </w:pPr>
          </w:p>
        </w:tc>
        <w:tc>
          <w:tcPr>
            <w:tcW w:w="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w w:val="99"/>
              </w:rPr>
              <w:t>—</w:t>
            </w:r>
          </w:p>
        </w:tc>
        <w:tc>
          <w:tcPr>
            <w:tcW w:w="1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(65)</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and other financial instruments</w:t>
            </w:r>
          </w:p>
        </w:tc>
        <w:tc>
          <w:tcPr>
            <w:tcW w:w="740" w:type="dxa"/>
            <w:vAlign w:val="bottom"/>
            <w:gridSpan w:val="3"/>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980" w:type="dxa"/>
            <w:vAlign w:val="bottom"/>
            <w:gridSpan w:val="2"/>
          </w:tcPr>
          <w:p>
            <w:pPr>
              <w:ind w:left="20"/>
              <w:spacing w:after="0" w:line="100" w:lineRule="exact"/>
              <w:rPr>
                <w:sz w:val="20"/>
                <w:szCs w:val="20"/>
                <w:color w:val="auto"/>
              </w:rPr>
            </w:pPr>
            <w:r>
              <w:rPr>
                <w:rFonts w:ascii="Arial" w:cs="Arial" w:eastAsia="Arial" w:hAnsi="Arial"/>
                <w:sz w:val="10"/>
                <w:szCs w:val="10"/>
                <w:color w:val="auto"/>
                <w:w w:val="97"/>
              </w:rPr>
              <w:t>Other comprehensive earnings — unrealized gain on investments in</w:t>
            </w:r>
          </w:p>
        </w:tc>
        <w:tc>
          <w:tcPr>
            <w:tcW w:w="740" w:type="dxa"/>
            <w:vAlign w:val="bottom"/>
            <w:gridSpan w:val="3"/>
            <w:vMerge w:val="restart"/>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460" w:type="dxa"/>
            <w:vAlign w:val="bottom"/>
            <w:gridSpan w:val="2"/>
            <w:vMerge w:val="restart"/>
          </w:tcPr>
          <w:p>
            <w:pPr>
              <w:ind w:lef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980" w:type="dxa"/>
            <w:vAlign w:val="bottom"/>
            <w:vMerge w:val="restart"/>
          </w:tcPr>
          <w:p>
            <w:pPr>
              <w:jc w:val="right"/>
              <w:ind w:right="9"/>
              <w:spacing w:after="0"/>
              <w:rPr>
                <w:sz w:val="20"/>
                <w:szCs w:val="20"/>
                <w:color w:val="auto"/>
              </w:rPr>
            </w:pPr>
            <w:r>
              <w:rPr>
                <w:rFonts w:ascii="Arial" w:cs="Arial" w:eastAsia="Arial" w:hAnsi="Arial"/>
                <w:sz w:val="10"/>
                <w:szCs w:val="10"/>
                <w:color w:val="auto"/>
              </w:rPr>
              <w:t>8</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480" w:type="dxa"/>
            <w:vAlign w:val="bottom"/>
            <w:gridSpan w:val="2"/>
            <w:vMerge w:val="restart"/>
          </w:tcPr>
          <w:p>
            <w:pPr>
              <w:ind w:left="220"/>
              <w:spacing w:after="0"/>
              <w:rPr>
                <w:sz w:val="20"/>
                <w:szCs w:val="20"/>
                <w:color w:val="auto"/>
              </w:rPr>
            </w:pPr>
            <w:r>
              <w:rPr>
                <w:rFonts w:ascii="Arial" w:cs="Arial" w:eastAsia="Arial" w:hAnsi="Arial"/>
                <w:sz w:val="10"/>
                <w:szCs w:val="10"/>
                <w:color w:val="auto"/>
              </w:rPr>
              <w:t>—</w:t>
            </w:r>
          </w:p>
        </w:tc>
        <w:tc>
          <w:tcPr>
            <w:tcW w:w="640" w:type="dxa"/>
            <w:vAlign w:val="bottom"/>
          </w:tcPr>
          <w:p>
            <w:pPr>
              <w:spacing w:after="0"/>
              <w:rPr>
                <w:sz w:val="8"/>
                <w:szCs w:val="8"/>
                <w:color w:val="auto"/>
              </w:rPr>
            </w:pPr>
          </w:p>
        </w:tc>
        <w:tc>
          <w:tcPr>
            <w:tcW w:w="2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w w:val="99"/>
              </w:rPr>
              <w:t>—</w:t>
            </w:r>
          </w:p>
        </w:tc>
        <w:tc>
          <w:tcPr>
            <w:tcW w:w="120" w:type="dxa"/>
            <w:vAlign w:val="bottom"/>
          </w:tcPr>
          <w:p>
            <w:pPr>
              <w:spacing w:after="0"/>
              <w:rPr>
                <w:sz w:val="8"/>
                <w:szCs w:val="8"/>
                <w:color w:val="auto"/>
              </w:rPr>
            </w:pPr>
          </w:p>
        </w:tc>
        <w:tc>
          <w:tcPr>
            <w:tcW w:w="520" w:type="dxa"/>
            <w:vAlign w:val="bottom"/>
            <w:vMerge w:val="restart"/>
          </w:tcPr>
          <w:p>
            <w:pPr>
              <w:jc w:val="right"/>
              <w:ind w:right="9"/>
              <w:spacing w:after="0"/>
              <w:rPr>
                <w:sz w:val="20"/>
                <w:szCs w:val="20"/>
                <w:color w:val="auto"/>
              </w:rPr>
            </w:pPr>
            <w:r>
              <w:rPr>
                <w:rFonts w:ascii="Arial" w:cs="Arial" w:eastAsia="Arial" w:hAnsi="Arial"/>
                <w:sz w:val="10"/>
                <w:szCs w:val="10"/>
                <w:color w:val="auto"/>
              </w:rPr>
              <w:t>8</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7"/>
        </w:trPr>
        <w:tc>
          <w:tcPr>
            <w:tcW w:w="2980" w:type="dxa"/>
            <w:vAlign w:val="bottom"/>
            <w:gridSpan w:val="2"/>
          </w:tcPr>
          <w:p>
            <w:pPr>
              <w:ind w:left="20"/>
              <w:spacing w:after="0"/>
              <w:rPr>
                <w:sz w:val="20"/>
                <w:szCs w:val="20"/>
                <w:color w:val="auto"/>
              </w:rPr>
            </w:pPr>
            <w:r>
              <w:rPr>
                <w:rFonts w:ascii="Arial" w:cs="Arial" w:eastAsia="Arial" w:hAnsi="Arial"/>
                <w:sz w:val="10"/>
                <w:szCs w:val="10"/>
                <w:color w:val="auto"/>
              </w:rPr>
              <w:t>unconsolidated affiliates</w:t>
            </w:r>
          </w:p>
        </w:tc>
        <w:tc>
          <w:tcPr>
            <w:tcW w:w="7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980" w:type="dxa"/>
            <w:vAlign w:val="bottom"/>
            <w:gridSpan w:val="2"/>
            <w:shd w:val="clear" w:color="auto" w:fill="CCEEFF"/>
          </w:tcPr>
          <w:p>
            <w:pPr>
              <w:ind w:left="20"/>
              <w:spacing w:after="0" w:line="106" w:lineRule="exact"/>
              <w:rPr>
                <w:sz w:val="20"/>
                <w:szCs w:val="20"/>
                <w:color w:val="auto"/>
              </w:rPr>
            </w:pPr>
            <w:r>
              <w:rPr>
                <w:rFonts w:ascii="Arial" w:cs="Arial" w:eastAsia="Arial" w:hAnsi="Arial"/>
                <w:sz w:val="10"/>
                <w:szCs w:val="10"/>
                <w:color w:val="auto"/>
                <w:w w:val="99"/>
              </w:rPr>
              <w:t>Other comprehensive loss— unrealized losses on foreign currency</w:t>
            </w:r>
          </w:p>
        </w:tc>
        <w:tc>
          <w:tcPr>
            <w:tcW w:w="7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spacing w:after="0"/>
              <w:rPr>
                <w:sz w:val="9"/>
                <w:szCs w:val="9"/>
                <w:color w:val="auto"/>
              </w:rPr>
            </w:pPr>
          </w:p>
        </w:tc>
        <w:tc>
          <w:tcPr>
            <w:tcW w:w="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w w:val="99"/>
              </w:rPr>
              <w:t>—</w:t>
            </w:r>
          </w:p>
        </w:tc>
        <w:tc>
          <w:tcPr>
            <w:tcW w:w="1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translation</w:t>
            </w:r>
          </w:p>
        </w:tc>
        <w:tc>
          <w:tcPr>
            <w:tcW w:w="740" w:type="dxa"/>
            <w:vAlign w:val="bottom"/>
            <w:gridSpan w:val="3"/>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980" w:type="dxa"/>
            <w:vAlign w:val="bottom"/>
            <w:gridSpan w:val="2"/>
          </w:tcPr>
          <w:p>
            <w:pPr>
              <w:ind w:left="20"/>
              <w:spacing w:after="0" w:line="100" w:lineRule="exact"/>
              <w:rPr>
                <w:sz w:val="20"/>
                <w:szCs w:val="20"/>
                <w:color w:val="auto"/>
              </w:rPr>
            </w:pPr>
            <w:r>
              <w:rPr>
                <w:rFonts w:ascii="Arial" w:cs="Arial" w:eastAsia="Arial" w:hAnsi="Arial"/>
                <w:sz w:val="10"/>
                <w:szCs w:val="10"/>
                <w:color w:val="auto"/>
              </w:rPr>
              <w:t>Reclassification adjustments for change in unrealized gains and</w:t>
            </w:r>
          </w:p>
        </w:tc>
        <w:tc>
          <w:tcPr>
            <w:tcW w:w="740" w:type="dxa"/>
            <w:vAlign w:val="bottom"/>
            <w:gridSpan w:val="3"/>
            <w:vMerge w:val="restart"/>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460" w:type="dxa"/>
            <w:vAlign w:val="bottom"/>
            <w:gridSpan w:val="2"/>
            <w:vMerge w:val="restart"/>
          </w:tcPr>
          <w:p>
            <w:pPr>
              <w:ind w:lef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980" w:type="dxa"/>
            <w:vAlign w:val="bottom"/>
            <w:vMerge w:val="restart"/>
          </w:tcPr>
          <w:p>
            <w:pPr>
              <w:jc w:val="right"/>
              <w:spacing w:after="0"/>
              <w:rPr>
                <w:sz w:val="20"/>
                <w:szCs w:val="20"/>
                <w:color w:val="auto"/>
              </w:rPr>
            </w:pPr>
            <w:r>
              <w:rPr>
                <w:rFonts w:ascii="Arial" w:cs="Arial" w:eastAsia="Arial" w:hAnsi="Arial"/>
                <w:sz w:val="10"/>
                <w:szCs w:val="10"/>
                <w:color w:val="auto"/>
              </w:rPr>
              <w:t>(30)</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480" w:type="dxa"/>
            <w:vAlign w:val="bottom"/>
            <w:gridSpan w:val="2"/>
            <w:vMerge w:val="restart"/>
          </w:tcPr>
          <w:p>
            <w:pPr>
              <w:ind w:left="220"/>
              <w:spacing w:after="0"/>
              <w:rPr>
                <w:sz w:val="20"/>
                <w:szCs w:val="20"/>
                <w:color w:val="auto"/>
              </w:rPr>
            </w:pPr>
            <w:r>
              <w:rPr>
                <w:rFonts w:ascii="Arial" w:cs="Arial" w:eastAsia="Arial" w:hAnsi="Arial"/>
                <w:sz w:val="10"/>
                <w:szCs w:val="10"/>
                <w:color w:val="auto"/>
              </w:rPr>
              <w:t>—</w:t>
            </w:r>
          </w:p>
        </w:tc>
        <w:tc>
          <w:tcPr>
            <w:tcW w:w="640" w:type="dxa"/>
            <w:vAlign w:val="bottom"/>
          </w:tcPr>
          <w:p>
            <w:pPr>
              <w:spacing w:after="0"/>
              <w:rPr>
                <w:sz w:val="8"/>
                <w:szCs w:val="8"/>
                <w:color w:val="auto"/>
              </w:rPr>
            </w:pPr>
          </w:p>
        </w:tc>
        <w:tc>
          <w:tcPr>
            <w:tcW w:w="2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w w:val="99"/>
              </w:rPr>
              <w:t>—</w:t>
            </w:r>
          </w:p>
        </w:tc>
        <w:tc>
          <w:tcPr>
            <w:tcW w:w="12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0"/>
                <w:szCs w:val="10"/>
                <w:color w:val="auto"/>
              </w:rPr>
              <w:t>(30)</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7"/>
        </w:trPr>
        <w:tc>
          <w:tcPr>
            <w:tcW w:w="2980" w:type="dxa"/>
            <w:vAlign w:val="bottom"/>
            <w:gridSpan w:val="2"/>
          </w:tcPr>
          <w:p>
            <w:pPr>
              <w:ind w:left="20"/>
              <w:spacing w:after="0"/>
              <w:rPr>
                <w:sz w:val="20"/>
                <w:szCs w:val="20"/>
                <w:color w:val="auto"/>
              </w:rPr>
            </w:pPr>
            <w:r>
              <w:rPr>
                <w:rFonts w:ascii="Arial" w:cs="Arial" w:eastAsia="Arial" w:hAnsi="Arial"/>
                <w:sz w:val="10"/>
                <w:szCs w:val="10"/>
                <w:color w:val="auto"/>
              </w:rPr>
              <w:t>losses included in net earnings</w:t>
            </w:r>
          </w:p>
        </w:tc>
        <w:tc>
          <w:tcPr>
            <w:tcW w:w="7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Stock-based compensation</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99"/>
              </w:rPr>
              <w:t>—</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7"/>
        </w:trPr>
        <w:tc>
          <w:tcPr>
            <w:tcW w:w="2980" w:type="dxa"/>
            <w:vAlign w:val="bottom"/>
            <w:gridSpan w:val="2"/>
          </w:tcPr>
          <w:p>
            <w:pPr>
              <w:ind w:left="20"/>
              <w:spacing w:after="0"/>
              <w:rPr>
                <w:sz w:val="20"/>
                <w:szCs w:val="20"/>
                <w:color w:val="auto"/>
              </w:rPr>
            </w:pPr>
            <w:r>
              <w:rPr>
                <w:rFonts w:ascii="Arial" w:cs="Arial" w:eastAsia="Arial" w:hAnsi="Arial"/>
                <w:sz w:val="10"/>
                <w:szCs w:val="10"/>
                <w:color w:val="auto"/>
              </w:rPr>
              <w:t>Dividends declared, $0.40 per common share</w:t>
            </w:r>
          </w:p>
        </w:tc>
        <w:tc>
          <w:tcPr>
            <w:tcW w:w="740" w:type="dxa"/>
            <w:vAlign w:val="bottom"/>
            <w:gridSpan w:val="3"/>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(114)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80" w:type="dxa"/>
            <w:vAlign w:val="bottom"/>
            <w:gridSpan w:val="2"/>
          </w:tcPr>
          <w:p>
            <w:pPr>
              <w:ind w:left="220"/>
              <w:spacing w:after="0"/>
              <w:rPr>
                <w:sz w:val="20"/>
                <w:szCs w:val="20"/>
                <w:color w:val="auto"/>
              </w:rPr>
            </w:pPr>
            <w:r>
              <w:rPr>
                <w:rFonts w:ascii="Arial" w:cs="Arial" w:eastAsia="Arial" w:hAnsi="Arial"/>
                <w:sz w:val="10"/>
                <w:szCs w:val="10"/>
                <w:color w:val="auto"/>
              </w:rPr>
              <w:t>—</w:t>
            </w:r>
          </w:p>
        </w:tc>
        <w:tc>
          <w:tcPr>
            <w:tcW w:w="640" w:type="dxa"/>
            <w:vAlign w:val="bottom"/>
          </w:tcPr>
          <w:p>
            <w:pPr>
              <w:spacing w:after="0"/>
              <w:rPr>
                <w:sz w:val="11"/>
                <w:szCs w:val="1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0"/>
                <w:szCs w:val="10"/>
                <w:color w:val="auto"/>
                <w:w w:val="99"/>
              </w:rPr>
              <w:t>—</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(114)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0"/>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Subsidiary dividends declared to non-controlling interests</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7"/>
              </w:rPr>
              <w:t>(5)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7"/>
        </w:trPr>
        <w:tc>
          <w:tcPr>
            <w:tcW w:w="2980" w:type="dxa"/>
            <w:vAlign w:val="bottom"/>
            <w:gridSpan w:val="2"/>
          </w:tcPr>
          <w:p>
            <w:pPr>
              <w:ind w:left="20"/>
              <w:spacing w:after="0"/>
              <w:rPr>
                <w:sz w:val="20"/>
                <w:szCs w:val="20"/>
                <w:color w:val="auto"/>
              </w:rPr>
            </w:pPr>
            <w:r>
              <w:rPr>
                <w:rFonts w:ascii="Arial" w:cs="Arial" w:eastAsia="Arial" w:hAnsi="Arial"/>
                <w:sz w:val="10"/>
                <w:szCs w:val="10"/>
                <w:color w:val="auto"/>
              </w:rPr>
              <w:t>Net earnings</w:t>
            </w:r>
          </w:p>
        </w:tc>
        <w:tc>
          <w:tcPr>
            <w:tcW w:w="740" w:type="dxa"/>
            <w:vAlign w:val="bottom"/>
            <w:gridSpan w:val="3"/>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732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80" w:type="dxa"/>
            <w:vAlign w:val="bottom"/>
            <w:gridSpan w:val="2"/>
          </w:tcPr>
          <w:p>
            <w:pPr>
              <w:ind w:left="220"/>
              <w:spacing w:after="0"/>
              <w:rPr>
                <w:sz w:val="20"/>
                <w:szCs w:val="20"/>
                <w:color w:val="auto"/>
              </w:rPr>
            </w:pPr>
            <w:r>
              <w:rPr>
                <w:rFonts w:ascii="Arial" w:cs="Arial" w:eastAsia="Arial" w:hAnsi="Arial"/>
                <w:sz w:val="10"/>
                <w:szCs w:val="10"/>
                <w:color w:val="auto"/>
              </w:rPr>
              <w:t>—</w:t>
            </w:r>
          </w:p>
        </w:tc>
        <w:tc>
          <w:tcPr>
            <w:tcW w:w="64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9"/>
              <w:spacing w:after="0"/>
              <w:rPr>
                <w:sz w:val="20"/>
                <w:szCs w:val="20"/>
                <w:color w:val="auto"/>
              </w:rPr>
            </w:pPr>
            <w:r>
              <w:rPr>
                <w:rFonts w:ascii="Arial" w:cs="Arial" w:eastAsia="Arial" w:hAnsi="Arial"/>
                <w:sz w:val="10"/>
                <w:szCs w:val="10"/>
                <w:color w:val="auto"/>
              </w:rPr>
              <w:t>737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66"/>
        </w:trPr>
        <w:tc>
          <w:tcPr>
            <w:tcW w:w="2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Balance, September 30, 2021</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324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5,790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3,961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9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1,005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(1,424)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ind w:right="529"/>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42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9,374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 w:name="page9"/>
    <w:bookmarkEnd w:id="8"/>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FIDELITY NATIONAL FINANCIAL,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millions, except per share data)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8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900" w:type="dxa"/>
            <w:vAlign w:val="bottom"/>
            <w:tcBorders>
              <w:bottom w:val="single" w:sz="8" w:color="auto"/>
            </w:tcBorders>
            <w:gridSpan w:val="8"/>
          </w:tcPr>
          <w:p>
            <w:pPr>
              <w:ind w:left="120"/>
              <w:spacing w:after="0"/>
              <w:rPr>
                <w:sz w:val="20"/>
                <w:szCs w:val="20"/>
                <w:color w:val="auto"/>
              </w:rPr>
            </w:pPr>
            <w:r>
              <w:rPr>
                <w:rFonts w:ascii="Arial" w:cs="Arial" w:eastAsia="Arial" w:hAnsi="Arial"/>
                <w:sz w:val="10"/>
                <w:szCs w:val="10"/>
                <w:b w:val="1"/>
                <w:bCs w:val="1"/>
                <w:color w:val="auto"/>
              </w:rPr>
              <w:t>Fidelity National Financial, Inc. Common Shareholders</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Accumulated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center"/>
              <w:ind w:left="489"/>
              <w:spacing w:after="0"/>
              <w:rPr>
                <w:sz w:val="20"/>
                <w:szCs w:val="20"/>
                <w:color w:val="auto"/>
              </w:rPr>
            </w:pPr>
            <w:r>
              <w:rPr>
                <w:rFonts w:ascii="Arial" w:cs="Arial" w:eastAsia="Arial" w:hAnsi="Arial"/>
                <w:sz w:val="10"/>
                <w:szCs w:val="10"/>
                <w:b w:val="1"/>
                <w:bCs w:val="1"/>
                <w:color w:val="auto"/>
              </w:rPr>
              <w:t>FNF</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rPr>
              <w:t>Other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89"/>
              <w:spacing w:after="0"/>
              <w:rPr>
                <w:sz w:val="20"/>
                <w:szCs w:val="20"/>
                <w:color w:val="auto"/>
              </w:rPr>
            </w:pPr>
            <w:r>
              <w:rPr>
                <w:rFonts w:ascii="Arial" w:cs="Arial" w:eastAsia="Arial" w:hAnsi="Arial"/>
                <w:sz w:val="10"/>
                <w:szCs w:val="10"/>
                <w:b w:val="1"/>
                <w:bCs w:val="1"/>
                <w:color w:val="auto"/>
                <w:w w:val="91"/>
              </w:rPr>
              <w:t>Redeemable</w:t>
            </w:r>
          </w:p>
        </w:tc>
        <w:tc>
          <w:tcPr>
            <w:tcW w:w="0" w:type="dxa"/>
            <w:vAlign w:val="bottom"/>
          </w:tcPr>
          <w:p>
            <w:pPr>
              <w:spacing w:after="0"/>
              <w:rPr>
                <w:sz w:val="1"/>
                <w:szCs w:val="1"/>
                <w:color w:val="auto"/>
              </w:rPr>
            </w:pPr>
          </w:p>
        </w:tc>
      </w:tr>
      <w:tr>
        <w:trPr>
          <w:trHeight w:val="144"/>
        </w:trPr>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center"/>
              <w:ind w:left="309"/>
              <w:spacing w:after="0"/>
              <w:rPr>
                <w:sz w:val="20"/>
                <w:szCs w:val="20"/>
                <w:color w:val="auto"/>
              </w:rPr>
            </w:pPr>
            <w:r>
              <w:rPr>
                <w:rFonts w:ascii="Arial" w:cs="Arial" w:eastAsia="Arial" w:hAnsi="Arial"/>
                <w:sz w:val="10"/>
                <w:szCs w:val="10"/>
                <w:b w:val="1"/>
                <w:bCs w:val="1"/>
                <w:color w:val="auto"/>
                <w:w w:val="96"/>
              </w:rPr>
              <w:t>Common</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Additional</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0"/>
              </w:rPr>
              <w:t>Comprehensive</w:t>
            </w:r>
          </w:p>
        </w:tc>
        <w:tc>
          <w:tcPr>
            <w:tcW w:w="900" w:type="dxa"/>
            <w:vAlign w:val="bottom"/>
            <w:gridSpan w:val="3"/>
          </w:tcPr>
          <w:p>
            <w:pPr>
              <w:jc w:val="right"/>
              <w:ind w:right="9"/>
              <w:spacing w:after="0"/>
              <w:rPr>
                <w:sz w:val="20"/>
                <w:szCs w:val="20"/>
                <w:color w:val="auto"/>
              </w:rPr>
            </w:pPr>
            <w:r>
              <w:rPr>
                <w:rFonts w:ascii="Arial" w:cs="Arial" w:eastAsia="Arial" w:hAnsi="Arial"/>
                <w:sz w:val="10"/>
                <w:szCs w:val="10"/>
                <w:b w:val="1"/>
                <w:bCs w:val="1"/>
                <w:color w:val="auto"/>
              </w:rPr>
              <w:t>Treasury</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7"/>
              </w:rPr>
              <w:t>Non-</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89"/>
              <w:spacing w:after="0"/>
              <w:rPr>
                <w:sz w:val="20"/>
                <w:szCs w:val="20"/>
                <w:color w:val="auto"/>
              </w:rPr>
            </w:pPr>
            <w:r>
              <w:rPr>
                <w:rFonts w:ascii="Arial" w:cs="Arial" w:eastAsia="Arial" w:hAnsi="Arial"/>
                <w:sz w:val="10"/>
                <w:szCs w:val="10"/>
                <w:b w:val="1"/>
                <w:bCs w:val="1"/>
                <w:color w:val="auto"/>
                <w:w w:val="96"/>
              </w:rPr>
              <w:t>Non-</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bottom w:val="single" w:sz="8" w:color="auto"/>
            </w:tcBorders>
            <w:gridSpan w:val="4"/>
          </w:tcPr>
          <w:p>
            <w:pPr>
              <w:jc w:val="center"/>
              <w:ind w:left="309"/>
              <w:spacing w:after="0"/>
              <w:rPr>
                <w:sz w:val="20"/>
                <w:szCs w:val="20"/>
                <w:color w:val="auto"/>
              </w:rPr>
            </w:pPr>
            <w:r>
              <w:rPr>
                <w:rFonts w:ascii="Arial" w:cs="Arial" w:eastAsia="Arial" w:hAnsi="Arial"/>
                <w:sz w:val="10"/>
                <w:szCs w:val="10"/>
                <w:b w:val="1"/>
                <w:bCs w:val="1"/>
                <w:color w:val="auto"/>
                <w:w w:val="95"/>
              </w:rPr>
              <w:t>Stock</w:t>
            </w: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Paid-in</w:t>
            </w:r>
          </w:p>
        </w:tc>
        <w:tc>
          <w:tcPr>
            <w:tcW w:w="1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0"/>
                <w:szCs w:val="10"/>
                <w:b w:val="1"/>
                <w:bCs w:val="1"/>
                <w:color w:val="auto"/>
              </w:rPr>
              <w:t>Retained</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3"/>
              </w:rPr>
              <w:t>Earnings</w:t>
            </w:r>
          </w:p>
        </w:tc>
        <w:tc>
          <w:tcPr>
            <w:tcW w:w="90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0"/>
                <w:szCs w:val="10"/>
                <w:b w:val="1"/>
                <w:bCs w:val="1"/>
                <w:color w:val="auto"/>
              </w:rPr>
              <w:t>Stock</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controlling</w:t>
            </w:r>
          </w:p>
        </w:tc>
        <w:tc>
          <w:tcPr>
            <w:tcW w:w="120" w:type="dxa"/>
            <w:vAlign w:val="bottom"/>
          </w:tcPr>
          <w:p>
            <w:pPr>
              <w:spacing w:after="0"/>
              <w:rPr>
                <w:sz w:val="12"/>
                <w:szCs w:val="12"/>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Total</w:t>
            </w:r>
          </w:p>
        </w:tc>
        <w:tc>
          <w:tcPr>
            <w:tcW w:w="120" w:type="dxa"/>
            <w:vAlign w:val="bottom"/>
          </w:tcPr>
          <w:p>
            <w:pPr>
              <w:spacing w:after="0"/>
              <w:rPr>
                <w:sz w:val="12"/>
                <w:szCs w:val="12"/>
                <w:color w:val="auto"/>
              </w:rPr>
            </w:pPr>
          </w:p>
        </w:tc>
        <w:tc>
          <w:tcPr>
            <w:tcW w:w="760" w:type="dxa"/>
            <w:vAlign w:val="bottom"/>
          </w:tcPr>
          <w:p>
            <w:pPr>
              <w:jc w:val="center"/>
              <w:ind w:right="69"/>
              <w:spacing w:after="0"/>
              <w:rPr>
                <w:sz w:val="20"/>
                <w:szCs w:val="20"/>
                <w:color w:val="auto"/>
              </w:rPr>
            </w:pPr>
            <w:r>
              <w:rPr>
                <w:rFonts w:ascii="Arial" w:cs="Arial" w:eastAsia="Arial" w:hAnsi="Arial"/>
                <w:sz w:val="10"/>
                <w:szCs w:val="10"/>
                <w:b w:val="1"/>
                <w:bCs w:val="1"/>
                <w:color w:val="auto"/>
                <w:w w:val="92"/>
              </w:rPr>
              <w:t>controlling</w:t>
            </w: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ind w:left="160"/>
              <w:spacing w:after="0"/>
              <w:rPr>
                <w:sz w:val="20"/>
                <w:szCs w:val="20"/>
                <w:color w:val="auto"/>
              </w:rPr>
            </w:pPr>
            <w:r>
              <w:rPr>
                <w:rFonts w:ascii="Arial" w:cs="Arial" w:eastAsia="Arial" w:hAnsi="Arial"/>
                <w:sz w:val="10"/>
                <w:szCs w:val="10"/>
                <w:b w:val="1"/>
                <w:bCs w:val="1"/>
                <w:color w:val="auto"/>
              </w:rPr>
              <w:t>Shares</w:t>
            </w:r>
          </w:p>
        </w:tc>
        <w:tc>
          <w:tcPr>
            <w:tcW w:w="160" w:type="dxa"/>
            <w:vAlign w:val="bottom"/>
          </w:tcPr>
          <w:p>
            <w:pPr>
              <w:spacing w:after="0"/>
              <w:rPr>
                <w:sz w:val="11"/>
                <w:szCs w:val="11"/>
                <w:color w:val="auto"/>
              </w:rPr>
            </w:pPr>
          </w:p>
        </w:tc>
        <w:tc>
          <w:tcPr>
            <w:tcW w:w="360" w:type="dxa"/>
            <w:vAlign w:val="bottom"/>
          </w:tcPr>
          <w:p>
            <w:pPr>
              <w:ind w:left="80"/>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Capital</w:t>
            </w:r>
          </w:p>
        </w:tc>
        <w:tc>
          <w:tcPr>
            <w:tcW w:w="1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0"/>
                <w:szCs w:val="10"/>
                <w:b w:val="1"/>
                <w:bCs w:val="1"/>
                <w:color w:val="auto"/>
              </w:rPr>
              <w:t>Earnings</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3"/>
              </w:rPr>
              <w:t>(Loss)</w:t>
            </w:r>
          </w:p>
        </w:tc>
        <w:tc>
          <w:tcPr>
            <w:tcW w:w="720" w:type="dxa"/>
            <w:vAlign w:val="bottom"/>
            <w:gridSpan w:val="2"/>
          </w:tcPr>
          <w:p>
            <w:pPr>
              <w:ind w:left="160"/>
              <w:spacing w:after="0"/>
              <w:rPr>
                <w:sz w:val="20"/>
                <w:szCs w:val="20"/>
                <w:color w:val="auto"/>
              </w:rPr>
            </w:pPr>
            <w:r>
              <w:rPr>
                <w:rFonts w:ascii="Arial" w:cs="Arial" w:eastAsia="Arial" w:hAnsi="Arial"/>
                <w:sz w:val="10"/>
                <w:szCs w:val="10"/>
                <w:b w:val="1"/>
                <w:bCs w:val="1"/>
                <w:color w:val="auto"/>
              </w:rPr>
              <w:t>Shares</w:t>
            </w:r>
          </w:p>
        </w:tc>
        <w:tc>
          <w:tcPr>
            <w:tcW w:w="180" w:type="dxa"/>
            <w:vAlign w:val="bottom"/>
          </w:tcPr>
          <w:p>
            <w:pPr>
              <w:spacing w:after="0"/>
              <w:rPr>
                <w:sz w:val="11"/>
                <w:szCs w:val="11"/>
                <w:color w:val="auto"/>
              </w:rPr>
            </w:pPr>
          </w:p>
        </w:tc>
        <w:tc>
          <w:tcPr>
            <w:tcW w:w="380" w:type="dxa"/>
            <w:vAlign w:val="bottom"/>
          </w:tcPr>
          <w:p>
            <w:pPr>
              <w:ind w:left="80"/>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Interests</w:t>
            </w:r>
          </w:p>
        </w:tc>
        <w:tc>
          <w:tcPr>
            <w:tcW w:w="120" w:type="dxa"/>
            <w:vAlign w:val="bottom"/>
          </w:tcPr>
          <w:p>
            <w:pPr>
              <w:spacing w:after="0"/>
              <w:rPr>
                <w:sz w:val="11"/>
                <w:szCs w:val="11"/>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8"/>
              </w:rPr>
              <w:t>Equity</w:t>
            </w:r>
          </w:p>
        </w:tc>
        <w:tc>
          <w:tcPr>
            <w:tcW w:w="120" w:type="dxa"/>
            <w:vAlign w:val="bottom"/>
          </w:tcPr>
          <w:p>
            <w:pPr>
              <w:spacing w:after="0"/>
              <w:rPr>
                <w:sz w:val="11"/>
                <w:szCs w:val="11"/>
                <w:color w:val="auto"/>
              </w:rPr>
            </w:pPr>
          </w:p>
        </w:tc>
        <w:tc>
          <w:tcPr>
            <w:tcW w:w="760" w:type="dxa"/>
            <w:vAlign w:val="bottom"/>
          </w:tcPr>
          <w:p>
            <w:pPr>
              <w:jc w:val="center"/>
              <w:ind w:right="89"/>
              <w:spacing w:after="0"/>
              <w:rPr>
                <w:sz w:val="20"/>
                <w:szCs w:val="20"/>
                <w:color w:val="auto"/>
              </w:rPr>
            </w:pPr>
            <w:r>
              <w:rPr>
                <w:rFonts w:ascii="Arial" w:cs="Arial" w:eastAsia="Arial" w:hAnsi="Arial"/>
                <w:sz w:val="10"/>
                <w:szCs w:val="10"/>
                <w:b w:val="1"/>
                <w:bCs w:val="1"/>
                <w:color w:val="auto"/>
                <w:w w:val="91"/>
              </w:rPr>
              <w:t>Interests</w:t>
            </w:r>
          </w:p>
        </w:tc>
        <w:tc>
          <w:tcPr>
            <w:tcW w:w="0" w:type="dxa"/>
            <w:vAlign w:val="bottom"/>
          </w:tcPr>
          <w:p>
            <w:pPr>
              <w:spacing w:after="0"/>
              <w:rPr>
                <w:sz w:val="1"/>
                <w:szCs w:val="1"/>
                <w:color w:val="auto"/>
              </w:rPr>
            </w:pPr>
          </w:p>
        </w:tc>
      </w:tr>
      <w:tr>
        <w:trPr>
          <w:trHeight w:val="137"/>
        </w:trPr>
        <w:tc>
          <w:tcPr>
            <w:tcW w:w="2980" w:type="dxa"/>
            <w:vAlign w:val="bottom"/>
            <w:gridSpan w:val="2"/>
          </w:tcPr>
          <w:p>
            <w:pPr>
              <w:ind w:left="20"/>
              <w:spacing w:after="0"/>
              <w:rPr>
                <w:sz w:val="20"/>
                <w:szCs w:val="20"/>
                <w:color w:val="auto"/>
              </w:rPr>
            </w:pPr>
            <w:r>
              <w:rPr>
                <w:rFonts w:ascii="Arial" w:cs="Arial" w:eastAsia="Arial" w:hAnsi="Arial"/>
                <w:sz w:val="10"/>
                <w:szCs w:val="10"/>
                <w:color w:val="auto"/>
              </w:rPr>
              <w:t>Balance, December 31, 2019</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292</w:t>
            </w: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tcPr>
          <w:p>
            <w:pPr>
              <w:ind w:lef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4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rPr>
              <w:t>4,581</w:t>
            </w:r>
          </w:p>
        </w:tc>
        <w:tc>
          <w:tcPr>
            <w:tcW w:w="8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1,356</w:t>
            </w:r>
          </w:p>
        </w:tc>
        <w:tc>
          <w:tcPr>
            <w:tcW w:w="100" w:type="dxa"/>
            <w:vAlign w:val="bottom"/>
          </w:tcPr>
          <w:p>
            <w:pPr>
              <w:spacing w:after="0"/>
              <w:rPr>
                <w:sz w:val="11"/>
                <w:szCs w:val="11"/>
                <w:color w:val="auto"/>
              </w:rPr>
            </w:pPr>
          </w:p>
        </w:tc>
        <w:tc>
          <w:tcPr>
            <w:tcW w:w="14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rPr>
              <w:t>$</w:t>
            </w:r>
          </w:p>
        </w:tc>
        <w:tc>
          <w:tcPr>
            <w:tcW w:w="98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rPr>
              <w:t>43</w:t>
            </w:r>
          </w:p>
        </w:tc>
        <w:tc>
          <w:tcPr>
            <w:tcW w:w="100" w:type="dxa"/>
            <w:vAlign w:val="bottom"/>
          </w:tcPr>
          <w:p>
            <w:pPr>
              <w:spacing w:after="0"/>
              <w:rPr>
                <w:sz w:val="11"/>
                <w:szCs w:val="1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17</w:t>
            </w:r>
          </w:p>
        </w:tc>
        <w:tc>
          <w:tcPr>
            <w:tcW w:w="100" w:type="dxa"/>
            <w:vAlign w:val="bottom"/>
          </w:tcPr>
          <w:p>
            <w:pPr>
              <w:spacing w:after="0"/>
              <w:rPr>
                <w:sz w:val="11"/>
                <w:szCs w:val="11"/>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(598)</w:t>
            </w:r>
          </w:p>
        </w:tc>
        <w:tc>
          <w:tcPr>
            <w:tcW w:w="10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(17)</w:t>
            </w: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rPr>
              <w:t>5,365</w:t>
            </w: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344</w:t>
            </w:r>
          </w:p>
        </w:tc>
        <w:tc>
          <w:tcPr>
            <w:tcW w:w="0" w:type="dxa"/>
            <w:vAlign w:val="bottom"/>
          </w:tcPr>
          <w:p>
            <w:pPr>
              <w:spacing w:after="0"/>
              <w:rPr>
                <w:sz w:val="1"/>
                <w:szCs w:val="1"/>
                <w:color w:val="auto"/>
              </w:rPr>
            </w:pPr>
          </w:p>
        </w:tc>
      </w:tr>
      <w:tr>
        <w:trPr>
          <w:trHeight w:val="150"/>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F&amp;G acquisition</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826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609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980" w:type="dxa"/>
            <w:vAlign w:val="bottom"/>
            <w:gridSpan w:val="2"/>
          </w:tcPr>
          <w:p>
            <w:pPr>
              <w:ind w:left="20"/>
              <w:spacing w:after="0"/>
              <w:rPr>
                <w:sz w:val="20"/>
                <w:szCs w:val="20"/>
                <w:color w:val="auto"/>
              </w:rPr>
            </w:pPr>
            <w:r>
              <w:rPr>
                <w:rFonts w:ascii="Arial" w:cs="Arial" w:eastAsia="Arial" w:hAnsi="Arial"/>
                <w:sz w:val="10"/>
                <w:szCs w:val="10"/>
                <w:color w:val="auto"/>
              </w:rPr>
              <w:t>Redemption of Servicelink non-controlling interest</w:t>
            </w:r>
          </w:p>
        </w:tc>
        <w:tc>
          <w:tcPr>
            <w:tcW w:w="740" w:type="dxa"/>
            <w:vAlign w:val="bottom"/>
            <w:gridSpan w:val="3"/>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ind w:right="9"/>
              <w:spacing w:after="0"/>
              <w:rPr>
                <w:sz w:val="20"/>
                <w:szCs w:val="20"/>
                <w:color w:val="auto"/>
              </w:rPr>
            </w:pPr>
            <w:r>
              <w:rPr>
                <w:rFonts w:ascii="Arial" w:cs="Arial" w:eastAsia="Arial" w:hAnsi="Arial"/>
                <w:sz w:val="10"/>
                <w:szCs w:val="10"/>
                <w:color w:val="auto"/>
              </w:rPr>
              <w:t>158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80" w:type="dxa"/>
            <w:vAlign w:val="bottom"/>
            <w:gridSpan w:val="2"/>
          </w:tcPr>
          <w:p>
            <w:pPr>
              <w:ind w:lef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47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9"/>
              <w:spacing w:after="0"/>
              <w:rPr>
                <w:sz w:val="20"/>
                <w:szCs w:val="20"/>
                <w:color w:val="auto"/>
              </w:rPr>
            </w:pPr>
            <w:r>
              <w:rPr>
                <w:rFonts w:ascii="Arial" w:cs="Arial" w:eastAsia="Arial" w:hAnsi="Arial"/>
                <w:sz w:val="10"/>
                <w:szCs w:val="10"/>
                <w:color w:val="auto"/>
              </w:rPr>
              <w:t>205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(344)</w:t>
            </w:r>
          </w:p>
        </w:tc>
        <w:tc>
          <w:tcPr>
            <w:tcW w:w="0" w:type="dxa"/>
            <w:vAlign w:val="bottom"/>
          </w:tcPr>
          <w:p>
            <w:pPr>
              <w:spacing w:after="0"/>
              <w:rPr>
                <w:sz w:val="1"/>
                <w:szCs w:val="1"/>
                <w:color w:val="auto"/>
              </w:rPr>
            </w:pPr>
          </w:p>
        </w:tc>
      </w:tr>
      <w:tr>
        <w:trPr>
          <w:trHeight w:val="150"/>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Exercise of stock options</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48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48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7"/>
        </w:trPr>
        <w:tc>
          <w:tcPr>
            <w:tcW w:w="2980" w:type="dxa"/>
            <w:vAlign w:val="bottom"/>
            <w:gridSpan w:val="2"/>
          </w:tcPr>
          <w:p>
            <w:pPr>
              <w:ind w:left="20"/>
              <w:spacing w:after="0"/>
              <w:rPr>
                <w:sz w:val="20"/>
                <w:szCs w:val="20"/>
                <w:color w:val="auto"/>
              </w:rPr>
            </w:pPr>
            <w:r>
              <w:rPr>
                <w:rFonts w:ascii="Arial" w:cs="Arial" w:eastAsia="Arial" w:hAnsi="Arial"/>
                <w:sz w:val="10"/>
                <w:szCs w:val="10"/>
                <w:color w:val="auto"/>
              </w:rPr>
              <w:t>Treasury stock repurchased</w:t>
            </w:r>
          </w:p>
        </w:tc>
        <w:tc>
          <w:tcPr>
            <w:tcW w:w="740" w:type="dxa"/>
            <w:vAlign w:val="bottom"/>
            <w:gridSpan w:val="3"/>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(104)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(104)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980" w:type="dxa"/>
            <w:vAlign w:val="bottom"/>
            <w:gridSpan w:val="2"/>
            <w:shd w:val="clear" w:color="auto" w:fill="CCEEFF"/>
          </w:tcPr>
          <w:p>
            <w:pPr>
              <w:ind w:left="20"/>
              <w:spacing w:after="0" w:line="106" w:lineRule="exact"/>
              <w:rPr>
                <w:sz w:val="20"/>
                <w:szCs w:val="20"/>
                <w:color w:val="auto"/>
              </w:rPr>
            </w:pPr>
            <w:r>
              <w:rPr>
                <w:rFonts w:ascii="Arial" w:cs="Arial" w:eastAsia="Arial" w:hAnsi="Arial"/>
                <w:sz w:val="10"/>
                <w:szCs w:val="10"/>
                <w:color w:val="auto"/>
              </w:rPr>
              <w:t>Change in reinsurance liabilities held at fair value resulting from a</w:t>
            </w:r>
          </w:p>
        </w:tc>
        <w:tc>
          <w:tcPr>
            <w:tcW w:w="7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change in instrument-specific credit risk</w:t>
            </w:r>
          </w:p>
        </w:tc>
        <w:tc>
          <w:tcPr>
            <w:tcW w:w="740" w:type="dxa"/>
            <w:vAlign w:val="bottom"/>
            <w:gridSpan w:val="3"/>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980" w:type="dxa"/>
            <w:vAlign w:val="bottom"/>
            <w:gridSpan w:val="2"/>
          </w:tcPr>
          <w:p>
            <w:pPr>
              <w:ind w:left="20"/>
              <w:spacing w:after="0" w:line="100" w:lineRule="exact"/>
              <w:rPr>
                <w:sz w:val="20"/>
                <w:szCs w:val="20"/>
                <w:color w:val="auto"/>
              </w:rPr>
            </w:pPr>
            <w:r>
              <w:rPr>
                <w:rFonts w:ascii="Arial" w:cs="Arial" w:eastAsia="Arial" w:hAnsi="Arial"/>
                <w:sz w:val="10"/>
                <w:szCs w:val="10"/>
                <w:color w:val="auto"/>
                <w:w w:val="97"/>
              </w:rPr>
              <w:t>Other comprehensive earnings - unrealized gain on investments and</w:t>
            </w:r>
          </w:p>
        </w:tc>
        <w:tc>
          <w:tcPr>
            <w:tcW w:w="740" w:type="dxa"/>
            <w:vAlign w:val="bottom"/>
            <w:gridSpan w:val="3"/>
            <w:vMerge w:val="restart"/>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460" w:type="dxa"/>
            <w:vAlign w:val="bottom"/>
            <w:gridSpan w:val="2"/>
            <w:vMerge w:val="restart"/>
          </w:tcPr>
          <w:p>
            <w:pPr>
              <w:ind w:lef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980" w:type="dxa"/>
            <w:vAlign w:val="bottom"/>
            <w:vMerge w:val="restart"/>
          </w:tcPr>
          <w:p>
            <w:pPr>
              <w:jc w:val="right"/>
              <w:ind w:right="9"/>
              <w:spacing w:after="0"/>
              <w:rPr>
                <w:sz w:val="20"/>
                <w:szCs w:val="20"/>
                <w:color w:val="auto"/>
              </w:rPr>
            </w:pPr>
            <w:r>
              <w:rPr>
                <w:rFonts w:ascii="Arial" w:cs="Arial" w:eastAsia="Arial" w:hAnsi="Arial"/>
                <w:sz w:val="10"/>
                <w:szCs w:val="10"/>
                <w:color w:val="auto"/>
              </w:rPr>
              <w:t>683</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480" w:type="dxa"/>
            <w:vAlign w:val="bottom"/>
            <w:gridSpan w:val="2"/>
            <w:vMerge w:val="restart"/>
          </w:tcPr>
          <w:p>
            <w:pPr>
              <w:ind w:lef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520" w:type="dxa"/>
            <w:vAlign w:val="bottom"/>
            <w:vMerge w:val="restart"/>
          </w:tcPr>
          <w:p>
            <w:pPr>
              <w:jc w:val="right"/>
              <w:ind w:right="9"/>
              <w:spacing w:after="0"/>
              <w:rPr>
                <w:sz w:val="20"/>
                <w:szCs w:val="20"/>
                <w:color w:val="auto"/>
              </w:rPr>
            </w:pPr>
            <w:r>
              <w:rPr>
                <w:rFonts w:ascii="Arial" w:cs="Arial" w:eastAsia="Arial" w:hAnsi="Arial"/>
                <w:sz w:val="10"/>
                <w:szCs w:val="10"/>
                <w:color w:val="auto"/>
              </w:rPr>
              <w:t>683</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7"/>
        </w:trPr>
        <w:tc>
          <w:tcPr>
            <w:tcW w:w="2980" w:type="dxa"/>
            <w:vAlign w:val="bottom"/>
            <w:gridSpan w:val="2"/>
          </w:tcPr>
          <w:p>
            <w:pPr>
              <w:ind w:left="20"/>
              <w:spacing w:after="0"/>
              <w:rPr>
                <w:sz w:val="20"/>
                <w:szCs w:val="20"/>
                <w:color w:val="auto"/>
              </w:rPr>
            </w:pPr>
            <w:r>
              <w:rPr>
                <w:rFonts w:ascii="Arial" w:cs="Arial" w:eastAsia="Arial" w:hAnsi="Arial"/>
                <w:sz w:val="10"/>
                <w:szCs w:val="10"/>
                <w:color w:val="auto"/>
              </w:rPr>
              <w:t>other financial instruments</w:t>
            </w:r>
          </w:p>
        </w:tc>
        <w:tc>
          <w:tcPr>
            <w:tcW w:w="7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980" w:type="dxa"/>
            <w:vAlign w:val="bottom"/>
            <w:gridSpan w:val="2"/>
            <w:shd w:val="clear" w:color="auto" w:fill="CCEEFF"/>
          </w:tcPr>
          <w:p>
            <w:pPr>
              <w:ind w:left="20"/>
              <w:spacing w:after="0" w:line="106" w:lineRule="exact"/>
              <w:rPr>
                <w:sz w:val="20"/>
                <w:szCs w:val="20"/>
                <w:color w:val="auto"/>
              </w:rPr>
            </w:pPr>
            <w:r>
              <w:rPr>
                <w:rFonts w:ascii="Arial" w:cs="Arial" w:eastAsia="Arial" w:hAnsi="Arial"/>
                <w:sz w:val="10"/>
                <w:szCs w:val="10"/>
                <w:color w:val="auto"/>
                <w:w w:val="99"/>
              </w:rPr>
              <w:t>Other comprehensive earnings - unrealized gain on investments in</w:t>
            </w:r>
          </w:p>
        </w:tc>
        <w:tc>
          <w:tcPr>
            <w:tcW w:w="7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right"/>
              <w:ind w:right="9"/>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9"/>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unconsolidated affiliates</w:t>
            </w:r>
          </w:p>
        </w:tc>
        <w:tc>
          <w:tcPr>
            <w:tcW w:w="740" w:type="dxa"/>
            <w:vAlign w:val="bottom"/>
            <w:gridSpan w:val="3"/>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980" w:type="dxa"/>
            <w:vAlign w:val="bottom"/>
            <w:gridSpan w:val="2"/>
          </w:tcPr>
          <w:p>
            <w:pPr>
              <w:ind w:left="20"/>
              <w:spacing w:after="0" w:line="100" w:lineRule="exact"/>
              <w:rPr>
                <w:sz w:val="20"/>
                <w:szCs w:val="20"/>
                <w:color w:val="auto"/>
              </w:rPr>
            </w:pPr>
            <w:r>
              <w:rPr>
                <w:rFonts w:ascii="Arial" w:cs="Arial" w:eastAsia="Arial" w:hAnsi="Arial"/>
                <w:sz w:val="10"/>
                <w:szCs w:val="10"/>
                <w:color w:val="auto"/>
              </w:rPr>
              <w:t>Other comprehensive loss - unrealized loss on foreign currency</w:t>
            </w:r>
          </w:p>
        </w:tc>
        <w:tc>
          <w:tcPr>
            <w:tcW w:w="740" w:type="dxa"/>
            <w:vAlign w:val="bottom"/>
            <w:gridSpan w:val="3"/>
            <w:vMerge w:val="restart"/>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460" w:type="dxa"/>
            <w:vAlign w:val="bottom"/>
            <w:gridSpan w:val="2"/>
            <w:vMerge w:val="restart"/>
          </w:tcPr>
          <w:p>
            <w:pPr>
              <w:ind w:lef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980" w:type="dxa"/>
            <w:vAlign w:val="bottom"/>
            <w:vMerge w:val="restart"/>
          </w:tcPr>
          <w:p>
            <w:pPr>
              <w:jc w:val="right"/>
              <w:ind w:right="9"/>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480" w:type="dxa"/>
            <w:vAlign w:val="bottom"/>
            <w:gridSpan w:val="2"/>
            <w:vMerge w:val="restart"/>
          </w:tcPr>
          <w:p>
            <w:pPr>
              <w:ind w:lef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520" w:type="dxa"/>
            <w:vAlign w:val="bottom"/>
            <w:vMerge w:val="restart"/>
          </w:tcPr>
          <w:p>
            <w:pPr>
              <w:jc w:val="right"/>
              <w:ind w:right="9"/>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7"/>
        </w:trPr>
        <w:tc>
          <w:tcPr>
            <w:tcW w:w="2980" w:type="dxa"/>
            <w:vAlign w:val="bottom"/>
            <w:gridSpan w:val="2"/>
          </w:tcPr>
          <w:p>
            <w:pPr>
              <w:ind w:left="20"/>
              <w:spacing w:after="0"/>
              <w:rPr>
                <w:sz w:val="20"/>
                <w:szCs w:val="20"/>
                <w:color w:val="auto"/>
              </w:rPr>
            </w:pPr>
            <w:r>
              <w:rPr>
                <w:rFonts w:ascii="Arial" w:cs="Arial" w:eastAsia="Arial" w:hAnsi="Arial"/>
                <w:sz w:val="10"/>
                <w:szCs w:val="10"/>
                <w:color w:val="auto"/>
              </w:rPr>
              <w:t>translation</w:t>
            </w:r>
          </w:p>
        </w:tc>
        <w:tc>
          <w:tcPr>
            <w:tcW w:w="7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980" w:type="dxa"/>
            <w:vAlign w:val="bottom"/>
            <w:gridSpan w:val="2"/>
            <w:shd w:val="clear" w:color="auto" w:fill="CCEEFF"/>
          </w:tcPr>
          <w:p>
            <w:pPr>
              <w:ind w:left="20"/>
              <w:spacing w:after="0" w:line="106" w:lineRule="exact"/>
              <w:rPr>
                <w:sz w:val="20"/>
                <w:szCs w:val="20"/>
                <w:color w:val="auto"/>
              </w:rPr>
            </w:pPr>
            <w:r>
              <w:rPr>
                <w:rFonts w:ascii="Arial" w:cs="Arial" w:eastAsia="Arial" w:hAnsi="Arial"/>
                <w:sz w:val="10"/>
                <w:szCs w:val="10"/>
                <w:color w:val="auto"/>
              </w:rPr>
              <w:t>Reclassification adjustments for change in unrealized gains and</w:t>
            </w:r>
          </w:p>
        </w:tc>
        <w:tc>
          <w:tcPr>
            <w:tcW w:w="7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(11)</w:t>
            </w: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(11)</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losses included in net earnings</w:t>
            </w:r>
          </w:p>
        </w:tc>
        <w:tc>
          <w:tcPr>
            <w:tcW w:w="740" w:type="dxa"/>
            <w:vAlign w:val="bottom"/>
            <w:gridSpan w:val="3"/>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980" w:type="dxa"/>
            <w:vAlign w:val="bottom"/>
            <w:gridSpan w:val="2"/>
          </w:tcPr>
          <w:p>
            <w:pPr>
              <w:ind w:left="20"/>
              <w:spacing w:after="0"/>
              <w:rPr>
                <w:sz w:val="20"/>
                <w:szCs w:val="20"/>
                <w:color w:val="auto"/>
              </w:rPr>
            </w:pPr>
            <w:r>
              <w:rPr>
                <w:rFonts w:ascii="Arial" w:cs="Arial" w:eastAsia="Arial" w:hAnsi="Arial"/>
                <w:sz w:val="10"/>
                <w:szCs w:val="10"/>
                <w:color w:val="auto"/>
              </w:rPr>
              <w:t>Stock-based compensation</w:t>
            </w:r>
          </w:p>
        </w:tc>
        <w:tc>
          <w:tcPr>
            <w:tcW w:w="740" w:type="dxa"/>
            <w:vAlign w:val="bottom"/>
            <w:gridSpan w:val="3"/>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ind w:right="9"/>
              <w:spacing w:after="0"/>
              <w:rPr>
                <w:sz w:val="20"/>
                <w:szCs w:val="20"/>
                <w:color w:val="auto"/>
              </w:rPr>
            </w:pPr>
            <w:r>
              <w:rPr>
                <w:rFonts w:ascii="Arial" w:cs="Arial" w:eastAsia="Arial" w:hAnsi="Arial"/>
                <w:sz w:val="10"/>
                <w:szCs w:val="10"/>
                <w:color w:val="auto"/>
              </w:rPr>
              <w:t>29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80" w:type="dxa"/>
            <w:vAlign w:val="bottom"/>
            <w:gridSpan w:val="2"/>
          </w:tcPr>
          <w:p>
            <w:pPr>
              <w:ind w:lef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20" w:type="dxa"/>
            <w:vAlign w:val="bottom"/>
          </w:tcPr>
          <w:p>
            <w:pPr>
              <w:jc w:val="right"/>
              <w:ind w:right="9"/>
              <w:spacing w:after="0"/>
              <w:rPr>
                <w:sz w:val="20"/>
                <w:szCs w:val="20"/>
                <w:color w:val="auto"/>
              </w:rPr>
            </w:pPr>
            <w:r>
              <w:rPr>
                <w:rFonts w:ascii="Arial" w:cs="Arial" w:eastAsia="Arial" w:hAnsi="Arial"/>
                <w:sz w:val="10"/>
                <w:szCs w:val="10"/>
                <w:color w:val="auto"/>
              </w:rPr>
              <w:t>29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0"/>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Dividends declared, $0.99 per common share</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7"/>
        </w:trPr>
        <w:tc>
          <w:tcPr>
            <w:tcW w:w="2980" w:type="dxa"/>
            <w:vAlign w:val="bottom"/>
            <w:gridSpan w:val="2"/>
          </w:tcPr>
          <w:p>
            <w:pPr>
              <w:ind w:left="20"/>
              <w:spacing w:after="0"/>
              <w:rPr>
                <w:sz w:val="20"/>
                <w:szCs w:val="20"/>
                <w:color w:val="auto"/>
              </w:rPr>
            </w:pPr>
            <w:r>
              <w:rPr>
                <w:rFonts w:ascii="Arial" w:cs="Arial" w:eastAsia="Arial" w:hAnsi="Arial"/>
                <w:sz w:val="10"/>
                <w:szCs w:val="10"/>
                <w:color w:val="auto"/>
              </w:rPr>
              <w:t>Subsidiary dividends declared to non-controlling interests</w:t>
            </w:r>
          </w:p>
        </w:tc>
        <w:tc>
          <w:tcPr>
            <w:tcW w:w="740" w:type="dxa"/>
            <w:vAlign w:val="bottom"/>
            <w:gridSpan w:val="3"/>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80" w:type="dxa"/>
            <w:vAlign w:val="bottom"/>
            <w:gridSpan w:val="2"/>
          </w:tcPr>
          <w:p>
            <w:pPr>
              <w:ind w:lef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0"/>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Net earnings</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626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646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5"/>
        </w:trPr>
        <w:tc>
          <w:tcPr>
            <w:tcW w:w="2980" w:type="dxa"/>
            <w:vAlign w:val="bottom"/>
            <w:gridSpan w:val="2"/>
          </w:tcPr>
          <w:p>
            <w:pPr>
              <w:ind w:left="20"/>
              <w:spacing w:after="0"/>
              <w:rPr>
                <w:sz w:val="20"/>
                <w:szCs w:val="20"/>
                <w:color w:val="auto"/>
              </w:rPr>
            </w:pPr>
            <w:r>
              <w:rPr>
                <w:rFonts w:ascii="Arial" w:cs="Arial" w:eastAsia="Arial" w:hAnsi="Arial"/>
                <w:sz w:val="10"/>
                <w:szCs w:val="10"/>
                <w:color w:val="auto"/>
              </w:rPr>
              <w:t>Balance, September 30, 2020</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320</w:t>
            </w:r>
          </w:p>
        </w:tc>
        <w:tc>
          <w:tcPr>
            <w:tcW w:w="100" w:type="dxa"/>
            <w:vAlign w:val="bottom"/>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rPr>
              <w:t>5,642</w:t>
            </w: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1,698</w:t>
            </w: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rPr>
              <w:t>$</w:t>
            </w:r>
          </w:p>
        </w:tc>
        <w:tc>
          <w:tcPr>
            <w:tcW w:w="9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rPr>
              <w:t>720</w:t>
            </w:r>
          </w:p>
        </w:tc>
        <w:tc>
          <w:tcPr>
            <w:tcW w:w="10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27</w:t>
            </w:r>
          </w:p>
        </w:tc>
        <w:tc>
          <w:tcPr>
            <w:tcW w:w="10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(919)</w:t>
            </w: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41</w:t>
            </w: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rPr>
              <w:t>7,182</w:t>
            </w: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75"/>
        </w:trPr>
        <w:tc>
          <w:tcPr>
            <w:tcW w:w="28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980" w:type="dxa"/>
            <w:vAlign w:val="bottom"/>
            <w:tcBorders>
              <w:top w:val="single" w:sz="8" w:color="CCEEFF"/>
            </w:tcBorders>
            <w:gridSpan w:val="2"/>
          </w:tcPr>
          <w:p>
            <w:pPr>
              <w:ind w:left="20"/>
              <w:spacing w:after="0"/>
              <w:rPr>
                <w:sz w:val="20"/>
                <w:szCs w:val="20"/>
                <w:color w:val="auto"/>
              </w:rPr>
            </w:pPr>
            <w:r>
              <w:rPr>
                <w:rFonts w:ascii="Arial" w:cs="Arial" w:eastAsia="Arial" w:hAnsi="Arial"/>
                <w:sz w:val="10"/>
                <w:szCs w:val="10"/>
                <w:color w:val="auto"/>
              </w:rPr>
              <w:t>Balance, December 31, 2020</w:t>
            </w:r>
          </w:p>
        </w:tc>
        <w:tc>
          <w:tcPr>
            <w:tcW w:w="62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323</w:t>
            </w:r>
          </w:p>
        </w:tc>
        <w:tc>
          <w:tcPr>
            <w:tcW w:w="10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jc w:val="right"/>
              <w:ind w:right="4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CCEEFF"/>
            </w:tcBorders>
            <w:gridSpan w:val="2"/>
          </w:tcPr>
          <w:p>
            <w:pPr>
              <w:ind w:left="220"/>
              <w:spacing w:after="0"/>
              <w:rPr>
                <w:sz w:val="20"/>
                <w:szCs w:val="20"/>
                <w:color w:val="auto"/>
              </w:rPr>
            </w:pPr>
            <w:r>
              <w:rPr>
                <w:rFonts w:ascii="Arial" w:cs="Arial" w:eastAsia="Arial" w:hAnsi="Arial"/>
                <w:sz w:val="10"/>
                <w:szCs w:val="10"/>
                <w:color w:val="auto"/>
              </w:rPr>
              <w:t>—</w:t>
            </w:r>
          </w:p>
        </w:tc>
        <w:tc>
          <w:tcPr>
            <w:tcW w:w="140" w:type="dxa"/>
            <w:vAlign w:val="bottom"/>
            <w:tcBorders>
              <w:top w:val="single" w:sz="8" w:color="CCEEFF"/>
            </w:tcBorders>
          </w:tcPr>
          <w:p>
            <w:pPr>
              <w:jc w:val="right"/>
              <w:ind w:right="9"/>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CCEEFF"/>
            </w:tcBorders>
          </w:tcPr>
          <w:p>
            <w:pPr>
              <w:jc w:val="right"/>
              <w:ind w:right="9"/>
              <w:spacing w:after="0"/>
              <w:rPr>
                <w:sz w:val="20"/>
                <w:szCs w:val="20"/>
                <w:color w:val="auto"/>
              </w:rPr>
            </w:pPr>
            <w:r>
              <w:rPr>
                <w:rFonts w:ascii="Arial" w:cs="Arial" w:eastAsia="Arial" w:hAnsi="Arial"/>
                <w:sz w:val="10"/>
                <w:szCs w:val="10"/>
                <w:color w:val="auto"/>
              </w:rPr>
              <w:t>5,720</w:t>
            </w:r>
          </w:p>
        </w:tc>
        <w:tc>
          <w:tcPr>
            <w:tcW w:w="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w:t>
            </w:r>
          </w:p>
        </w:tc>
        <w:tc>
          <w:tcPr>
            <w:tcW w:w="62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2,394</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jc w:val="right"/>
              <w:ind w:right="9"/>
              <w:spacing w:after="0"/>
              <w:rPr>
                <w:sz w:val="20"/>
                <w:szCs w:val="20"/>
                <w:color w:val="auto"/>
              </w:rPr>
            </w:pPr>
            <w:r>
              <w:rPr>
                <w:rFonts w:ascii="Arial" w:cs="Arial" w:eastAsia="Arial" w:hAnsi="Arial"/>
                <w:sz w:val="10"/>
                <w:szCs w:val="10"/>
                <w:color w:val="auto"/>
              </w:rPr>
              <w:t>$</w:t>
            </w:r>
          </w:p>
        </w:tc>
        <w:tc>
          <w:tcPr>
            <w:tcW w:w="980" w:type="dxa"/>
            <w:vAlign w:val="bottom"/>
            <w:tcBorders>
              <w:top w:val="single" w:sz="8" w:color="CCEEFF"/>
            </w:tcBorders>
          </w:tcPr>
          <w:p>
            <w:pPr>
              <w:jc w:val="right"/>
              <w:ind w:right="9"/>
              <w:spacing w:after="0"/>
              <w:rPr>
                <w:sz w:val="20"/>
                <w:szCs w:val="20"/>
                <w:color w:val="auto"/>
              </w:rPr>
            </w:pPr>
            <w:r>
              <w:rPr>
                <w:rFonts w:ascii="Arial" w:cs="Arial" w:eastAsia="Arial" w:hAnsi="Arial"/>
                <w:sz w:val="10"/>
                <w:szCs w:val="10"/>
                <w:color w:val="auto"/>
              </w:rPr>
              <w:t>1,304</w:t>
            </w:r>
          </w:p>
        </w:tc>
        <w:tc>
          <w:tcPr>
            <w:tcW w:w="10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31</w:t>
            </w:r>
          </w:p>
        </w:tc>
        <w:tc>
          <w:tcPr>
            <w:tcW w:w="10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jc w:val="right"/>
              <w:ind w:right="69"/>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(1,067)</w:t>
            </w: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41</w:t>
            </w: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top w:val="single" w:sz="8" w:color="CCEEFF"/>
            </w:tcBorders>
          </w:tcPr>
          <w:p>
            <w:pPr>
              <w:jc w:val="right"/>
              <w:ind w:right="9"/>
              <w:spacing w:after="0"/>
              <w:rPr>
                <w:sz w:val="20"/>
                <w:szCs w:val="20"/>
                <w:color w:val="auto"/>
              </w:rPr>
            </w:pPr>
            <w:r>
              <w:rPr>
                <w:rFonts w:ascii="Arial" w:cs="Arial" w:eastAsia="Arial" w:hAnsi="Arial"/>
                <w:sz w:val="10"/>
                <w:szCs w:val="10"/>
                <w:color w:val="auto"/>
              </w:rPr>
              <w:t>8,392</w:t>
            </w: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0"/>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Purchase of incremental share in consolidated subsidiaries</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7"/>
        </w:trPr>
        <w:tc>
          <w:tcPr>
            <w:tcW w:w="2980" w:type="dxa"/>
            <w:vAlign w:val="bottom"/>
            <w:gridSpan w:val="2"/>
          </w:tcPr>
          <w:p>
            <w:pPr>
              <w:ind w:left="20"/>
              <w:spacing w:after="0"/>
              <w:rPr>
                <w:sz w:val="20"/>
                <w:szCs w:val="20"/>
                <w:color w:val="auto"/>
              </w:rPr>
            </w:pPr>
            <w:r>
              <w:rPr>
                <w:rFonts w:ascii="Arial" w:cs="Arial" w:eastAsia="Arial" w:hAnsi="Arial"/>
                <w:sz w:val="10"/>
                <w:szCs w:val="10"/>
                <w:color w:val="auto"/>
              </w:rPr>
              <w:t>Exercise of stock options</w:t>
            </w:r>
          </w:p>
        </w:tc>
        <w:tc>
          <w:tcPr>
            <w:tcW w:w="62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ind w:right="9"/>
              <w:spacing w:after="0"/>
              <w:rPr>
                <w:sz w:val="20"/>
                <w:szCs w:val="20"/>
                <w:color w:val="auto"/>
              </w:rPr>
            </w:pPr>
            <w:r>
              <w:rPr>
                <w:rFonts w:ascii="Arial" w:cs="Arial" w:eastAsia="Arial" w:hAnsi="Arial"/>
                <w:sz w:val="10"/>
                <w:szCs w:val="10"/>
                <w:color w:val="auto"/>
              </w:rPr>
              <w:t>41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80" w:type="dxa"/>
            <w:vAlign w:val="bottom"/>
            <w:gridSpan w:val="2"/>
          </w:tcPr>
          <w:p>
            <w:pPr>
              <w:ind w:lef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20" w:type="dxa"/>
            <w:vAlign w:val="bottom"/>
          </w:tcPr>
          <w:p>
            <w:pPr>
              <w:jc w:val="right"/>
              <w:ind w:right="9"/>
              <w:spacing w:after="0"/>
              <w:rPr>
                <w:sz w:val="20"/>
                <w:szCs w:val="20"/>
                <w:color w:val="auto"/>
              </w:rPr>
            </w:pPr>
            <w:r>
              <w:rPr>
                <w:rFonts w:ascii="Arial" w:cs="Arial" w:eastAsia="Arial" w:hAnsi="Arial"/>
                <w:sz w:val="10"/>
                <w:szCs w:val="10"/>
                <w:color w:val="auto"/>
              </w:rPr>
              <w:t>41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0"/>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Treasury stock repurchased</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9"/>
        </w:trPr>
        <w:tc>
          <w:tcPr>
            <w:tcW w:w="2980" w:type="dxa"/>
            <w:vAlign w:val="bottom"/>
            <w:gridSpan w:val="2"/>
          </w:tcPr>
          <w:p>
            <w:pPr>
              <w:ind w:left="20"/>
              <w:spacing w:after="0" w:line="100" w:lineRule="exact"/>
              <w:rPr>
                <w:sz w:val="20"/>
                <w:szCs w:val="20"/>
                <w:color w:val="auto"/>
              </w:rPr>
            </w:pPr>
            <w:r>
              <w:rPr>
                <w:rFonts w:ascii="Arial" w:cs="Arial" w:eastAsia="Arial" w:hAnsi="Arial"/>
                <w:sz w:val="10"/>
                <w:szCs w:val="10"/>
                <w:color w:val="auto"/>
              </w:rPr>
              <w:t>Change in reinsurance liabilities held at fair value resulting from a</w:t>
            </w:r>
          </w:p>
        </w:tc>
        <w:tc>
          <w:tcPr>
            <w:tcW w:w="740" w:type="dxa"/>
            <w:vAlign w:val="bottom"/>
            <w:gridSpan w:val="3"/>
            <w:vMerge w:val="restart"/>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460" w:type="dxa"/>
            <w:vAlign w:val="bottom"/>
            <w:gridSpan w:val="2"/>
            <w:vMerge w:val="restart"/>
          </w:tcPr>
          <w:p>
            <w:pPr>
              <w:ind w:lef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980" w:type="dxa"/>
            <w:vAlign w:val="bottom"/>
            <w:vMerge w:val="restart"/>
          </w:tcPr>
          <w:p>
            <w:pPr>
              <w:jc w:val="right"/>
              <w:ind w:right="9"/>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480" w:type="dxa"/>
            <w:vAlign w:val="bottom"/>
            <w:gridSpan w:val="2"/>
            <w:vMerge w:val="restart"/>
          </w:tcPr>
          <w:p>
            <w:pPr>
              <w:ind w:lef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520" w:type="dxa"/>
            <w:vAlign w:val="bottom"/>
            <w:vMerge w:val="restart"/>
          </w:tcPr>
          <w:p>
            <w:pPr>
              <w:jc w:val="right"/>
              <w:ind w:right="9"/>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7"/>
        </w:trPr>
        <w:tc>
          <w:tcPr>
            <w:tcW w:w="2980" w:type="dxa"/>
            <w:vAlign w:val="bottom"/>
            <w:gridSpan w:val="2"/>
          </w:tcPr>
          <w:p>
            <w:pPr>
              <w:ind w:left="20"/>
              <w:spacing w:after="0"/>
              <w:rPr>
                <w:sz w:val="20"/>
                <w:szCs w:val="20"/>
                <w:color w:val="auto"/>
              </w:rPr>
            </w:pPr>
            <w:r>
              <w:rPr>
                <w:rFonts w:ascii="Arial" w:cs="Arial" w:eastAsia="Arial" w:hAnsi="Arial"/>
                <w:sz w:val="10"/>
                <w:szCs w:val="10"/>
                <w:color w:val="auto"/>
              </w:rPr>
              <w:t>change in instrument-specific credit risk</w:t>
            </w:r>
          </w:p>
        </w:tc>
        <w:tc>
          <w:tcPr>
            <w:tcW w:w="7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980" w:type="dxa"/>
            <w:vAlign w:val="bottom"/>
            <w:gridSpan w:val="2"/>
            <w:shd w:val="clear" w:color="auto" w:fill="CCEEFF"/>
          </w:tcPr>
          <w:p>
            <w:pPr>
              <w:ind w:left="20"/>
              <w:spacing w:after="0" w:line="106" w:lineRule="exact"/>
              <w:rPr>
                <w:sz w:val="20"/>
                <w:szCs w:val="20"/>
                <w:color w:val="auto"/>
              </w:rPr>
            </w:pPr>
            <w:r>
              <w:rPr>
                <w:rFonts w:ascii="Arial" w:cs="Arial" w:eastAsia="Arial" w:hAnsi="Arial"/>
                <w:sz w:val="10"/>
                <w:szCs w:val="10"/>
                <w:color w:val="auto"/>
              </w:rPr>
              <w:t>Other comprehensive loss — unrealized loss on investments and</w:t>
            </w:r>
          </w:p>
        </w:tc>
        <w:tc>
          <w:tcPr>
            <w:tcW w:w="7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(232)</w:t>
            </w: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(232)</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other financial instruments</w:t>
            </w:r>
          </w:p>
        </w:tc>
        <w:tc>
          <w:tcPr>
            <w:tcW w:w="740" w:type="dxa"/>
            <w:vAlign w:val="bottom"/>
            <w:gridSpan w:val="3"/>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980" w:type="dxa"/>
            <w:vAlign w:val="bottom"/>
            <w:gridSpan w:val="2"/>
          </w:tcPr>
          <w:p>
            <w:pPr>
              <w:ind w:left="20"/>
              <w:spacing w:after="0" w:line="100" w:lineRule="exact"/>
              <w:rPr>
                <w:sz w:val="20"/>
                <w:szCs w:val="20"/>
                <w:color w:val="auto"/>
              </w:rPr>
            </w:pPr>
            <w:r>
              <w:rPr>
                <w:rFonts w:ascii="Arial" w:cs="Arial" w:eastAsia="Arial" w:hAnsi="Arial"/>
                <w:sz w:val="10"/>
                <w:szCs w:val="10"/>
                <w:color w:val="auto"/>
                <w:w w:val="97"/>
              </w:rPr>
              <w:t>Other comprehensive earnings — unrealized gain on investments in</w:t>
            </w:r>
          </w:p>
        </w:tc>
        <w:tc>
          <w:tcPr>
            <w:tcW w:w="740" w:type="dxa"/>
            <w:vAlign w:val="bottom"/>
            <w:gridSpan w:val="3"/>
            <w:vMerge w:val="restart"/>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460" w:type="dxa"/>
            <w:vAlign w:val="bottom"/>
            <w:gridSpan w:val="2"/>
            <w:vMerge w:val="restart"/>
          </w:tcPr>
          <w:p>
            <w:pPr>
              <w:ind w:lef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980" w:type="dxa"/>
            <w:vAlign w:val="bottom"/>
            <w:vMerge w:val="restart"/>
          </w:tcPr>
          <w:p>
            <w:pPr>
              <w:jc w:val="right"/>
              <w:ind w:right="9"/>
              <w:spacing w:after="0"/>
              <w:rPr>
                <w:sz w:val="20"/>
                <w:szCs w:val="20"/>
                <w:color w:val="auto"/>
              </w:rPr>
            </w:pPr>
            <w:r>
              <w:rPr>
                <w:rFonts w:ascii="Arial" w:cs="Arial" w:eastAsia="Arial" w:hAnsi="Arial"/>
                <w:sz w:val="10"/>
                <w:szCs w:val="10"/>
                <w:color w:val="auto"/>
              </w:rPr>
              <w:t>18</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480" w:type="dxa"/>
            <w:vAlign w:val="bottom"/>
            <w:gridSpan w:val="2"/>
            <w:vMerge w:val="restart"/>
          </w:tcPr>
          <w:p>
            <w:pPr>
              <w:ind w:lef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520" w:type="dxa"/>
            <w:vAlign w:val="bottom"/>
            <w:vMerge w:val="restart"/>
          </w:tcPr>
          <w:p>
            <w:pPr>
              <w:jc w:val="right"/>
              <w:ind w:right="9"/>
              <w:spacing w:after="0"/>
              <w:rPr>
                <w:sz w:val="20"/>
                <w:szCs w:val="20"/>
                <w:color w:val="auto"/>
              </w:rPr>
            </w:pPr>
            <w:r>
              <w:rPr>
                <w:rFonts w:ascii="Arial" w:cs="Arial" w:eastAsia="Arial" w:hAnsi="Arial"/>
                <w:sz w:val="10"/>
                <w:szCs w:val="10"/>
                <w:color w:val="auto"/>
              </w:rPr>
              <w:t>18</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7"/>
        </w:trPr>
        <w:tc>
          <w:tcPr>
            <w:tcW w:w="2980" w:type="dxa"/>
            <w:vAlign w:val="bottom"/>
            <w:gridSpan w:val="2"/>
          </w:tcPr>
          <w:p>
            <w:pPr>
              <w:ind w:left="20"/>
              <w:spacing w:after="0"/>
              <w:rPr>
                <w:sz w:val="20"/>
                <w:szCs w:val="20"/>
                <w:color w:val="auto"/>
              </w:rPr>
            </w:pPr>
            <w:r>
              <w:rPr>
                <w:rFonts w:ascii="Arial" w:cs="Arial" w:eastAsia="Arial" w:hAnsi="Arial"/>
                <w:sz w:val="10"/>
                <w:szCs w:val="10"/>
                <w:color w:val="auto"/>
              </w:rPr>
              <w:t>unconsolidated affiliates</w:t>
            </w:r>
          </w:p>
        </w:tc>
        <w:tc>
          <w:tcPr>
            <w:tcW w:w="7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980" w:type="dxa"/>
            <w:vAlign w:val="bottom"/>
            <w:gridSpan w:val="2"/>
            <w:shd w:val="clear" w:color="auto" w:fill="CCEEFF"/>
          </w:tcPr>
          <w:p>
            <w:pPr>
              <w:ind w:left="20"/>
              <w:spacing w:after="0" w:line="106" w:lineRule="exact"/>
              <w:rPr>
                <w:sz w:val="20"/>
                <w:szCs w:val="20"/>
                <w:color w:val="auto"/>
              </w:rPr>
            </w:pPr>
            <w:r>
              <w:rPr>
                <w:rFonts w:ascii="Arial" w:cs="Arial" w:eastAsia="Arial" w:hAnsi="Arial"/>
                <w:sz w:val="10"/>
                <w:szCs w:val="10"/>
                <w:color w:val="auto"/>
              </w:rPr>
              <w:t>Other comprehensive gain — unrealized gain on foreign currency</w:t>
            </w:r>
          </w:p>
        </w:tc>
        <w:tc>
          <w:tcPr>
            <w:tcW w:w="7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translation</w:t>
            </w:r>
          </w:p>
        </w:tc>
        <w:tc>
          <w:tcPr>
            <w:tcW w:w="740" w:type="dxa"/>
            <w:vAlign w:val="bottom"/>
            <w:gridSpan w:val="3"/>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980" w:type="dxa"/>
            <w:vAlign w:val="bottom"/>
            <w:gridSpan w:val="2"/>
          </w:tcPr>
          <w:p>
            <w:pPr>
              <w:ind w:left="20"/>
              <w:spacing w:after="0" w:line="100" w:lineRule="exact"/>
              <w:rPr>
                <w:sz w:val="20"/>
                <w:szCs w:val="20"/>
                <w:color w:val="auto"/>
              </w:rPr>
            </w:pPr>
            <w:r>
              <w:rPr>
                <w:rFonts w:ascii="Arial" w:cs="Arial" w:eastAsia="Arial" w:hAnsi="Arial"/>
                <w:sz w:val="10"/>
                <w:szCs w:val="10"/>
                <w:color w:val="auto"/>
              </w:rPr>
              <w:t>Reclassification adjustments for change in unrealized gains and</w:t>
            </w:r>
          </w:p>
        </w:tc>
        <w:tc>
          <w:tcPr>
            <w:tcW w:w="740" w:type="dxa"/>
            <w:vAlign w:val="bottom"/>
            <w:gridSpan w:val="3"/>
            <w:vMerge w:val="restart"/>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460" w:type="dxa"/>
            <w:vAlign w:val="bottom"/>
            <w:gridSpan w:val="2"/>
            <w:vMerge w:val="restart"/>
          </w:tcPr>
          <w:p>
            <w:pPr>
              <w:ind w:lef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980" w:type="dxa"/>
            <w:vAlign w:val="bottom"/>
            <w:vMerge w:val="restart"/>
          </w:tcPr>
          <w:p>
            <w:pPr>
              <w:jc w:val="right"/>
              <w:spacing w:after="0"/>
              <w:rPr>
                <w:sz w:val="20"/>
                <w:szCs w:val="20"/>
                <w:color w:val="auto"/>
              </w:rPr>
            </w:pPr>
            <w:r>
              <w:rPr>
                <w:rFonts w:ascii="Arial" w:cs="Arial" w:eastAsia="Arial" w:hAnsi="Arial"/>
                <w:sz w:val="10"/>
                <w:szCs w:val="10"/>
                <w:color w:val="auto"/>
              </w:rPr>
              <w:t>(82)</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480" w:type="dxa"/>
            <w:vAlign w:val="bottom"/>
            <w:gridSpan w:val="2"/>
            <w:vMerge w:val="restart"/>
          </w:tcPr>
          <w:p>
            <w:pPr>
              <w:ind w:lef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0"/>
                <w:szCs w:val="10"/>
                <w:color w:val="auto"/>
              </w:rPr>
              <w:t>(82)</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7"/>
        </w:trPr>
        <w:tc>
          <w:tcPr>
            <w:tcW w:w="2980" w:type="dxa"/>
            <w:vAlign w:val="bottom"/>
            <w:gridSpan w:val="2"/>
          </w:tcPr>
          <w:p>
            <w:pPr>
              <w:ind w:left="20"/>
              <w:spacing w:after="0"/>
              <w:rPr>
                <w:sz w:val="20"/>
                <w:szCs w:val="20"/>
                <w:color w:val="auto"/>
              </w:rPr>
            </w:pPr>
            <w:r>
              <w:rPr>
                <w:rFonts w:ascii="Arial" w:cs="Arial" w:eastAsia="Arial" w:hAnsi="Arial"/>
                <w:sz w:val="10"/>
                <w:szCs w:val="10"/>
                <w:color w:val="auto"/>
              </w:rPr>
              <w:t>losses included in net earnings</w:t>
            </w:r>
          </w:p>
        </w:tc>
        <w:tc>
          <w:tcPr>
            <w:tcW w:w="7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Stock-based compensation</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7"/>
        </w:trPr>
        <w:tc>
          <w:tcPr>
            <w:tcW w:w="2980" w:type="dxa"/>
            <w:vAlign w:val="bottom"/>
            <w:gridSpan w:val="2"/>
          </w:tcPr>
          <w:p>
            <w:pPr>
              <w:ind w:left="20"/>
              <w:spacing w:after="0"/>
              <w:rPr>
                <w:sz w:val="20"/>
                <w:szCs w:val="20"/>
                <w:color w:val="auto"/>
              </w:rPr>
            </w:pPr>
            <w:r>
              <w:rPr>
                <w:rFonts w:ascii="Arial" w:cs="Arial" w:eastAsia="Arial" w:hAnsi="Arial"/>
                <w:sz w:val="10"/>
                <w:szCs w:val="10"/>
                <w:color w:val="auto"/>
              </w:rPr>
              <w:t>Dividends declared, $1.12 per common share</w:t>
            </w:r>
          </w:p>
        </w:tc>
        <w:tc>
          <w:tcPr>
            <w:tcW w:w="740" w:type="dxa"/>
            <w:vAlign w:val="bottom"/>
            <w:gridSpan w:val="3"/>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(322)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80" w:type="dxa"/>
            <w:vAlign w:val="bottom"/>
            <w:gridSpan w:val="2"/>
          </w:tcPr>
          <w:p>
            <w:pPr>
              <w:ind w:lef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0"/>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Subsidiary dividends declared to non-controlling interests</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7"/>
        </w:trPr>
        <w:tc>
          <w:tcPr>
            <w:tcW w:w="2980" w:type="dxa"/>
            <w:vAlign w:val="bottom"/>
            <w:gridSpan w:val="2"/>
          </w:tcPr>
          <w:p>
            <w:pPr>
              <w:ind w:left="20"/>
              <w:spacing w:after="0"/>
              <w:rPr>
                <w:sz w:val="20"/>
                <w:szCs w:val="20"/>
                <w:color w:val="auto"/>
              </w:rPr>
            </w:pPr>
            <w:r>
              <w:rPr>
                <w:rFonts w:ascii="Arial" w:cs="Arial" w:eastAsia="Arial" w:hAnsi="Arial"/>
                <w:sz w:val="10"/>
                <w:szCs w:val="10"/>
                <w:color w:val="auto"/>
              </w:rPr>
              <w:t>Net earnings</w:t>
            </w:r>
          </w:p>
        </w:tc>
        <w:tc>
          <w:tcPr>
            <w:tcW w:w="740" w:type="dxa"/>
            <w:vAlign w:val="bottom"/>
            <w:gridSpan w:val="3"/>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1,889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80" w:type="dxa"/>
            <w:vAlign w:val="bottom"/>
            <w:gridSpan w:val="2"/>
          </w:tcPr>
          <w:p>
            <w:pPr>
              <w:ind w:lef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9"/>
              <w:spacing w:after="0"/>
              <w:rPr>
                <w:sz w:val="20"/>
                <w:szCs w:val="20"/>
                <w:color w:val="auto"/>
              </w:rPr>
            </w:pPr>
            <w:r>
              <w:rPr>
                <w:rFonts w:ascii="Arial" w:cs="Arial" w:eastAsia="Arial" w:hAnsi="Arial"/>
                <w:sz w:val="10"/>
                <w:szCs w:val="10"/>
                <w:color w:val="auto"/>
              </w:rPr>
              <w:t>1,903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66"/>
        </w:trPr>
        <w:tc>
          <w:tcPr>
            <w:tcW w:w="2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Balance, September 30, 2021</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324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5,790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3,961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9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1,005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(1,424)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9,374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 w:name="page10"/>
    <w:bookmarkEnd w:id="9"/>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FIDELITY NATIONAL FINANCIAL,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320" w:type="dxa"/>
            <w:vAlign w:val="bottom"/>
          </w:tcPr>
          <w:p>
            <w:pPr>
              <w:spacing w:after="0"/>
              <w:rPr>
                <w:sz w:val="12"/>
                <w:szCs w:val="12"/>
                <w:color w:val="auto"/>
              </w:rPr>
            </w:pPr>
          </w:p>
        </w:tc>
        <w:tc>
          <w:tcPr>
            <w:tcW w:w="1960" w:type="dxa"/>
            <w:vAlign w:val="bottom"/>
            <w:gridSpan w:val="5"/>
          </w:tcPr>
          <w:p>
            <w:pPr>
              <w:jc w:val="center"/>
              <w:spacing w:after="0"/>
              <w:rPr>
                <w:sz w:val="20"/>
                <w:szCs w:val="20"/>
                <w:color w:val="auto"/>
              </w:rPr>
            </w:pPr>
            <w:r>
              <w:rPr>
                <w:rFonts w:ascii="Arial" w:cs="Arial" w:eastAsia="Arial" w:hAnsi="Arial"/>
                <w:sz w:val="12"/>
                <w:szCs w:val="12"/>
                <w:b w:val="1"/>
                <w:bCs w:val="1"/>
                <w:color w:val="auto"/>
                <w:w w:val="87"/>
              </w:rPr>
              <w:t>For the nine months ended September</w:t>
            </w:r>
          </w:p>
        </w:tc>
      </w:tr>
      <w:tr>
        <w:trPr>
          <w:trHeight w:val="153"/>
        </w:trPr>
        <w:tc>
          <w:tcPr>
            <w:tcW w:w="93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left="601"/>
              <w:spacing w:after="0"/>
              <w:rPr>
                <w:sz w:val="20"/>
                <w:szCs w:val="20"/>
                <w:color w:val="auto"/>
              </w:rPr>
            </w:pPr>
            <w:r>
              <w:rPr>
                <w:rFonts w:ascii="Arial" w:cs="Arial" w:eastAsia="Arial" w:hAnsi="Arial"/>
                <w:sz w:val="12"/>
                <w:szCs w:val="12"/>
                <w:b w:val="1"/>
                <w:bCs w:val="1"/>
                <w:color w:val="auto"/>
                <w:w w:val="95"/>
              </w:rPr>
              <w:t>30,</w:t>
            </w: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r>
      <w:tr>
        <w:trPr>
          <w:trHeight w:val="146"/>
        </w:trPr>
        <w:tc>
          <w:tcPr>
            <w:tcW w:w="9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61"/>
              <w:spacing w:after="0"/>
              <w:rPr>
                <w:sz w:val="20"/>
                <w:szCs w:val="20"/>
                <w:color w:val="auto"/>
              </w:rPr>
            </w:pPr>
            <w:r>
              <w:rPr>
                <w:rFonts w:ascii="Arial" w:cs="Arial" w:eastAsia="Arial" w:hAnsi="Arial"/>
                <w:sz w:val="12"/>
                <w:szCs w:val="12"/>
                <w:b w:val="1"/>
                <w:bCs w:val="1"/>
                <w:color w:val="auto"/>
              </w:rPr>
              <w:t>2020</w:t>
            </w:r>
          </w:p>
        </w:tc>
      </w:tr>
      <w:tr>
        <w:trPr>
          <w:trHeight w:val="141"/>
        </w:trPr>
        <w:tc>
          <w:tcPr>
            <w:tcW w:w="9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jc w:val="center"/>
              <w:ind w:left="341"/>
              <w:spacing w:after="0"/>
              <w:rPr>
                <w:sz w:val="20"/>
                <w:szCs w:val="20"/>
                <w:color w:val="auto"/>
              </w:rPr>
            </w:pPr>
            <w:r>
              <w:rPr>
                <w:rFonts w:ascii="Arial" w:cs="Arial" w:eastAsia="Arial" w:hAnsi="Arial"/>
                <w:sz w:val="12"/>
                <w:szCs w:val="12"/>
                <w:b w:val="1"/>
                <w:bCs w:val="1"/>
                <w:color w:val="auto"/>
                <w:w w:val="89"/>
              </w:rPr>
              <w:t>(Unaudited)</w:t>
            </w:r>
          </w:p>
        </w:tc>
        <w:tc>
          <w:tcPr>
            <w:tcW w:w="620" w:type="dxa"/>
            <w:vAlign w:val="bottom"/>
          </w:tcPr>
          <w:p>
            <w:pPr>
              <w:spacing w:after="0"/>
              <w:rPr>
                <w:sz w:val="12"/>
                <w:szCs w:val="12"/>
                <w:color w:val="auto"/>
              </w:rPr>
            </w:pPr>
          </w:p>
        </w:tc>
      </w:tr>
      <w:tr>
        <w:trPr>
          <w:trHeight w:val="156"/>
        </w:trPr>
        <w:tc>
          <w:tcPr>
            <w:tcW w:w="9320" w:type="dxa"/>
            <w:vAlign w:val="bottom"/>
          </w:tcPr>
          <w:p>
            <w:pPr>
              <w:ind w:left="20"/>
              <w:spacing w:after="0"/>
              <w:rPr>
                <w:sz w:val="20"/>
                <w:szCs w:val="20"/>
                <w:color w:val="auto"/>
              </w:rPr>
            </w:pPr>
            <w:r>
              <w:rPr>
                <w:rFonts w:ascii="Arial" w:cs="Arial" w:eastAsia="Arial" w:hAnsi="Arial"/>
                <w:sz w:val="12"/>
                <w:szCs w:val="12"/>
                <w:b w:val="1"/>
                <w:bCs w:val="1"/>
                <w:color w:val="auto"/>
              </w:rPr>
              <w:t>Cash flows from operating activities:</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0"/>
        </w:trPr>
        <w:tc>
          <w:tcPr>
            <w:tcW w:w="9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Net earnings (loss)</w:t>
            </w:r>
          </w:p>
        </w:tc>
        <w:tc>
          <w:tcPr>
            <w:tcW w:w="220" w:type="dxa"/>
            <w:vAlign w:val="bottom"/>
            <w:shd w:val="clear" w:color="auto" w:fill="CCEEFF"/>
          </w:tcPr>
          <w:p>
            <w:pPr>
              <w:jc w:val="right"/>
              <w:ind w:right="107"/>
              <w:spacing w:after="0"/>
              <w:rPr>
                <w:sz w:val="20"/>
                <w:szCs w:val="20"/>
                <w:color w:val="auto"/>
              </w:rPr>
            </w:pPr>
            <w:r>
              <w:rPr>
                <w:rFonts w:ascii="Arial" w:cs="Arial" w:eastAsia="Arial" w:hAnsi="Arial"/>
                <w:sz w:val="9"/>
                <w:szCs w:val="9"/>
                <w:color w:val="auto"/>
                <w:w w:val="78"/>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1,903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646</w:t>
            </w:r>
          </w:p>
        </w:tc>
      </w:tr>
      <w:tr>
        <w:trPr>
          <w:trHeight w:val="152"/>
        </w:trPr>
        <w:tc>
          <w:tcPr>
            <w:tcW w:w="9320" w:type="dxa"/>
            <w:vAlign w:val="bottom"/>
          </w:tcPr>
          <w:p>
            <w:pPr>
              <w:ind w:left="180"/>
              <w:spacing w:after="0"/>
              <w:rPr>
                <w:sz w:val="20"/>
                <w:szCs w:val="20"/>
                <w:color w:val="auto"/>
              </w:rPr>
            </w:pPr>
            <w:r>
              <w:rPr>
                <w:rFonts w:ascii="Arial" w:cs="Arial" w:eastAsia="Arial" w:hAnsi="Arial"/>
                <w:sz w:val="12"/>
                <w:szCs w:val="12"/>
                <w:color w:val="auto"/>
              </w:rPr>
              <w:t>Adjustments to reconcile net earnings to net cash provided by operating activities:</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7"/>
        </w:trPr>
        <w:tc>
          <w:tcPr>
            <w:tcW w:w="9320" w:type="dxa"/>
            <w:vAlign w:val="bottom"/>
            <w:shd w:val="clear" w:color="auto" w:fill="CCEEFF"/>
          </w:tcPr>
          <w:p>
            <w:pPr>
              <w:ind w:left="380"/>
              <w:spacing w:after="0"/>
              <w:rPr>
                <w:sz w:val="20"/>
                <w:szCs w:val="20"/>
                <w:color w:val="auto"/>
              </w:rPr>
            </w:pPr>
            <w:r>
              <w:rPr>
                <w:rFonts w:ascii="Arial" w:cs="Arial" w:eastAsia="Arial" w:hAnsi="Arial"/>
                <w:sz w:val="12"/>
                <w:szCs w:val="12"/>
                <w:color w:val="auto"/>
              </w:rPr>
              <w:t>Depreciation and amortization</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540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189</w:t>
            </w:r>
          </w:p>
        </w:tc>
      </w:tr>
      <w:tr>
        <w:trPr>
          <w:trHeight w:val="152"/>
        </w:trPr>
        <w:tc>
          <w:tcPr>
            <w:tcW w:w="9320" w:type="dxa"/>
            <w:vAlign w:val="bottom"/>
          </w:tcPr>
          <w:p>
            <w:pPr>
              <w:ind w:left="380"/>
              <w:spacing w:after="0"/>
              <w:rPr>
                <w:sz w:val="20"/>
                <w:szCs w:val="20"/>
                <w:color w:val="auto"/>
              </w:rPr>
            </w:pPr>
            <w:r>
              <w:rPr>
                <w:rFonts w:ascii="Arial" w:cs="Arial" w:eastAsia="Arial" w:hAnsi="Arial"/>
                <w:sz w:val="12"/>
                <w:szCs w:val="12"/>
                <w:color w:val="auto"/>
              </w:rPr>
              <w:t>Equity in earnings of unconsolidated affiliates</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w:t>
            </w:r>
          </w:p>
        </w:tc>
      </w:tr>
      <w:tr>
        <w:trPr>
          <w:trHeight w:val="157"/>
        </w:trPr>
        <w:tc>
          <w:tcPr>
            <w:tcW w:w="9320" w:type="dxa"/>
            <w:vAlign w:val="bottom"/>
            <w:shd w:val="clear" w:color="auto" w:fill="CCEEFF"/>
          </w:tcPr>
          <w:p>
            <w:pPr>
              <w:ind w:left="380"/>
              <w:spacing w:after="0"/>
              <w:rPr>
                <w:sz w:val="20"/>
                <w:szCs w:val="20"/>
                <w:color w:val="auto"/>
              </w:rPr>
            </w:pPr>
            <w:r>
              <w:rPr>
                <w:rFonts w:ascii="Arial" w:cs="Arial" w:eastAsia="Arial" w:hAnsi="Arial"/>
                <w:sz w:val="12"/>
                <w:szCs w:val="12"/>
                <w:color w:val="auto"/>
              </w:rPr>
              <w:t>(Gain) loss on sales of investments and other assets and asset impairments, net</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81</w:t>
            </w:r>
          </w:p>
        </w:tc>
      </w:tr>
      <w:tr>
        <w:trPr>
          <w:trHeight w:val="152"/>
        </w:trPr>
        <w:tc>
          <w:tcPr>
            <w:tcW w:w="9320" w:type="dxa"/>
            <w:vAlign w:val="bottom"/>
          </w:tcPr>
          <w:p>
            <w:pPr>
              <w:ind w:left="380"/>
              <w:spacing w:after="0"/>
              <w:rPr>
                <w:sz w:val="20"/>
                <w:szCs w:val="20"/>
                <w:color w:val="auto"/>
              </w:rPr>
            </w:pPr>
            <w:r>
              <w:rPr>
                <w:rFonts w:ascii="Arial" w:cs="Arial" w:eastAsia="Arial" w:hAnsi="Arial"/>
                <w:sz w:val="12"/>
                <w:szCs w:val="12"/>
                <w:color w:val="auto"/>
              </w:rPr>
              <w:t>Loss on the sale of businesses</w:t>
            </w:r>
          </w:p>
        </w:tc>
        <w:tc>
          <w:tcPr>
            <w:tcW w:w="22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7"/>
        </w:trPr>
        <w:tc>
          <w:tcPr>
            <w:tcW w:w="9320" w:type="dxa"/>
            <w:vAlign w:val="bottom"/>
            <w:shd w:val="clear" w:color="auto" w:fill="CCEEFF"/>
          </w:tcPr>
          <w:p>
            <w:pPr>
              <w:ind w:left="380"/>
              <w:spacing w:after="0"/>
              <w:rPr>
                <w:sz w:val="20"/>
                <w:szCs w:val="20"/>
                <w:color w:val="auto"/>
              </w:rPr>
            </w:pPr>
            <w:r>
              <w:rPr>
                <w:rFonts w:ascii="Arial" w:cs="Arial" w:eastAsia="Arial" w:hAnsi="Arial"/>
                <w:sz w:val="12"/>
                <w:szCs w:val="12"/>
                <w:color w:val="auto"/>
              </w:rPr>
              <w:t>Interest credited/index credits to contractholder account balances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344</w:t>
            </w:r>
          </w:p>
        </w:tc>
      </w:tr>
      <w:tr>
        <w:trPr>
          <w:trHeight w:val="152"/>
        </w:trPr>
        <w:tc>
          <w:tcPr>
            <w:tcW w:w="9320" w:type="dxa"/>
            <w:vAlign w:val="bottom"/>
          </w:tcPr>
          <w:p>
            <w:pPr>
              <w:ind w:left="380"/>
              <w:spacing w:after="0"/>
              <w:rPr>
                <w:sz w:val="20"/>
                <w:szCs w:val="20"/>
                <w:color w:val="auto"/>
              </w:rPr>
            </w:pPr>
            <w:r>
              <w:rPr>
                <w:rFonts w:ascii="Arial" w:cs="Arial" w:eastAsia="Arial" w:hAnsi="Arial"/>
                <w:sz w:val="12"/>
                <w:szCs w:val="12"/>
                <w:color w:val="auto"/>
              </w:rPr>
              <w:t>Deferred policy acquisition costs and deferred sales inducements</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(473)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(139)</w:t>
            </w:r>
          </w:p>
        </w:tc>
      </w:tr>
      <w:tr>
        <w:trPr>
          <w:trHeight w:val="157"/>
        </w:trPr>
        <w:tc>
          <w:tcPr>
            <w:tcW w:w="9320" w:type="dxa"/>
            <w:vAlign w:val="bottom"/>
            <w:shd w:val="clear" w:color="auto" w:fill="CCEEFF"/>
          </w:tcPr>
          <w:p>
            <w:pPr>
              <w:ind w:left="380"/>
              <w:spacing w:after="0"/>
              <w:rPr>
                <w:sz w:val="20"/>
                <w:szCs w:val="20"/>
                <w:color w:val="auto"/>
              </w:rPr>
            </w:pPr>
            <w:r>
              <w:rPr>
                <w:rFonts w:ascii="Arial" w:cs="Arial" w:eastAsia="Arial" w:hAnsi="Arial"/>
                <w:sz w:val="12"/>
                <w:szCs w:val="12"/>
                <w:color w:val="auto"/>
              </w:rPr>
              <w:t>Charges assessed to contractholders for mortality and admin</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w:t>
            </w:r>
          </w:p>
        </w:tc>
      </w:tr>
      <w:tr>
        <w:trPr>
          <w:trHeight w:val="152"/>
        </w:trPr>
        <w:tc>
          <w:tcPr>
            <w:tcW w:w="9320" w:type="dxa"/>
            <w:vAlign w:val="bottom"/>
          </w:tcPr>
          <w:p>
            <w:pPr>
              <w:ind w:left="380"/>
              <w:spacing w:after="0"/>
              <w:rPr>
                <w:sz w:val="20"/>
                <w:szCs w:val="20"/>
                <w:color w:val="auto"/>
              </w:rPr>
            </w:pPr>
            <w:r>
              <w:rPr>
                <w:rFonts w:ascii="Arial" w:cs="Arial" w:eastAsia="Arial" w:hAnsi="Arial"/>
                <w:sz w:val="12"/>
                <w:szCs w:val="12"/>
                <w:color w:val="auto"/>
              </w:rPr>
              <w:t>Non-cash lease costs</w:t>
            </w:r>
          </w:p>
        </w:tc>
        <w:tc>
          <w:tcPr>
            <w:tcW w:w="22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104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114</w:t>
            </w:r>
          </w:p>
        </w:tc>
      </w:tr>
      <w:tr>
        <w:trPr>
          <w:trHeight w:val="157"/>
        </w:trPr>
        <w:tc>
          <w:tcPr>
            <w:tcW w:w="9320" w:type="dxa"/>
            <w:vAlign w:val="bottom"/>
            <w:shd w:val="clear" w:color="auto" w:fill="CCEEFF"/>
          </w:tcPr>
          <w:p>
            <w:pPr>
              <w:ind w:left="380"/>
              <w:spacing w:after="0"/>
              <w:rPr>
                <w:sz w:val="20"/>
                <w:szCs w:val="20"/>
                <w:color w:val="auto"/>
              </w:rPr>
            </w:pPr>
            <w:r>
              <w:rPr>
                <w:rFonts w:ascii="Arial" w:cs="Arial" w:eastAsia="Arial" w:hAnsi="Arial"/>
                <w:sz w:val="12"/>
                <w:szCs w:val="12"/>
                <w:color w:val="auto"/>
              </w:rPr>
              <w:t>Operating lease payments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w:t>
            </w:r>
          </w:p>
        </w:tc>
      </w:tr>
      <w:tr>
        <w:trPr>
          <w:trHeight w:val="152"/>
        </w:trPr>
        <w:tc>
          <w:tcPr>
            <w:tcW w:w="9320" w:type="dxa"/>
            <w:vAlign w:val="bottom"/>
          </w:tcPr>
          <w:p>
            <w:pPr>
              <w:ind w:left="380"/>
              <w:spacing w:after="0"/>
              <w:rPr>
                <w:sz w:val="20"/>
                <w:szCs w:val="20"/>
                <w:color w:val="auto"/>
              </w:rPr>
            </w:pPr>
            <w:r>
              <w:rPr>
                <w:rFonts w:ascii="Arial" w:cs="Arial" w:eastAsia="Arial" w:hAnsi="Arial"/>
                <w:sz w:val="12"/>
                <w:szCs w:val="12"/>
                <w:color w:val="auto"/>
              </w:rPr>
              <w:t>Distributions from unconsolidated affiliates, return on investment</w:t>
            </w:r>
          </w:p>
        </w:tc>
        <w:tc>
          <w:tcPr>
            <w:tcW w:w="22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29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7"/>
        </w:trPr>
        <w:tc>
          <w:tcPr>
            <w:tcW w:w="9320" w:type="dxa"/>
            <w:vAlign w:val="bottom"/>
            <w:shd w:val="clear" w:color="auto" w:fill="CCEEFF"/>
          </w:tcPr>
          <w:p>
            <w:pPr>
              <w:ind w:left="380"/>
              <w:spacing w:after="0"/>
              <w:rPr>
                <w:sz w:val="20"/>
                <w:szCs w:val="20"/>
                <w:color w:val="auto"/>
              </w:rPr>
            </w:pPr>
            <w:r>
              <w:rPr>
                <w:rFonts w:ascii="Arial" w:cs="Arial" w:eastAsia="Arial" w:hAnsi="Arial"/>
                <w:sz w:val="12"/>
                <w:szCs w:val="12"/>
                <w:color w:val="auto"/>
              </w:rPr>
              <w:t>Stock-based compensation cost</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29</w:t>
            </w:r>
          </w:p>
        </w:tc>
      </w:tr>
      <w:tr>
        <w:trPr>
          <w:trHeight w:val="152"/>
        </w:trPr>
        <w:tc>
          <w:tcPr>
            <w:tcW w:w="9320" w:type="dxa"/>
            <w:vAlign w:val="bottom"/>
          </w:tcPr>
          <w:p>
            <w:pPr>
              <w:ind w:left="380"/>
              <w:spacing w:after="0"/>
              <w:rPr>
                <w:sz w:val="20"/>
                <w:szCs w:val="20"/>
                <w:color w:val="auto"/>
              </w:rPr>
            </w:pPr>
            <w:r>
              <w:rPr>
                <w:rFonts w:ascii="Arial" w:cs="Arial" w:eastAsia="Arial" w:hAnsi="Arial"/>
                <w:sz w:val="12"/>
                <w:szCs w:val="12"/>
                <w:color w:val="auto"/>
              </w:rPr>
              <w:t>Change in valuation of derivatives, equity and preferred securities, net</w:t>
            </w:r>
          </w:p>
        </w:tc>
        <w:tc>
          <w:tcPr>
            <w:tcW w:w="22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290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4</w:t>
            </w:r>
          </w:p>
        </w:tc>
      </w:tr>
      <w:tr>
        <w:trPr>
          <w:trHeight w:val="157"/>
        </w:trPr>
        <w:tc>
          <w:tcPr>
            <w:tcW w:w="9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Changes in assets and liabilities, net of effects from acquisitions: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152"/>
        </w:trPr>
        <w:tc>
          <w:tcPr>
            <w:tcW w:w="9320" w:type="dxa"/>
            <w:vAlign w:val="bottom"/>
          </w:tcPr>
          <w:p>
            <w:pPr>
              <w:ind w:left="420"/>
              <w:spacing w:after="0"/>
              <w:rPr>
                <w:sz w:val="20"/>
                <w:szCs w:val="20"/>
                <w:color w:val="auto"/>
              </w:rPr>
            </w:pPr>
            <w:r>
              <w:rPr>
                <w:rFonts w:ascii="Arial" w:cs="Arial" w:eastAsia="Arial" w:hAnsi="Arial"/>
                <w:sz w:val="12"/>
                <w:szCs w:val="12"/>
                <w:color w:val="auto"/>
              </w:rPr>
              <w:t>Change in collateral returned (posted)</w:t>
            </w:r>
          </w:p>
        </w:tc>
        <w:tc>
          <w:tcPr>
            <w:tcW w:w="22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57"/>
        </w:trPr>
        <w:tc>
          <w:tcPr>
            <w:tcW w:w="93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Change in reinsurance recoverable</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70</w:t>
            </w:r>
          </w:p>
        </w:tc>
      </w:tr>
      <w:tr>
        <w:trPr>
          <w:trHeight w:val="152"/>
        </w:trPr>
        <w:tc>
          <w:tcPr>
            <w:tcW w:w="9320" w:type="dxa"/>
            <w:vAlign w:val="bottom"/>
          </w:tcPr>
          <w:p>
            <w:pPr>
              <w:ind w:left="420"/>
              <w:spacing w:after="0"/>
              <w:rPr>
                <w:sz w:val="20"/>
                <w:szCs w:val="20"/>
                <w:color w:val="auto"/>
              </w:rPr>
            </w:pPr>
            <w:r>
              <w:rPr>
                <w:rFonts w:ascii="Arial" w:cs="Arial" w:eastAsia="Arial" w:hAnsi="Arial"/>
                <w:sz w:val="12"/>
                <w:szCs w:val="12"/>
                <w:color w:val="auto"/>
              </w:rPr>
              <w:t>Change in future policy benefits</w:t>
            </w:r>
          </w:p>
        </w:tc>
        <w:tc>
          <w:tcPr>
            <w:tcW w:w="22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203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w:t>
            </w:r>
          </w:p>
        </w:tc>
      </w:tr>
      <w:tr>
        <w:trPr>
          <w:trHeight w:val="157"/>
        </w:trPr>
        <w:tc>
          <w:tcPr>
            <w:tcW w:w="93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Change in funds withheld from reinsurers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685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r>
      <w:tr>
        <w:trPr>
          <w:trHeight w:val="152"/>
        </w:trPr>
        <w:tc>
          <w:tcPr>
            <w:tcW w:w="9320" w:type="dxa"/>
            <w:vAlign w:val="bottom"/>
          </w:tcPr>
          <w:p>
            <w:pPr>
              <w:ind w:left="420"/>
              <w:spacing w:after="0"/>
              <w:rPr>
                <w:sz w:val="20"/>
                <w:szCs w:val="20"/>
                <w:color w:val="auto"/>
              </w:rPr>
            </w:pPr>
            <w:r>
              <w:rPr>
                <w:rFonts w:ascii="Arial" w:cs="Arial" w:eastAsia="Arial" w:hAnsi="Arial"/>
                <w:sz w:val="12"/>
                <w:szCs w:val="12"/>
                <w:color w:val="auto"/>
              </w:rPr>
              <w:t>Net increase in trade receivables</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157"/>
        </w:trPr>
        <w:tc>
          <w:tcPr>
            <w:tcW w:w="93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Net increase in reserve for title claim losses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46</w:t>
            </w:r>
          </w:p>
        </w:tc>
      </w:tr>
      <w:tr>
        <w:trPr>
          <w:trHeight w:val="152"/>
        </w:trPr>
        <w:tc>
          <w:tcPr>
            <w:tcW w:w="9320" w:type="dxa"/>
            <w:vAlign w:val="bottom"/>
          </w:tcPr>
          <w:p>
            <w:pPr>
              <w:ind w:left="420"/>
              <w:spacing w:after="0"/>
              <w:rPr>
                <w:sz w:val="20"/>
                <w:szCs w:val="20"/>
                <w:color w:val="auto"/>
              </w:rPr>
            </w:pPr>
            <w:r>
              <w:rPr>
                <w:rFonts w:ascii="Arial" w:cs="Arial" w:eastAsia="Arial" w:hAnsi="Arial"/>
                <w:sz w:val="12"/>
                <w:szCs w:val="12"/>
                <w:color w:val="auto"/>
              </w:rPr>
              <w:t>Net change in income taxes</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5</w:t>
            </w:r>
          </w:p>
        </w:tc>
      </w:tr>
      <w:tr>
        <w:trPr>
          <w:trHeight w:val="157"/>
        </w:trPr>
        <w:tc>
          <w:tcPr>
            <w:tcW w:w="93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Net change in other assets and other liabilities</w:t>
            </w: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(305)</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(155)</w:t>
            </w:r>
          </w:p>
        </w:tc>
      </w:tr>
      <w:tr>
        <w:trPr>
          <w:trHeight w:val="143"/>
        </w:trPr>
        <w:tc>
          <w:tcPr>
            <w:tcW w:w="9320" w:type="dxa"/>
            <w:vAlign w:val="bottom"/>
          </w:tcPr>
          <w:p>
            <w:pPr>
              <w:ind w:left="20"/>
              <w:spacing w:after="0" w:line="136" w:lineRule="exact"/>
              <w:rPr>
                <w:sz w:val="20"/>
                <w:szCs w:val="20"/>
                <w:color w:val="auto"/>
              </w:rPr>
            </w:pPr>
            <w:r>
              <w:rPr>
                <w:rFonts w:ascii="Arial" w:cs="Arial" w:eastAsia="Arial" w:hAnsi="Arial"/>
                <w:sz w:val="12"/>
                <w:szCs w:val="12"/>
                <w:color w:val="auto"/>
              </w:rPr>
              <w:t>Net cash provided by operating activities</w:t>
            </w:r>
          </w:p>
        </w:tc>
        <w:tc>
          <w:tcPr>
            <w:tcW w:w="220" w:type="dxa"/>
            <w:vAlign w:val="bottom"/>
          </w:tcPr>
          <w:p>
            <w:pPr>
              <w:spacing w:after="0"/>
              <w:rPr>
                <w:sz w:val="12"/>
                <w:szCs w:val="12"/>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2,600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965</w:t>
            </w:r>
          </w:p>
        </w:tc>
      </w:tr>
      <w:tr>
        <w:trPr>
          <w:trHeight w:val="157"/>
        </w:trPr>
        <w:tc>
          <w:tcPr>
            <w:tcW w:w="93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152"/>
        </w:trPr>
        <w:tc>
          <w:tcPr>
            <w:tcW w:w="9320" w:type="dxa"/>
            <w:vAlign w:val="bottom"/>
          </w:tcPr>
          <w:p>
            <w:pPr>
              <w:ind w:left="180"/>
              <w:spacing w:after="0"/>
              <w:rPr>
                <w:sz w:val="20"/>
                <w:szCs w:val="20"/>
                <w:color w:val="auto"/>
              </w:rPr>
            </w:pPr>
            <w:r>
              <w:rPr>
                <w:rFonts w:ascii="Arial" w:cs="Arial" w:eastAsia="Arial" w:hAnsi="Arial"/>
                <w:sz w:val="12"/>
                <w:szCs w:val="12"/>
                <w:color w:val="auto"/>
              </w:rPr>
              <w:t>Proceeds from sales, calls and maturities of investment securities</w:t>
            </w:r>
          </w:p>
        </w:tc>
        <w:tc>
          <w:tcPr>
            <w:tcW w:w="22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6,278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1,930</w:t>
            </w:r>
          </w:p>
        </w:tc>
      </w:tr>
      <w:tr>
        <w:trPr>
          <w:trHeight w:val="157"/>
        </w:trPr>
        <w:tc>
          <w:tcPr>
            <w:tcW w:w="9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Proceeds from sales of property and equipment and title plants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w:t>
            </w:r>
          </w:p>
        </w:tc>
      </w:tr>
      <w:tr>
        <w:trPr>
          <w:trHeight w:val="152"/>
        </w:trPr>
        <w:tc>
          <w:tcPr>
            <w:tcW w:w="9320" w:type="dxa"/>
            <w:vAlign w:val="bottom"/>
          </w:tcPr>
          <w:p>
            <w:pPr>
              <w:ind w:left="180"/>
              <w:spacing w:after="0"/>
              <w:rPr>
                <w:sz w:val="20"/>
                <w:szCs w:val="20"/>
                <w:color w:val="auto"/>
              </w:rPr>
            </w:pPr>
            <w:r>
              <w:rPr>
                <w:rFonts w:ascii="Arial" w:cs="Arial" w:eastAsia="Arial" w:hAnsi="Arial"/>
                <w:sz w:val="12"/>
                <w:szCs w:val="12"/>
                <w:color w:val="auto"/>
              </w:rPr>
              <w:t>Additions to property and equipment and capitalized software</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(75)</w:t>
            </w:r>
          </w:p>
        </w:tc>
      </w:tr>
      <w:tr>
        <w:trPr>
          <w:trHeight w:val="157"/>
        </w:trPr>
        <w:tc>
          <w:tcPr>
            <w:tcW w:w="9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Purchases of investment securities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(10,278)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(2,548)</w:t>
            </w:r>
          </w:p>
        </w:tc>
      </w:tr>
      <w:tr>
        <w:trPr>
          <w:trHeight w:val="152"/>
        </w:trPr>
        <w:tc>
          <w:tcPr>
            <w:tcW w:w="9320" w:type="dxa"/>
            <w:vAlign w:val="bottom"/>
          </w:tcPr>
          <w:p>
            <w:pPr>
              <w:ind w:left="180"/>
              <w:spacing w:after="0"/>
              <w:rPr>
                <w:sz w:val="20"/>
                <w:szCs w:val="20"/>
                <w:color w:val="auto"/>
              </w:rPr>
            </w:pPr>
            <w:r>
              <w:rPr>
                <w:rFonts w:ascii="Arial" w:cs="Arial" w:eastAsia="Arial" w:hAnsi="Arial"/>
                <w:sz w:val="12"/>
                <w:szCs w:val="12"/>
                <w:color w:val="auto"/>
              </w:rPr>
              <w:t>Net proceeds from (purchases of) sales and maturities of short-term investment securities</w:t>
            </w:r>
          </w:p>
        </w:tc>
        <w:tc>
          <w:tcPr>
            <w:tcW w:w="22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92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791</w:t>
            </w:r>
          </w:p>
        </w:tc>
      </w:tr>
      <w:tr>
        <w:trPr>
          <w:trHeight w:val="157"/>
        </w:trPr>
        <w:tc>
          <w:tcPr>
            <w:tcW w:w="9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Additions to notes receivable</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52"/>
        </w:trPr>
        <w:tc>
          <w:tcPr>
            <w:tcW w:w="9320" w:type="dxa"/>
            <w:vAlign w:val="bottom"/>
          </w:tcPr>
          <w:p>
            <w:pPr>
              <w:ind w:left="180"/>
              <w:spacing w:after="0"/>
              <w:rPr>
                <w:sz w:val="20"/>
                <w:szCs w:val="20"/>
                <w:color w:val="auto"/>
              </w:rPr>
            </w:pPr>
            <w:r>
              <w:rPr>
                <w:rFonts w:ascii="Arial" w:cs="Arial" w:eastAsia="Arial" w:hAnsi="Arial"/>
                <w:sz w:val="12"/>
                <w:szCs w:val="12"/>
                <w:color w:val="auto"/>
              </w:rPr>
              <w:t>Collections of notes receivable</w:t>
            </w:r>
          </w:p>
        </w:tc>
        <w:tc>
          <w:tcPr>
            <w:tcW w:w="22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7"/>
        </w:trPr>
        <w:tc>
          <w:tcPr>
            <w:tcW w:w="9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Acquisitions and dispositions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(1,076)</w:t>
            </w:r>
          </w:p>
        </w:tc>
      </w:tr>
      <w:tr>
        <w:trPr>
          <w:trHeight w:val="152"/>
        </w:trPr>
        <w:tc>
          <w:tcPr>
            <w:tcW w:w="9320" w:type="dxa"/>
            <w:vAlign w:val="bottom"/>
          </w:tcPr>
          <w:p>
            <w:pPr>
              <w:ind w:left="180"/>
              <w:spacing w:after="0"/>
              <w:rPr>
                <w:sz w:val="20"/>
                <w:szCs w:val="20"/>
                <w:color w:val="auto"/>
              </w:rPr>
            </w:pPr>
            <w:r>
              <w:rPr>
                <w:rFonts w:ascii="Arial" w:cs="Arial" w:eastAsia="Arial" w:hAnsi="Arial"/>
                <w:sz w:val="12"/>
                <w:szCs w:val="12"/>
                <w:color w:val="auto"/>
              </w:rPr>
              <w:t>Additional investments in unconsolidated affiliates</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(992)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(148)</w:t>
            </w:r>
          </w:p>
        </w:tc>
      </w:tr>
      <w:tr>
        <w:trPr>
          <w:trHeight w:val="157"/>
        </w:trPr>
        <w:tc>
          <w:tcPr>
            <w:tcW w:w="9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Distributions from unconsolidated affiliates, return of investment</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78</w:t>
            </w:r>
          </w:p>
        </w:tc>
      </w:tr>
      <w:tr>
        <w:trPr>
          <w:trHeight w:val="152"/>
        </w:trPr>
        <w:tc>
          <w:tcPr>
            <w:tcW w:w="9320" w:type="dxa"/>
            <w:vAlign w:val="bottom"/>
          </w:tcPr>
          <w:p>
            <w:pPr>
              <w:ind w:left="180"/>
              <w:spacing w:after="0"/>
              <w:rPr>
                <w:sz w:val="20"/>
                <w:szCs w:val="20"/>
                <w:color w:val="auto"/>
              </w:rPr>
            </w:pPr>
            <w:r>
              <w:rPr>
                <w:rFonts w:ascii="Arial" w:cs="Arial" w:eastAsia="Arial" w:hAnsi="Arial"/>
                <w:sz w:val="12"/>
                <w:szCs w:val="12"/>
                <w:color w:val="auto"/>
              </w:rPr>
              <w:t>Proceeds from sales of unconsolidated affiliates</w:t>
            </w:r>
          </w:p>
        </w:tc>
        <w:tc>
          <w:tcPr>
            <w:tcW w:w="22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112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7"/>
        </w:trPr>
        <w:tc>
          <w:tcPr>
            <w:tcW w:w="9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Net other investing activities</w:t>
            </w:r>
          </w:p>
        </w:tc>
        <w:tc>
          <w:tcPr>
            <w:tcW w:w="2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40"/>
        </w:trPr>
        <w:tc>
          <w:tcPr>
            <w:tcW w:w="9320" w:type="dxa"/>
            <w:vAlign w:val="bottom"/>
          </w:tcPr>
          <w:p>
            <w:pPr>
              <w:ind w:left="20"/>
              <w:spacing w:after="0" w:line="136" w:lineRule="exact"/>
              <w:rPr>
                <w:sz w:val="20"/>
                <w:szCs w:val="20"/>
                <w:color w:val="auto"/>
              </w:rPr>
            </w:pPr>
            <w:r>
              <w:rPr>
                <w:rFonts w:ascii="Arial" w:cs="Arial" w:eastAsia="Arial" w:hAnsi="Arial"/>
                <w:sz w:val="12"/>
                <w:szCs w:val="12"/>
                <w:color w:val="auto"/>
              </w:rPr>
              <w:t>Net cash used in investing activities</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(4,863)</w:t>
            </w: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 w:name="page11"/>
    <w:bookmarkEnd w:id="10"/>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FIDELITY NATIONAL FINANCIAL,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CASH FLOWS (CONTINUED)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3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52"/>
        </w:trPr>
        <w:tc>
          <w:tcPr>
            <w:tcW w:w="9320" w:type="dxa"/>
            <w:vAlign w:val="bottom"/>
          </w:tcPr>
          <w:p>
            <w:pPr>
              <w:ind w:left="180"/>
              <w:spacing w:after="0"/>
              <w:rPr>
                <w:sz w:val="20"/>
                <w:szCs w:val="20"/>
                <w:color w:val="auto"/>
              </w:rPr>
            </w:pPr>
            <w:r>
              <w:rPr>
                <w:rFonts w:ascii="Arial" w:cs="Arial" w:eastAsia="Arial" w:hAnsi="Arial"/>
                <w:sz w:val="12"/>
                <w:szCs w:val="12"/>
                <w:color w:val="auto"/>
              </w:rPr>
              <w:t>Borrowings</w:t>
            </w:r>
          </w:p>
        </w:tc>
        <w:tc>
          <w:tcPr>
            <w:tcW w:w="34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580" w:type="dxa"/>
            <w:vAlign w:val="bottom"/>
          </w:tcPr>
          <w:p>
            <w:pPr>
              <w:jc w:val="right"/>
              <w:ind w:right="1"/>
              <w:spacing w:after="0"/>
              <w:rPr>
                <w:sz w:val="20"/>
                <w:szCs w:val="20"/>
                <w:color w:val="auto"/>
              </w:rPr>
            </w:pPr>
            <w:r>
              <w:rPr>
                <w:rFonts w:ascii="Arial" w:cs="Arial" w:eastAsia="Arial" w:hAnsi="Arial"/>
                <w:sz w:val="12"/>
                <w:szCs w:val="12"/>
                <w:color w:val="auto"/>
              </w:rPr>
              <w:t>1,000</w:t>
            </w:r>
          </w:p>
        </w:tc>
      </w:tr>
      <w:tr>
        <w:trPr>
          <w:trHeight w:val="157"/>
        </w:trPr>
        <w:tc>
          <w:tcPr>
            <w:tcW w:w="9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Debt offering</w:t>
            </w: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449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1,246</w:t>
            </w:r>
          </w:p>
        </w:tc>
      </w:tr>
      <w:tr>
        <w:trPr>
          <w:trHeight w:val="152"/>
        </w:trPr>
        <w:tc>
          <w:tcPr>
            <w:tcW w:w="9320" w:type="dxa"/>
            <w:vAlign w:val="bottom"/>
          </w:tcPr>
          <w:p>
            <w:pPr>
              <w:ind w:left="180"/>
              <w:spacing w:after="0"/>
              <w:rPr>
                <w:sz w:val="20"/>
                <w:szCs w:val="20"/>
                <w:color w:val="auto"/>
              </w:rPr>
            </w:pPr>
            <w:r>
              <w:rPr>
                <w:rFonts w:ascii="Arial" w:cs="Arial" w:eastAsia="Arial" w:hAnsi="Arial"/>
                <w:sz w:val="12"/>
                <w:szCs w:val="12"/>
                <w:color w:val="auto"/>
              </w:rPr>
              <w:t>Debt costs/equity issuance additions</w:t>
            </w:r>
          </w:p>
        </w:tc>
        <w:tc>
          <w:tcPr>
            <w:tcW w:w="3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157"/>
        </w:trPr>
        <w:tc>
          <w:tcPr>
            <w:tcW w:w="9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Debt service payments</w:t>
            </w:r>
          </w:p>
        </w:tc>
        <w:tc>
          <w:tcPr>
            <w:tcW w:w="3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r>
      <w:tr>
        <w:trPr>
          <w:trHeight w:val="152"/>
        </w:trPr>
        <w:tc>
          <w:tcPr>
            <w:tcW w:w="9320" w:type="dxa"/>
            <w:vAlign w:val="bottom"/>
          </w:tcPr>
          <w:p>
            <w:pPr>
              <w:ind w:left="180"/>
              <w:spacing w:after="0"/>
              <w:rPr>
                <w:sz w:val="20"/>
                <w:szCs w:val="20"/>
                <w:color w:val="auto"/>
              </w:rPr>
            </w:pPr>
            <w:r>
              <w:rPr>
                <w:rFonts w:ascii="Arial" w:cs="Arial" w:eastAsia="Arial" w:hAnsi="Arial"/>
                <w:sz w:val="12"/>
                <w:szCs w:val="12"/>
                <w:color w:val="auto"/>
              </w:rPr>
              <w:t>Dividends paid</w:t>
            </w:r>
          </w:p>
        </w:tc>
        <w:tc>
          <w:tcPr>
            <w:tcW w:w="3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(320)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(282)</w:t>
            </w:r>
          </w:p>
        </w:tc>
      </w:tr>
      <w:tr>
        <w:trPr>
          <w:trHeight w:val="157"/>
        </w:trPr>
        <w:tc>
          <w:tcPr>
            <w:tcW w:w="9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Subsidiary dividends paid to non-controlling interest shareholders</w:t>
            </w: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r>
      <w:tr>
        <w:trPr>
          <w:trHeight w:val="152"/>
        </w:trPr>
        <w:tc>
          <w:tcPr>
            <w:tcW w:w="9320" w:type="dxa"/>
            <w:vAlign w:val="bottom"/>
          </w:tcPr>
          <w:p>
            <w:pPr>
              <w:ind w:left="180"/>
              <w:spacing w:after="0"/>
              <w:rPr>
                <w:sz w:val="20"/>
                <w:szCs w:val="20"/>
                <w:color w:val="auto"/>
              </w:rPr>
            </w:pPr>
            <w:r>
              <w:rPr>
                <w:rFonts w:ascii="Arial" w:cs="Arial" w:eastAsia="Arial" w:hAnsi="Arial"/>
                <w:sz w:val="12"/>
                <w:szCs w:val="12"/>
                <w:color w:val="auto"/>
              </w:rPr>
              <w:t>Exercise of stock options</w:t>
            </w:r>
          </w:p>
        </w:tc>
        <w:tc>
          <w:tcPr>
            <w:tcW w:w="340" w:type="dxa"/>
            <w:vAlign w:val="bottom"/>
          </w:tcPr>
          <w:p>
            <w:pPr>
              <w:spacing w:after="0"/>
              <w:rPr>
                <w:sz w:val="13"/>
                <w:szCs w:val="13"/>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39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jc w:val="right"/>
              <w:ind w:right="1"/>
              <w:spacing w:after="0"/>
              <w:rPr>
                <w:sz w:val="20"/>
                <w:szCs w:val="20"/>
                <w:color w:val="auto"/>
              </w:rPr>
            </w:pPr>
            <w:r>
              <w:rPr>
                <w:rFonts w:ascii="Arial" w:cs="Arial" w:eastAsia="Arial" w:hAnsi="Arial"/>
                <w:sz w:val="12"/>
                <w:szCs w:val="12"/>
                <w:color w:val="auto"/>
              </w:rPr>
              <w:t>47</w:t>
            </w:r>
          </w:p>
        </w:tc>
      </w:tr>
      <w:tr>
        <w:trPr>
          <w:trHeight w:val="157"/>
        </w:trPr>
        <w:tc>
          <w:tcPr>
            <w:tcW w:w="9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Net change in secured trust deposits</w:t>
            </w: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437</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38</w:t>
            </w:r>
          </w:p>
        </w:tc>
      </w:tr>
      <w:tr>
        <w:trPr>
          <w:trHeight w:val="152"/>
        </w:trPr>
        <w:tc>
          <w:tcPr>
            <w:tcW w:w="9320" w:type="dxa"/>
            <w:vAlign w:val="bottom"/>
          </w:tcPr>
          <w:p>
            <w:pPr>
              <w:ind w:left="180"/>
              <w:spacing w:after="0"/>
              <w:rPr>
                <w:sz w:val="20"/>
                <w:szCs w:val="20"/>
                <w:color w:val="auto"/>
              </w:rPr>
            </w:pPr>
            <w:r>
              <w:rPr>
                <w:rFonts w:ascii="Arial" w:cs="Arial" w:eastAsia="Arial" w:hAnsi="Arial"/>
                <w:sz w:val="12"/>
                <w:szCs w:val="12"/>
                <w:color w:val="auto"/>
              </w:rPr>
              <w:t>Additional investment in consolidated subsidiaries</w:t>
            </w:r>
          </w:p>
        </w:tc>
        <w:tc>
          <w:tcPr>
            <w:tcW w:w="340" w:type="dxa"/>
            <w:vAlign w:val="bottom"/>
          </w:tcPr>
          <w:p>
            <w:pPr>
              <w:spacing w:after="0"/>
              <w:rPr>
                <w:sz w:val="13"/>
                <w:szCs w:val="13"/>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(90)</w:t>
            </w:r>
          </w:p>
        </w:tc>
      </w:tr>
      <w:tr>
        <w:trPr>
          <w:trHeight w:val="157"/>
        </w:trPr>
        <w:tc>
          <w:tcPr>
            <w:tcW w:w="9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Payment of contingent consideration for prior period acquisitions</w:t>
            </w: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r>
      <w:tr>
        <w:trPr>
          <w:trHeight w:val="152"/>
        </w:trPr>
        <w:tc>
          <w:tcPr>
            <w:tcW w:w="9320" w:type="dxa"/>
            <w:vAlign w:val="bottom"/>
          </w:tcPr>
          <w:p>
            <w:pPr>
              <w:ind w:left="180"/>
              <w:spacing w:after="0"/>
              <w:rPr>
                <w:sz w:val="20"/>
                <w:szCs w:val="20"/>
                <w:color w:val="auto"/>
              </w:rPr>
            </w:pPr>
            <w:r>
              <w:rPr>
                <w:rFonts w:ascii="Arial" w:cs="Arial" w:eastAsia="Arial" w:hAnsi="Arial"/>
                <w:sz w:val="12"/>
                <w:szCs w:val="12"/>
                <w:color w:val="auto"/>
              </w:rPr>
              <w:t>Contractholder account deposits</w:t>
            </w:r>
          </w:p>
        </w:tc>
        <w:tc>
          <w:tcPr>
            <w:tcW w:w="340" w:type="dxa"/>
            <w:vAlign w:val="bottom"/>
          </w:tcPr>
          <w:p>
            <w:pPr>
              <w:spacing w:after="0"/>
              <w:rPr>
                <w:sz w:val="13"/>
                <w:szCs w:val="13"/>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6,820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jc w:val="right"/>
              <w:ind w:right="1"/>
              <w:spacing w:after="0"/>
              <w:rPr>
                <w:sz w:val="20"/>
                <w:szCs w:val="20"/>
                <w:color w:val="auto"/>
              </w:rPr>
            </w:pPr>
            <w:r>
              <w:rPr>
                <w:rFonts w:ascii="Arial" w:cs="Arial" w:eastAsia="Arial" w:hAnsi="Arial"/>
                <w:sz w:val="12"/>
                <w:szCs w:val="12"/>
                <w:color w:val="auto"/>
              </w:rPr>
              <w:t>1,481</w:t>
            </w:r>
          </w:p>
        </w:tc>
      </w:tr>
      <w:tr>
        <w:trPr>
          <w:trHeight w:val="157"/>
        </w:trPr>
        <w:tc>
          <w:tcPr>
            <w:tcW w:w="9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Contractholder account withdrawals</w:t>
            </w: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(730)</w:t>
            </w:r>
          </w:p>
        </w:tc>
      </w:tr>
      <w:tr>
        <w:trPr>
          <w:trHeight w:val="152"/>
        </w:trPr>
        <w:tc>
          <w:tcPr>
            <w:tcW w:w="932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Purchases of treasury stock</w:t>
            </w:r>
          </w:p>
        </w:tc>
        <w:tc>
          <w:tcPr>
            <w:tcW w:w="3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(361)</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w:t>
            </w:r>
          </w:p>
        </w:tc>
      </w:tr>
      <w:tr>
        <w:trPr>
          <w:trHeight w:val="148"/>
        </w:trPr>
        <w:tc>
          <w:tcPr>
            <w:tcW w:w="9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cash provided by financing activities</w:t>
            </w:r>
          </w:p>
        </w:tc>
        <w:tc>
          <w:tcPr>
            <w:tcW w:w="3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4,692</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1,570</w:t>
            </w:r>
          </w:p>
        </w:tc>
      </w:tr>
      <w:tr>
        <w:trPr>
          <w:trHeight w:val="143"/>
        </w:trPr>
        <w:tc>
          <w:tcPr>
            <w:tcW w:w="9320" w:type="dxa"/>
            <w:vAlign w:val="bottom"/>
          </w:tcPr>
          <w:p>
            <w:pPr>
              <w:ind w:left="20"/>
              <w:spacing w:after="0" w:line="136" w:lineRule="exact"/>
              <w:rPr>
                <w:sz w:val="20"/>
                <w:szCs w:val="20"/>
                <w:color w:val="auto"/>
              </w:rPr>
            </w:pPr>
            <w:r>
              <w:rPr>
                <w:rFonts w:ascii="Arial" w:cs="Arial" w:eastAsia="Arial" w:hAnsi="Arial"/>
                <w:sz w:val="12"/>
                <w:szCs w:val="12"/>
                <w:color w:val="auto"/>
              </w:rPr>
              <w:t>Net increase in cash and cash equivalents</w:t>
            </w:r>
          </w:p>
        </w:tc>
        <w:tc>
          <w:tcPr>
            <w:tcW w:w="340" w:type="dxa"/>
            <w:vAlign w:val="bottom"/>
          </w:tcPr>
          <w:p>
            <w:pPr>
              <w:spacing w:after="0"/>
              <w:rPr>
                <w:sz w:val="12"/>
                <w:szCs w:val="12"/>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2,429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jc w:val="right"/>
              <w:ind w:right="1"/>
              <w:spacing w:after="0"/>
              <w:rPr>
                <w:sz w:val="20"/>
                <w:szCs w:val="20"/>
                <w:color w:val="auto"/>
              </w:rPr>
            </w:pPr>
            <w:r>
              <w:rPr>
                <w:rFonts w:ascii="Arial" w:cs="Arial" w:eastAsia="Arial" w:hAnsi="Arial"/>
                <w:sz w:val="12"/>
                <w:szCs w:val="12"/>
                <w:color w:val="auto"/>
              </w:rPr>
              <w:t>1,495</w:t>
            </w:r>
          </w:p>
        </w:tc>
      </w:tr>
      <w:tr>
        <w:trPr>
          <w:trHeight w:val="155"/>
        </w:trPr>
        <w:tc>
          <w:tcPr>
            <w:tcW w:w="9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and cash equivalents at beginning of period</w:t>
            </w:r>
          </w:p>
        </w:tc>
        <w:tc>
          <w:tcPr>
            <w:tcW w:w="3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2,719</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1,376</w:t>
            </w:r>
          </w:p>
        </w:tc>
      </w:tr>
      <w:tr>
        <w:trPr>
          <w:trHeight w:val="148"/>
        </w:trPr>
        <w:tc>
          <w:tcPr>
            <w:tcW w:w="9320" w:type="dxa"/>
            <w:vAlign w:val="bottom"/>
          </w:tcPr>
          <w:p>
            <w:pPr>
              <w:ind w:left="20"/>
              <w:spacing w:after="0"/>
              <w:rPr>
                <w:sz w:val="20"/>
                <w:szCs w:val="20"/>
                <w:color w:val="auto"/>
              </w:rPr>
            </w:pPr>
            <w:r>
              <w:rPr>
                <w:rFonts w:ascii="Arial" w:cs="Arial" w:eastAsia="Arial" w:hAnsi="Arial"/>
                <w:sz w:val="12"/>
                <w:szCs w:val="12"/>
                <w:color w:val="auto"/>
              </w:rPr>
              <w:t>Cash and cash equivalents at end of period</w:t>
            </w:r>
          </w:p>
        </w:tc>
        <w:tc>
          <w:tcPr>
            <w:tcW w:w="340" w:type="dxa"/>
            <w:vAlign w:val="bottom"/>
            <w:tcBorders>
              <w:bottom w:val="single" w:sz="8" w:color="auto"/>
            </w:tcBorders>
          </w:tcPr>
          <w:p>
            <w:pPr>
              <w:jc w:val="right"/>
              <w:ind w:right="233"/>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5,148</w:t>
            </w:r>
          </w:p>
        </w:tc>
        <w:tc>
          <w:tcPr>
            <w:tcW w:w="100" w:type="dxa"/>
            <w:vAlign w:val="bottom"/>
          </w:tcPr>
          <w:p>
            <w:pPr>
              <w:spacing w:after="0"/>
              <w:rPr>
                <w:sz w:val="12"/>
                <w:szCs w:val="12"/>
                <w:color w:val="auto"/>
              </w:rPr>
            </w:pPr>
          </w:p>
        </w:tc>
        <w:tc>
          <w:tcPr>
            <w:tcW w:w="300" w:type="dxa"/>
            <w:vAlign w:val="bottom"/>
            <w:tcBorders>
              <w:bottom w:val="single" w:sz="8" w:color="auto"/>
            </w:tcBorders>
          </w:tcPr>
          <w:p>
            <w:pPr>
              <w:jc w:val="right"/>
              <w:ind w:right="161"/>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2,871</w:t>
            </w:r>
          </w:p>
        </w:tc>
      </w:tr>
      <w:tr>
        <w:trPr>
          <w:trHeight w:val="20"/>
        </w:trPr>
        <w:tc>
          <w:tcPr>
            <w:tcW w:w="9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 w:name="page12"/>
    <w:bookmarkEnd w:id="1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540"/>
        <w:spacing w:after="0"/>
        <w:rPr>
          <w:sz w:val="20"/>
          <w:szCs w:val="20"/>
          <w:color w:val="auto"/>
        </w:rPr>
      </w:pPr>
      <w:r>
        <w:rPr>
          <w:rFonts w:ascii="Arial" w:cs="Arial" w:eastAsia="Arial" w:hAnsi="Arial"/>
          <w:sz w:val="15"/>
          <w:szCs w:val="15"/>
          <w:b w:val="1"/>
          <w:bCs w:val="1"/>
          <w:color w:val="auto"/>
        </w:rPr>
        <w:t>FIDELITY NATIONAL FINANCIAL, INC. AND SUBSIDIARIES</w:t>
      </w:r>
    </w:p>
    <w:p>
      <w:pPr>
        <w:spacing w:after="0" w:line="70" w:lineRule="exact"/>
        <w:rPr>
          <w:sz w:val="20"/>
          <w:szCs w:val="20"/>
          <w:color w:val="auto"/>
        </w:rPr>
      </w:pPr>
    </w:p>
    <w:p>
      <w:pPr>
        <w:ind w:left="2780"/>
        <w:spacing w:after="0"/>
        <w:rPr>
          <w:sz w:val="20"/>
          <w:szCs w:val="20"/>
          <w:color w:val="auto"/>
        </w:rPr>
      </w:pPr>
      <w:r>
        <w:rPr>
          <w:rFonts w:ascii="Arial" w:cs="Arial" w:eastAsia="Arial" w:hAnsi="Arial"/>
          <w:sz w:val="15"/>
          <w:szCs w:val="15"/>
          <w:b w:val="1"/>
          <w:bCs w:val="1"/>
          <w:color w:val="auto"/>
        </w:rPr>
        <w:t>NOTES TO UNAUDITED CONDENSED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w:t>
      </w:r>
      <w:r>
        <w:rPr>
          <w:rFonts w:ascii="Arial" w:cs="Arial" w:eastAsia="Arial" w:hAnsi="Arial"/>
          <w:sz w:val="15"/>
          <w:szCs w:val="15"/>
          <w:b w:val="1"/>
          <w:bCs w:val="1"/>
          <w:color w:val="auto"/>
        </w:rPr>
        <w:t>Unaudited)</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A — Basis of Financial Statements</w:t>
      </w:r>
    </w:p>
    <w:p>
      <w:pPr>
        <w:spacing w:after="0" w:line="4" w:lineRule="exact"/>
        <w:rPr>
          <w:sz w:val="20"/>
          <w:szCs w:val="20"/>
          <w:color w:val="auto"/>
        </w:rPr>
      </w:pPr>
    </w:p>
    <w:p>
      <w:pPr>
        <w:jc w:val="both"/>
        <w:ind w:firstLine="265"/>
        <w:spacing w:after="0" w:line="271" w:lineRule="auto"/>
        <w:rPr>
          <w:sz w:val="20"/>
          <w:szCs w:val="20"/>
          <w:color w:val="auto"/>
        </w:rPr>
      </w:pPr>
      <w:r>
        <w:rPr>
          <w:rFonts w:ascii="Arial" w:cs="Arial" w:eastAsia="Arial" w:hAnsi="Arial"/>
          <w:sz w:val="14"/>
          <w:szCs w:val="14"/>
          <w:color w:val="auto"/>
        </w:rPr>
        <w:t>The financial information in this report presented for interim periods is unaudited and includes the accounts of Fidelity National Financial, Inc. and its subsidiaries (collectively, “we,” “us,” “our,” the "Company" or “FNF”) prepared in accordance with U.S. generally accepted accounting principles ("GAAP") and the instructions to Form 10-Q and Article 10 of Regulation S-X.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2020.</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Description of the Business</w:t>
      </w:r>
    </w:p>
    <w:p>
      <w:pPr>
        <w:spacing w:after="0" w:line="92" w:lineRule="exact"/>
        <w:rPr>
          <w:sz w:val="20"/>
          <w:szCs w:val="20"/>
          <w:color w:val="auto"/>
        </w:rPr>
      </w:pPr>
    </w:p>
    <w:p>
      <w:pPr>
        <w:jc w:val="both"/>
        <w:ind w:firstLine="265"/>
        <w:spacing w:after="0" w:line="268" w:lineRule="auto"/>
        <w:rPr>
          <w:sz w:val="20"/>
          <w:szCs w:val="20"/>
          <w:color w:val="auto"/>
        </w:rPr>
      </w:pPr>
      <w:r>
        <w:rPr>
          <w:rFonts w:ascii="Arial" w:cs="Arial" w:eastAsia="Arial" w:hAnsi="Arial"/>
          <w:sz w:val="14"/>
          <w:szCs w:val="14"/>
          <w:color w:val="auto"/>
        </w:rPr>
        <w:t>We are a leading provider of (i) title insurance, escrow and other title-related services, including trust activities, trustee sales guarantees, recordings and reconveyances and home warranty products, (ii) technology and transaction services to the real estate and mortgage industries and (iii) annuity and life insurance products. FNF is one of the nation’s largest title insurance companies operating through its title insurance underwriters - Fidelity National Title Insurance Company ("FNTIC"), Chicago Title Insurance Company ("Chicago Title"), Commonwealth Land Title Insurance Company ("Commonwealth Title"),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We are also a provider of annuity and life insurance products, providing deferred annuities, including fixed index annuities ("FIA"), fixed rate annuities, immediate annuities, indexed universal life ("IUL") insurance, funding agreements and pension risk transfer ("PRT") solutions through our wholly-owned subsidiary, F&amp;G Annuities &amp; Life ("F&amp;G").</w:t>
      </w:r>
    </w:p>
    <w:p>
      <w:pPr>
        <w:spacing w:after="0" w:line="5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 xml:space="preserve">For information about our reportable segments refer to Note H </w:t>
      </w:r>
      <w:r>
        <w:rPr>
          <w:rFonts w:ascii="Arial" w:cs="Arial" w:eastAsia="Arial" w:hAnsi="Arial"/>
          <w:sz w:val="15"/>
          <w:szCs w:val="15"/>
          <w:i w:val="1"/>
          <w:iCs w:val="1"/>
          <w:color w:val="auto"/>
        </w:rPr>
        <w:t>Segment Information</w:t>
      </w:r>
      <w:r>
        <w:rPr>
          <w:rFonts w:ascii="Arial" w:cs="Arial" w:eastAsia="Arial" w:hAnsi="Arial"/>
          <w:sz w:val="15"/>
          <w:szCs w:val="15"/>
          <w:color w:val="auto"/>
        </w:rPr>
        <w:t>.</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Recent Developments</w:t>
      </w:r>
    </w:p>
    <w:p>
      <w:pPr>
        <w:spacing w:after="0" w:line="92"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3.20% Senior Notes</w:t>
      </w:r>
    </w:p>
    <w:p>
      <w:pPr>
        <w:spacing w:after="0" w:line="92" w:lineRule="exact"/>
        <w:rPr>
          <w:sz w:val="20"/>
          <w:szCs w:val="20"/>
          <w:color w:val="auto"/>
        </w:rPr>
      </w:pPr>
    </w:p>
    <w:p>
      <w:pPr>
        <w:jc w:val="both"/>
        <w:ind w:firstLine="265"/>
        <w:spacing w:after="0" w:line="252" w:lineRule="auto"/>
        <w:rPr>
          <w:sz w:val="20"/>
          <w:szCs w:val="20"/>
          <w:color w:val="auto"/>
        </w:rPr>
      </w:pPr>
      <w:r>
        <w:rPr>
          <w:rFonts w:ascii="Arial" w:cs="Arial" w:eastAsia="Arial" w:hAnsi="Arial"/>
          <w:sz w:val="15"/>
          <w:szCs w:val="15"/>
          <w:color w:val="auto"/>
        </w:rPr>
        <w:t xml:space="preserve">On September 17, 2021, we completed our underwritten public offering of $450 million aggregate principal amount of our 3.20% Notes due September 17, 2051 (the "3.20% Notes"), pursuant to our registration statement on Form S-3 (File No. 333-239002) and the related prospectus supplement. The net proceeds from the registered offering of the 3.20% Notes were approximately $443 million, after deducting underwriting discounts, commissions and offering expenses. We plan to use the net proceeds from the offering for general corporate purposes. For further information related to the 3.20% Notes, refer to Note O </w:t>
      </w:r>
      <w:r>
        <w:rPr>
          <w:rFonts w:ascii="Arial" w:cs="Arial" w:eastAsia="Arial" w:hAnsi="Arial"/>
          <w:sz w:val="15"/>
          <w:szCs w:val="15"/>
          <w:i w:val="1"/>
          <w:iCs w:val="1"/>
          <w:color w:val="auto"/>
        </w:rPr>
        <w:t>Notes Payable</w:t>
      </w:r>
      <w:r>
        <w:rPr>
          <w:rFonts w:ascii="Arial" w:cs="Arial" w:eastAsia="Arial" w:hAnsi="Arial"/>
          <w:sz w:val="15"/>
          <w:szCs w:val="15"/>
          <w:color w:val="auto"/>
        </w:rPr>
        <w:t>.</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Approval of the 2021 Repurchase Program</w:t>
      </w:r>
    </w:p>
    <w:p>
      <w:pPr>
        <w:spacing w:after="0" w:line="92" w:lineRule="exact"/>
        <w:rPr>
          <w:sz w:val="20"/>
          <w:szCs w:val="20"/>
          <w:color w:val="auto"/>
        </w:rPr>
      </w:pPr>
    </w:p>
    <w:p>
      <w:pPr>
        <w:jc w:val="both"/>
        <w:ind w:firstLine="265"/>
        <w:spacing w:after="0" w:line="255" w:lineRule="auto"/>
        <w:rPr>
          <w:sz w:val="20"/>
          <w:szCs w:val="20"/>
          <w:color w:val="auto"/>
        </w:rPr>
      </w:pPr>
      <w:r>
        <w:rPr>
          <w:rFonts w:ascii="Arial" w:cs="Arial" w:eastAsia="Arial" w:hAnsi="Arial"/>
          <w:sz w:val="15"/>
          <w:szCs w:val="15"/>
          <w:color w:val="auto"/>
        </w:rPr>
        <w:t>On August 3, 2021, our Board of Directors approved a new three-year stock repurchase program effective August 3, 2021 (the "2021 Repurchase Program") under which we may purchase up to 25 million shares of our FNF common stock through July 31, 2024. We may make repurchases from time to time in the open market, in block purchases or in privately negotiated transactions, depending on market conditions and other factors.</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Merger of Alight, Inc. ("Alight") and Foley Trasimene Acquisition Corp. ("FTAC")</w:t>
      </w:r>
    </w:p>
    <w:p>
      <w:pPr>
        <w:spacing w:after="0" w:line="92" w:lineRule="exact"/>
        <w:rPr>
          <w:sz w:val="20"/>
          <w:szCs w:val="20"/>
          <w:color w:val="auto"/>
        </w:rPr>
      </w:pPr>
    </w:p>
    <w:p>
      <w:pPr>
        <w:jc w:val="both"/>
        <w:ind w:firstLine="265"/>
        <w:spacing w:after="0" w:line="255" w:lineRule="auto"/>
        <w:rPr>
          <w:sz w:val="20"/>
          <w:szCs w:val="20"/>
          <w:color w:val="auto"/>
        </w:rPr>
      </w:pPr>
      <w:r>
        <w:rPr>
          <w:rFonts w:ascii="Arial" w:cs="Arial" w:eastAsia="Arial" w:hAnsi="Arial"/>
          <w:sz w:val="15"/>
          <w:szCs w:val="15"/>
          <w:color w:val="auto"/>
        </w:rPr>
        <w:t>On January 25, 2021, each of our wholly-owned subsidiaries, FNTIC, Commonwealth Title and Chicago Title (collectively, the "FTAC Subscribers") entered into common stock subscription agreements (the "FTAC Subscription Agreements") with Alight (f/k/a Acrobat Holdings, Inc.) and FTAC to purchase in the aggregate $150 million (the "Alight Purchase Price") of Class A Common Stock, par value $.001 per share, of Alight at a purchase price of $10.00 per share.</w:t>
      </w:r>
    </w:p>
    <w:p>
      <w:pPr>
        <w:spacing w:after="0" w:line="57" w:lineRule="exact"/>
        <w:rPr>
          <w:sz w:val="20"/>
          <w:szCs w:val="20"/>
          <w:color w:val="auto"/>
        </w:rPr>
      </w:pPr>
    </w:p>
    <w:p>
      <w:pPr>
        <w:jc w:val="both"/>
        <w:ind w:firstLine="265"/>
        <w:spacing w:after="0" w:line="308" w:lineRule="auto"/>
        <w:rPr>
          <w:sz w:val="20"/>
          <w:szCs w:val="20"/>
          <w:color w:val="auto"/>
        </w:rPr>
      </w:pPr>
      <w:r>
        <w:rPr>
          <w:rFonts w:ascii="Arial" w:cs="Arial" w:eastAsia="Arial" w:hAnsi="Arial"/>
          <w:sz w:val="13"/>
          <w:szCs w:val="13"/>
          <w:color w:val="auto"/>
        </w:rPr>
        <w:t>On June 29, 2021, we funded the Alight Purchase Price. Additionally, Alight paid the FTAC Subscribers a fee of 2.5% of the Alight Purchase Price upon closing of the transactions in accordance with the Business Combination Agreement dated January 25, 2021, as amended and restated April 29, 2021, by and among FTAC, Alight and other parties thereto.</w:t>
      </w:r>
    </w:p>
    <w:p>
      <w:pPr>
        <w:spacing w:after="0" w:line="3" w:lineRule="exact"/>
        <w:rPr>
          <w:sz w:val="20"/>
          <w:szCs w:val="20"/>
          <w:color w:val="auto"/>
        </w:rPr>
      </w:pPr>
    </w:p>
    <w:p>
      <w:pPr>
        <w:jc w:val="both"/>
        <w:ind w:right="20" w:firstLine="265"/>
        <w:spacing w:after="0" w:line="266" w:lineRule="auto"/>
        <w:rPr>
          <w:sz w:val="20"/>
          <w:szCs w:val="20"/>
          <w:color w:val="auto"/>
        </w:rPr>
      </w:pPr>
      <w:r>
        <w:rPr>
          <w:rFonts w:ascii="Arial" w:cs="Arial" w:eastAsia="Arial" w:hAnsi="Arial"/>
          <w:sz w:val="15"/>
          <w:szCs w:val="15"/>
          <w:color w:val="auto"/>
        </w:rPr>
        <w:t>On July 2, 2021, FTAC merged with Alight. The newly combined company operates as Alight, Inc. and is traded on the New York Stock Exchange ("NYSE") under the symbol "ALIT." As of September 30, 2021 our shares of Alight are fully registered and are included in equity securities within the accompanying unaudited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 w:name="page13"/>
    <w:bookmarkEnd w:id="1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Condensed Consolidated Balance Sheets.</w:t>
      </w:r>
    </w:p>
    <w:p>
      <w:pPr>
        <w:spacing w:after="0" w:line="92"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F&amp;G Enters Funding Agreement Backed Note ("FABN") Market</w:t>
      </w:r>
    </w:p>
    <w:p>
      <w:pPr>
        <w:spacing w:after="0" w:line="92" w:lineRule="exact"/>
        <w:rPr>
          <w:sz w:val="20"/>
          <w:szCs w:val="20"/>
          <w:color w:val="auto"/>
        </w:rPr>
      </w:pPr>
    </w:p>
    <w:p>
      <w:pPr>
        <w:jc w:val="both"/>
        <w:ind w:firstLine="265"/>
        <w:spacing w:after="0" w:line="282" w:lineRule="auto"/>
        <w:rPr>
          <w:sz w:val="20"/>
          <w:szCs w:val="20"/>
          <w:color w:val="auto"/>
        </w:rPr>
      </w:pPr>
      <w:r>
        <w:rPr>
          <w:rFonts w:ascii="Arial" w:cs="Arial" w:eastAsia="Arial" w:hAnsi="Arial"/>
          <w:sz w:val="14"/>
          <w:szCs w:val="14"/>
          <w:color w:val="auto"/>
        </w:rPr>
        <w:t>In June 2021, we established a funding agreement-backed notes program (the “FABN Program”), pursuant to which Fidelity &amp; Guaranty Life Insurance Company (“FGL Insurance”) may issue funding agreements to a special purpose statutory trust (the “Trust”) for spread lending purposes. The maximum aggregate principal amount permitted to be outstanding at any one time under the FABN Program is $5.0 billion. As of September 30, 2021, we had approximately $1.9 billion outstanding under the FABN program.</w:t>
      </w:r>
    </w:p>
    <w:p>
      <w:pPr>
        <w:spacing w:after="0" w:line="51"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F&amp;G Enters Pension Risk Transfer ("PRT") Market</w:t>
      </w:r>
    </w:p>
    <w:p>
      <w:pPr>
        <w:spacing w:after="0" w:line="92" w:lineRule="exact"/>
        <w:rPr>
          <w:sz w:val="20"/>
          <w:szCs w:val="20"/>
          <w:color w:val="auto"/>
        </w:rPr>
      </w:pPr>
    </w:p>
    <w:p>
      <w:pPr>
        <w:jc w:val="both"/>
        <w:ind w:firstLine="265"/>
        <w:spacing w:after="0" w:line="255" w:lineRule="auto"/>
        <w:rPr>
          <w:sz w:val="20"/>
          <w:szCs w:val="20"/>
          <w:color w:val="auto"/>
        </w:rPr>
      </w:pPr>
      <w:r>
        <w:rPr>
          <w:rFonts w:ascii="Arial" w:cs="Arial" w:eastAsia="Arial" w:hAnsi="Arial"/>
          <w:sz w:val="15"/>
          <w:szCs w:val="15"/>
          <w:color w:val="auto"/>
        </w:rPr>
        <w:t>In July 2021, we entered the PRT market, pursuant to which FGL Insurance and Fidelity &amp; Guaranty Life Insurance Company of New York ("FGL NY Insurance") may issue group annuity contracts to discharge pension plan liabilities from a pension plan sponsor. As of September 30, 2021, we closed pension risk transfer transactions which represent pension obligations of $371 million. In October 2021, we secured an additional $564 million in PRT transactions.</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Merger of Paysafe Limited ("Paysafe") and Foley Trasimene Acquisition Corp. II ("FTAC II")</w:t>
      </w:r>
    </w:p>
    <w:p>
      <w:pPr>
        <w:spacing w:after="0" w:line="92" w:lineRule="exact"/>
        <w:rPr>
          <w:sz w:val="20"/>
          <w:szCs w:val="20"/>
          <w:color w:val="auto"/>
        </w:rPr>
      </w:pPr>
    </w:p>
    <w:p>
      <w:pPr>
        <w:jc w:val="both"/>
        <w:ind w:firstLine="265"/>
        <w:spacing w:after="0" w:line="271" w:lineRule="auto"/>
        <w:rPr>
          <w:sz w:val="20"/>
          <w:szCs w:val="20"/>
          <w:color w:val="auto"/>
        </w:rPr>
      </w:pPr>
      <w:r>
        <w:rPr>
          <w:rFonts w:ascii="Arial" w:cs="Arial" w:eastAsia="Arial" w:hAnsi="Arial"/>
          <w:sz w:val="14"/>
          <w:szCs w:val="14"/>
          <w:color w:val="auto"/>
        </w:rPr>
        <w:t>On December 7, 2020, each of our wholly-owned subsidiaries, FNTIC, Commonwealth Title, Chicago Title and F&amp;G (collectively, the "FTAC II Subscribers"), entered into common stock subscription agreements with Paysafe and FTAC II to purchase in the aggregate $500 million (the "Purchase Price") of common shares, par value $0.001 per share, of Paysafe at a purchase price of $10.00 per share ("the PIPE Investment"). On March 30, 2021, FTAC II merged with Paysafe, an exempted limited company incorporated under the laws of Bermuda and a leading integrated payments platform (the "FTAC II Paysafe Merger"), in accordance with the agreement and plan of merger dated December 7, 2020. The newly combined company operates as Paysafe and is traded on the NYSE under the symbol PSFE. The FTAC II Paysafe Merger was funded with the cash held in trust at FTAC II, forward purchase commitments, private investment in public equity ("PIPE") commitments and equity of Paysafe.</w:t>
      </w:r>
    </w:p>
    <w:p>
      <w:pPr>
        <w:spacing w:after="0" w:line="57" w:lineRule="exact"/>
        <w:rPr>
          <w:sz w:val="20"/>
          <w:szCs w:val="20"/>
          <w:color w:val="auto"/>
        </w:rPr>
      </w:pPr>
    </w:p>
    <w:p>
      <w:pPr>
        <w:jc w:val="both"/>
        <w:ind w:firstLine="265"/>
        <w:spacing w:after="0" w:line="282" w:lineRule="auto"/>
        <w:rPr>
          <w:sz w:val="20"/>
          <w:szCs w:val="20"/>
          <w:color w:val="auto"/>
        </w:rPr>
      </w:pPr>
      <w:r>
        <w:rPr>
          <w:rFonts w:ascii="Arial" w:cs="Arial" w:eastAsia="Arial" w:hAnsi="Arial"/>
          <w:sz w:val="14"/>
          <w:szCs w:val="14"/>
          <w:color w:val="auto"/>
        </w:rPr>
        <w:t>On March 30, 2021, the FTAC II Subscribers funded the subscription agreements and received 50 million common shares of Paysafe. As of September 30, 2021, we hold approximately 7% of the outstanding common shares of Paysafe, which are included in equity securities in the accompanying unaudited Condensed Consolidated Balance Sheets. In connection with the PIPE Investment, we received a fee of 1.6% of the Purchase Price as described in the agreement and plan of merger dated December 7, 2020.</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Tax</w:t>
      </w:r>
    </w:p>
    <w:p>
      <w:pPr>
        <w:spacing w:after="0" w:line="70" w:lineRule="exact"/>
        <w:rPr>
          <w:sz w:val="20"/>
          <w:szCs w:val="20"/>
          <w:color w:val="auto"/>
        </w:rPr>
      </w:pPr>
    </w:p>
    <w:p>
      <w:pPr>
        <w:jc w:val="both"/>
        <w:ind w:firstLine="265"/>
        <w:spacing w:after="0" w:line="236" w:lineRule="auto"/>
        <w:rPr>
          <w:sz w:val="20"/>
          <w:szCs w:val="20"/>
          <w:color w:val="auto"/>
        </w:rPr>
      </w:pPr>
      <w:r>
        <w:rPr>
          <w:rFonts w:ascii="Arial" w:cs="Arial" w:eastAsia="Arial" w:hAnsi="Arial"/>
          <w:sz w:val="15"/>
          <w:szCs w:val="15"/>
          <w:color w:val="auto"/>
        </w:rPr>
        <w:t>Income tax expense was $213 million and $133 million in the three-month periods ended September 30, 2021 and 2020, respectively, and $555 million and $194 million in the nine month periods ended September 30, 2021 and 2020, respectively. Income tax expense as a percentage of earnings before income taxes was 23% and 25% in the three-month periods ended September 30, 2021 and 2020, respectively, and 23% and 23% in the nine-month periods ended September 30, 2021 and 2020, respectively. The decrease in income tax expense as a percentage of earnings before taxes in the three-month period ended September 30, 2021 is primarily attributable to discrete unfavorable tax adjustments associated with our acquisition of F&amp;G in the prior year period.</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Earnings Per Share</w:t>
      </w:r>
    </w:p>
    <w:p>
      <w:pPr>
        <w:spacing w:after="0" w:line="92" w:lineRule="exact"/>
        <w:rPr>
          <w:sz w:val="20"/>
          <w:szCs w:val="20"/>
          <w:color w:val="auto"/>
        </w:rPr>
      </w:pPr>
    </w:p>
    <w:p>
      <w:pPr>
        <w:jc w:val="both"/>
        <w:ind w:firstLine="265"/>
        <w:spacing w:after="0" w:line="271" w:lineRule="auto"/>
        <w:rPr>
          <w:sz w:val="20"/>
          <w:szCs w:val="20"/>
          <w:color w:val="auto"/>
        </w:rPr>
      </w:pPr>
      <w:r>
        <w:rPr>
          <w:rFonts w:ascii="Arial" w:cs="Arial" w:eastAsia="Arial" w:hAnsi="Arial"/>
          <w:sz w:val="14"/>
          <w:szCs w:val="14"/>
          <w:color w:val="auto"/>
        </w:rPr>
        <w:t>Basic earnings per share, as presented on the Condensed Consolidated Statement of Earnings, is computed by dividing net earnings available to common shareholders in a given period by the weighted average number of common shares outstanding during such period. 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stock options, shares of restricted stock and certain other convertible share based payments, which have been treated as common share equivalents for purposes of calculating diluted earnings per share for periods in which positive earnings have been reported.</w:t>
      </w:r>
    </w:p>
    <w:p>
      <w:pPr>
        <w:spacing w:after="0" w:line="57" w:lineRule="exact"/>
        <w:rPr>
          <w:sz w:val="20"/>
          <w:szCs w:val="20"/>
          <w:color w:val="auto"/>
        </w:rPr>
      </w:pPr>
    </w:p>
    <w:p>
      <w:pPr>
        <w:jc w:val="both"/>
        <w:ind w:firstLine="265"/>
        <w:spacing w:after="0" w:line="266" w:lineRule="auto"/>
        <w:rPr>
          <w:sz w:val="20"/>
          <w:szCs w:val="20"/>
          <w:color w:val="auto"/>
        </w:rPr>
      </w:pPr>
      <w:r>
        <w:rPr>
          <w:rFonts w:ascii="Arial" w:cs="Arial" w:eastAsia="Arial" w:hAnsi="Arial"/>
          <w:sz w:val="15"/>
          <w:szCs w:val="15"/>
          <w:color w:val="auto"/>
        </w:rPr>
        <w:t>Options or other instruments, which provide the ability to purchase shares of our common stock that are antidilutive, are excluded from the computation of diluted earnings per share. There were fewer than 1 million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 w:name="page14"/>
    <w:bookmarkEnd w:id="13"/>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20"/>
        <w:spacing w:after="0" w:line="266" w:lineRule="auto"/>
        <w:rPr>
          <w:sz w:val="20"/>
          <w:szCs w:val="20"/>
          <w:color w:val="auto"/>
        </w:rPr>
      </w:pPr>
      <w:r>
        <w:rPr>
          <w:rFonts w:ascii="Arial" w:cs="Arial" w:eastAsia="Arial" w:hAnsi="Arial"/>
          <w:sz w:val="15"/>
          <w:szCs w:val="15"/>
          <w:color w:val="auto"/>
        </w:rPr>
        <w:t>antidilutive instruments outstanding during the three and nine-month periods ended September 30, 2021. There were 2 million and 1 million antidilutive securities outstanding during the three and nine-month periods ended September 30, 2020, respectively.</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Discontinued Operations</w:t>
      </w:r>
    </w:p>
    <w:p>
      <w:pPr>
        <w:spacing w:after="0" w:line="92" w:lineRule="exact"/>
        <w:rPr>
          <w:sz w:val="20"/>
          <w:szCs w:val="20"/>
          <w:color w:val="auto"/>
        </w:rPr>
      </w:pPr>
    </w:p>
    <w:p>
      <w:pPr>
        <w:jc w:val="both"/>
        <w:ind w:firstLine="265"/>
        <w:spacing w:after="0" w:line="237" w:lineRule="auto"/>
        <w:rPr>
          <w:sz w:val="20"/>
          <w:szCs w:val="20"/>
          <w:color w:val="auto"/>
        </w:rPr>
      </w:pPr>
      <w:r>
        <w:rPr>
          <w:rFonts w:ascii="Arial" w:cs="Arial" w:eastAsia="Arial" w:hAnsi="Arial"/>
          <w:sz w:val="15"/>
          <w:szCs w:val="15"/>
          <w:color w:val="auto"/>
        </w:rPr>
        <w:t>In connection with the F&amp;G acquisition, certain third party offshore reinsurance businesses acquired were deemed discontinued operations and are presented as such within our Condensed Consolidated Statements of Earnings for the three and nine-month periods ended September 30, 2021. We have sold Front Street Re Cayman Ltd (“FSRC”) to Archipelago, and the closing of the transaction was effective May 31, 2021. The transaction did not have a material impact to our financial results. As of September 30, 2021, we no longer have discontinued operations.</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Management Estimates</w:t>
      </w:r>
    </w:p>
    <w:p>
      <w:pPr>
        <w:spacing w:after="0" w:line="81" w:lineRule="exact"/>
        <w:rPr>
          <w:sz w:val="20"/>
          <w:szCs w:val="20"/>
          <w:color w:val="auto"/>
        </w:rPr>
      </w:pPr>
    </w:p>
    <w:p>
      <w:pPr>
        <w:jc w:val="both"/>
        <w:ind w:firstLine="265"/>
        <w:spacing w:after="0" w:line="255" w:lineRule="auto"/>
        <w:rPr>
          <w:sz w:val="20"/>
          <w:szCs w:val="20"/>
          <w:color w:val="auto"/>
        </w:rPr>
      </w:pPr>
      <w:r>
        <w:rPr>
          <w:rFonts w:ascii="Arial" w:cs="Arial" w:eastAsia="Arial" w:hAnsi="Arial"/>
          <w:sz w:val="15"/>
          <w:szCs w:val="15"/>
          <w:color w:val="auto"/>
        </w:rPr>
        <w:t>The preparation of these unaudited condensed consolidated financial statements in conformity with GAAP requires us to make estimates and assumptions that affect the reported amounts of assets and liabilities and disclosure of contingent assets and liabilities at the date of the unaudited condensed consolidated financial statements and the reported amounts of revenues and expenses during the reporting period. Actual results could differ from those estimates.</w:t>
      </w:r>
    </w:p>
    <w:p>
      <w:pPr>
        <w:spacing w:after="0" w:line="35" w:lineRule="exact"/>
        <w:rPr>
          <w:sz w:val="20"/>
          <w:szCs w:val="20"/>
          <w:color w:val="auto"/>
        </w:rPr>
      </w:pPr>
    </w:p>
    <w:p>
      <w:pPr>
        <w:jc w:val="both"/>
        <w:ind w:firstLine="265"/>
        <w:spacing w:after="0" w:line="255" w:lineRule="auto"/>
        <w:rPr>
          <w:sz w:val="20"/>
          <w:szCs w:val="20"/>
          <w:color w:val="auto"/>
        </w:rPr>
      </w:pPr>
      <w:r>
        <w:rPr>
          <w:rFonts w:ascii="Arial" w:cs="Arial" w:eastAsia="Arial" w:hAnsi="Arial"/>
          <w:sz w:val="13"/>
          <w:szCs w:val="13"/>
          <w:color w:val="auto"/>
        </w:rPr>
        <w:t>Periodically, and at least annually, typically in the third quarter, we review the assumptions associated with reserves for policy benefits, product guarantees, and amortization of intangibles. Additionally, during the three-months ended September 30, 2021, we implemented a new actuarial valuation system. As a result, our third quarter 2021 assumption updates include model refinements and assumption updates resulting from the implementation. The system implementation and assumption review process that occurred in the three-months ended September 30, 2021, included refinements in the calculation of the fair value of the embedded derivative component of our fixed index annuities within contractholder funds and updates to the surrender rates, guaranteed minimum withdrawal benefit (“GMWB”) utilization, IUL premium persistency, maintenance expenses, and earned rate assumptions to reflect our current and expected future experience. These changes, taken together, resulted in a decrease in contractholder funds and future policy reserves of $425 million and a decrease to intangible assets of $136 million. These model refinements and assumptions are also used in the SOP 03-1 liability for GMWB benefits and resulted in an increase in the liability of $28 million for the period ended September 30, 2021. There was no material change to underlying policyholder behavior during the three-months ended September 30, 2021. The majority of the changes represent one-time adjustments in the three-months ended September 30, 2021 related to the cumulative impact of the system implementation and are not expected to re-occur in the future.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Recent Accounting Pronouncements</w:t>
      </w:r>
    </w:p>
    <w:p>
      <w:pPr>
        <w:spacing w:after="0" w:line="92"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Adopted Pronouncements</w:t>
      </w:r>
    </w:p>
    <w:p>
      <w:pPr>
        <w:spacing w:after="0" w:line="92" w:lineRule="exact"/>
        <w:rPr>
          <w:sz w:val="20"/>
          <w:szCs w:val="20"/>
          <w:color w:val="auto"/>
        </w:rPr>
      </w:pPr>
    </w:p>
    <w:p>
      <w:pPr>
        <w:jc w:val="both"/>
        <w:ind w:firstLine="265"/>
        <w:spacing w:after="0" w:line="252" w:lineRule="auto"/>
        <w:rPr>
          <w:sz w:val="20"/>
          <w:szCs w:val="20"/>
          <w:color w:val="auto"/>
        </w:rPr>
      </w:pPr>
      <w:r>
        <w:rPr>
          <w:rFonts w:ascii="Arial" w:cs="Arial" w:eastAsia="Arial" w:hAnsi="Arial"/>
          <w:sz w:val="15"/>
          <w:szCs w:val="15"/>
          <w:color w:val="auto"/>
        </w:rPr>
        <w:t>In December 2019, the FASB issued ASU 2019-12 Income Taxes - Simplifying the Accounting for Income Taxes (Topic 740), which simplifies various aspects of the income tax accounting guidance and will be applied using different approaches depending on what the specific amendment relates to and, for public entities, are effective for fiscal years, and interim periods within those fiscal years, beginning after December 15, 2020. We adopted this standard as of January 1, 2021, and it had no impact on our unaudited Condensed Consolidated Financial Statements upon adoption.</w:t>
      </w:r>
    </w:p>
    <w:p>
      <w:pPr>
        <w:spacing w:after="0" w:line="70" w:lineRule="exact"/>
        <w:rPr>
          <w:sz w:val="20"/>
          <w:szCs w:val="20"/>
          <w:color w:val="auto"/>
        </w:rPr>
      </w:pPr>
    </w:p>
    <w:p>
      <w:pPr>
        <w:jc w:val="both"/>
        <w:ind w:firstLine="265"/>
        <w:spacing w:after="0" w:line="252" w:lineRule="auto"/>
        <w:rPr>
          <w:sz w:val="20"/>
          <w:szCs w:val="20"/>
          <w:color w:val="auto"/>
        </w:rPr>
      </w:pPr>
      <w:r>
        <w:rPr>
          <w:rFonts w:ascii="Arial" w:cs="Arial" w:eastAsia="Arial" w:hAnsi="Arial"/>
          <w:sz w:val="15"/>
          <w:szCs w:val="15"/>
          <w:color w:val="auto"/>
        </w:rPr>
        <w:t>In October 2020, the FASB issued ASU 2020-08, Codification Improvements to Subtopic 310-20, Receivables - Nonrefundable Fees and Other Costs. The amendments in this update clarify that callable debt securities should be re-evaluated each reporting period to determine if the amortized cost exceeds the amount repayable by the issuer at the next earliest call date, and, if so, the excess should be amortized to the next call date. We adopted this standard as of January 1, 2021 and are applying this guidance on a prospective basis. This pronouncement had no impact on our unaudited Condensed Consolidated Financial Statements upon adoption.</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Pronouncements Not Yet Adopted</w:t>
      </w:r>
    </w:p>
    <w:p>
      <w:pPr>
        <w:spacing w:after="0" w:line="92" w:lineRule="exact"/>
        <w:rPr>
          <w:sz w:val="20"/>
          <w:szCs w:val="20"/>
          <w:color w:val="auto"/>
        </w:rPr>
      </w:pPr>
    </w:p>
    <w:p>
      <w:pPr>
        <w:jc w:val="both"/>
        <w:ind w:firstLine="265"/>
        <w:spacing w:after="0" w:line="303" w:lineRule="auto"/>
        <w:rPr>
          <w:sz w:val="20"/>
          <w:szCs w:val="20"/>
          <w:color w:val="auto"/>
        </w:rPr>
      </w:pPr>
      <w:r>
        <w:rPr>
          <w:rFonts w:ascii="Arial" w:cs="Arial" w:eastAsia="Arial" w:hAnsi="Arial"/>
          <w:sz w:val="13"/>
          <w:szCs w:val="13"/>
          <w:color w:val="auto"/>
        </w:rPr>
        <w:t>In August 2018, the FASB issued ASU 2018-12, Financial Services-Insurance (Topic 944), Targeted Improvements to the Accounting for Long-Duration Contracts, effective for fiscal years beginning after December 15, 2022 including interim periods within those fiscal years. This update introduced the following requirements: assumptions used to measure cash flows for traditional and limited-payment contracts must be reviewed at least annually with the effect of changes in those assumptions being recognized in the statement of operations; the discount rate applied to measure the liability for future policy benefits and limited-payment contracts must be updated at each reporting date with the effect of changes in the rate being recognized in other</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 w:name="page15"/>
    <w:bookmarkEnd w:id="14"/>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98" w:lineRule="auto"/>
        <w:rPr>
          <w:sz w:val="20"/>
          <w:szCs w:val="20"/>
          <w:color w:val="auto"/>
        </w:rPr>
      </w:pPr>
      <w:r>
        <w:rPr>
          <w:rFonts w:ascii="Arial" w:cs="Arial" w:eastAsia="Arial" w:hAnsi="Arial"/>
          <w:sz w:val="13"/>
          <w:szCs w:val="13"/>
          <w:color w:val="auto"/>
        </w:rPr>
        <w:t>comprehensive income; market risk benefits associated with deposit contracts must be measured at fair value, with the effect of the change in the fair value attributable to a change in the instrument-specific credit risk being recognized in other comprehensive income; deferred acquisition costs are no longer required to be amortized in proportion to premiums, gross profits, or gross margins; instead, those balances must be amortized on a constant level basis over the expected term of the related contracts; deferred acquisition costs must be written off for unexpected contract terminations; and disaggregated rollforwards of beginning to ending balances of the liability for future policy benefits, policyholder account balances, market risk benefits, separate account liabilities and deferred acquisition costs, as well as information about significant inputs, judgments, assumptions, and methods used in measurement are required to be disclosed.</w:t>
      </w:r>
    </w:p>
    <w:p>
      <w:pPr>
        <w:spacing w:after="0" w:line="43" w:lineRule="exact"/>
        <w:rPr>
          <w:sz w:val="20"/>
          <w:szCs w:val="20"/>
          <w:color w:val="auto"/>
        </w:rPr>
      </w:pPr>
    </w:p>
    <w:p>
      <w:pPr>
        <w:jc w:val="both"/>
        <w:ind w:firstLine="265"/>
        <w:spacing w:after="0" w:line="282" w:lineRule="auto"/>
        <w:rPr>
          <w:sz w:val="20"/>
          <w:szCs w:val="20"/>
          <w:color w:val="auto"/>
        </w:rPr>
      </w:pPr>
      <w:r>
        <w:rPr>
          <w:rFonts w:ascii="Arial" w:cs="Arial" w:eastAsia="Arial" w:hAnsi="Arial"/>
          <w:sz w:val="14"/>
          <w:szCs w:val="14"/>
          <w:color w:val="auto"/>
        </w:rPr>
        <w:t>The amendments in this ASU may be early adopted as of the beginning of an annual reporting period for which financial statements have not yet been issued, including interim financial statements. We do not expect to early adopt this standard. We have identified specific areas that will be impacted by the new guidance and are in the process of assessing the accounting, reporting and/or process changes that will be required to comply as well as the impact of the new guidance on our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B — Summary of Reserve for Title Claim Losses</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 summary of the reserve for title claim losses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640" w:type="dxa"/>
            <w:vAlign w:val="bottom"/>
          </w:tcPr>
          <w:p>
            <w:pPr>
              <w:spacing w:after="0"/>
              <w:rPr>
                <w:sz w:val="13"/>
                <w:szCs w:val="13"/>
                <w:color w:val="auto"/>
              </w:rPr>
            </w:pPr>
          </w:p>
        </w:tc>
        <w:tc>
          <w:tcPr>
            <w:tcW w:w="300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2"/>
                <w:szCs w:val="12"/>
                <w:b w:val="1"/>
                <w:bCs w:val="1"/>
                <w:color w:val="auto"/>
              </w:rPr>
              <w:t>Nine months ended September 30,</w:t>
            </w:r>
          </w:p>
        </w:tc>
        <w:tc>
          <w:tcPr>
            <w:tcW w:w="640" w:type="dxa"/>
            <w:vAlign w:val="bottom"/>
            <w:tcBorders>
              <w:bottom w:val="single" w:sz="8" w:color="auto"/>
            </w:tcBorders>
          </w:tcPr>
          <w:p>
            <w:pPr>
              <w:spacing w:after="0"/>
              <w:rPr>
                <w:sz w:val="13"/>
                <w:szCs w:val="13"/>
                <w:color w:val="auto"/>
              </w:rPr>
            </w:pPr>
          </w:p>
        </w:tc>
      </w:tr>
      <w:tr>
        <w:trPr>
          <w:trHeight w:val="149"/>
        </w:trPr>
        <w:tc>
          <w:tcPr>
            <w:tcW w:w="7640" w:type="dxa"/>
            <w:vAlign w:val="bottom"/>
          </w:tcPr>
          <w:p>
            <w:pPr>
              <w:spacing w:after="0"/>
              <w:rPr>
                <w:sz w:val="12"/>
                <w:szCs w:val="12"/>
                <w:color w:val="auto"/>
              </w:rPr>
            </w:pP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2"/>
                <w:szCs w:val="12"/>
                <w:b w:val="1"/>
                <w:bCs w:val="1"/>
                <w:color w:val="auto"/>
              </w:rPr>
              <w:t>2021</w:t>
            </w: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2"/>
                <w:szCs w:val="12"/>
                <w:b w:val="1"/>
                <w:bCs w:val="1"/>
                <w:color w:val="auto"/>
              </w:rPr>
              <w:t>2020</w:t>
            </w:r>
          </w:p>
        </w:tc>
        <w:tc>
          <w:tcPr>
            <w:tcW w:w="640" w:type="dxa"/>
            <w:vAlign w:val="bottom"/>
            <w:tcBorders>
              <w:bottom w:val="single" w:sz="8" w:color="auto"/>
            </w:tcBorders>
          </w:tcPr>
          <w:p>
            <w:pPr>
              <w:spacing w:after="0"/>
              <w:rPr>
                <w:sz w:val="12"/>
                <w:szCs w:val="12"/>
                <w:color w:val="auto"/>
              </w:rPr>
            </w:pPr>
          </w:p>
        </w:tc>
      </w:tr>
      <w:tr>
        <w:trPr>
          <w:trHeight w:val="146"/>
        </w:trPr>
        <w:tc>
          <w:tcPr>
            <w:tcW w:w="7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80" w:type="dxa"/>
            <w:vAlign w:val="bottom"/>
            <w:gridSpan w:val="3"/>
          </w:tcPr>
          <w:p>
            <w:pPr>
              <w:jc w:val="right"/>
              <w:ind w:right="611"/>
              <w:spacing w:after="0"/>
              <w:rPr>
                <w:sz w:val="20"/>
                <w:szCs w:val="20"/>
                <w:color w:val="auto"/>
              </w:rPr>
            </w:pPr>
            <w:r>
              <w:rPr>
                <w:rFonts w:ascii="Arial" w:cs="Arial" w:eastAsia="Arial" w:hAnsi="Arial"/>
                <w:sz w:val="12"/>
                <w:szCs w:val="12"/>
                <w:b w:val="1"/>
                <w:bCs w:val="1"/>
                <w:color w:val="auto"/>
              </w:rPr>
              <w:t>(Dollars in millions)</w:t>
            </w:r>
          </w:p>
        </w:tc>
        <w:tc>
          <w:tcPr>
            <w:tcW w:w="640" w:type="dxa"/>
            <w:vAlign w:val="bottom"/>
          </w:tcPr>
          <w:p>
            <w:pPr>
              <w:spacing w:after="0"/>
              <w:rPr>
                <w:sz w:val="12"/>
                <w:szCs w:val="12"/>
                <w:color w:val="auto"/>
              </w:rPr>
            </w:pPr>
          </w:p>
        </w:tc>
      </w:tr>
      <w:tr>
        <w:trPr>
          <w:trHeight w:val="190"/>
        </w:trPr>
        <w:tc>
          <w:tcPr>
            <w:tcW w:w="7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Beginning balance</w:t>
            </w:r>
          </w:p>
        </w:tc>
        <w:tc>
          <w:tcPr>
            <w:tcW w:w="1120" w:type="dxa"/>
            <w:vAlign w:val="bottom"/>
            <w:shd w:val="clear" w:color="auto" w:fill="CCEEFF"/>
          </w:tcPr>
          <w:p>
            <w:pPr>
              <w:jc w:val="right"/>
              <w:ind w:right="97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5"/>
                <w:szCs w:val="15"/>
                <w:color w:val="auto"/>
              </w:rPr>
              <w:t>1,623</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71"/>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1,509</w:t>
            </w:r>
          </w:p>
        </w:tc>
      </w:tr>
      <w:tr>
        <w:trPr>
          <w:trHeight w:val="188"/>
        </w:trPr>
        <w:tc>
          <w:tcPr>
            <w:tcW w:w="7640" w:type="dxa"/>
            <w:vAlign w:val="bottom"/>
          </w:tcPr>
          <w:p>
            <w:pPr>
              <w:ind w:left="20"/>
              <w:spacing w:after="0"/>
              <w:rPr>
                <w:sz w:val="20"/>
                <w:szCs w:val="20"/>
                <w:color w:val="auto"/>
              </w:rPr>
            </w:pPr>
            <w:r>
              <w:rPr>
                <w:rFonts w:ascii="Arial" w:cs="Arial" w:eastAsia="Arial" w:hAnsi="Arial"/>
                <w:sz w:val="15"/>
                <w:szCs w:val="15"/>
                <w:color w:val="auto"/>
              </w:rPr>
              <w:t>Change in insurance recoverable</w:t>
            </w:r>
          </w:p>
        </w:tc>
        <w:tc>
          <w:tcPr>
            <w:tcW w:w="112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jc w:val="right"/>
              <w:ind w:right="66"/>
              <w:spacing w:after="0"/>
              <w:rPr>
                <w:sz w:val="20"/>
                <w:szCs w:val="20"/>
                <w:color w:val="auto"/>
              </w:rPr>
            </w:pPr>
            <w:r>
              <w:rPr>
                <w:rFonts w:ascii="Arial" w:cs="Arial" w:eastAsia="Arial" w:hAnsi="Arial"/>
                <w:sz w:val="15"/>
                <w:szCs w:val="15"/>
                <w:color w:val="auto"/>
              </w:rPr>
              <w:t>(1)</w:t>
            </w:r>
          </w:p>
        </w:tc>
      </w:tr>
      <w:tr>
        <w:trPr>
          <w:trHeight w:val="188"/>
        </w:trPr>
        <w:tc>
          <w:tcPr>
            <w:tcW w:w="7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Claim loss provision related to:</w:t>
            </w:r>
          </w:p>
        </w:tc>
        <w:tc>
          <w:tcPr>
            <w:tcW w:w="1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88"/>
        </w:trPr>
        <w:tc>
          <w:tcPr>
            <w:tcW w:w="7640" w:type="dxa"/>
            <w:vAlign w:val="bottom"/>
          </w:tcPr>
          <w:p>
            <w:pPr>
              <w:ind w:left="180"/>
              <w:spacing w:after="0"/>
              <w:rPr>
                <w:sz w:val="20"/>
                <w:szCs w:val="20"/>
                <w:color w:val="auto"/>
              </w:rPr>
            </w:pPr>
            <w:r>
              <w:rPr>
                <w:rFonts w:ascii="Arial" w:cs="Arial" w:eastAsia="Arial" w:hAnsi="Arial"/>
                <w:sz w:val="15"/>
                <w:szCs w:val="15"/>
                <w:color w:val="auto"/>
              </w:rPr>
              <w:t>Current year</w:t>
            </w:r>
          </w:p>
        </w:tc>
        <w:tc>
          <w:tcPr>
            <w:tcW w:w="112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5"/>
                <w:szCs w:val="15"/>
                <w:color w:val="auto"/>
              </w:rPr>
              <w:t>278</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jc w:val="right"/>
              <w:ind w:right="106"/>
              <w:spacing w:after="0"/>
              <w:rPr>
                <w:sz w:val="20"/>
                <w:szCs w:val="20"/>
                <w:color w:val="auto"/>
              </w:rPr>
            </w:pPr>
            <w:r>
              <w:rPr>
                <w:rFonts w:ascii="Arial" w:cs="Arial" w:eastAsia="Arial" w:hAnsi="Arial"/>
                <w:sz w:val="15"/>
                <w:szCs w:val="15"/>
                <w:color w:val="auto"/>
              </w:rPr>
              <w:t>196</w:t>
            </w:r>
          </w:p>
        </w:tc>
      </w:tr>
      <w:tr>
        <w:trPr>
          <w:trHeight w:val="188"/>
        </w:trPr>
        <w:tc>
          <w:tcPr>
            <w:tcW w:w="7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Prior years</w:t>
            </w:r>
          </w:p>
        </w:tc>
        <w:tc>
          <w:tcPr>
            <w:tcW w:w="1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w:t>
            </w:r>
          </w:p>
        </w:tc>
      </w:tr>
      <w:tr>
        <w:trPr>
          <w:trHeight w:val="179"/>
        </w:trPr>
        <w:tc>
          <w:tcPr>
            <w:tcW w:w="7640" w:type="dxa"/>
            <w:vAlign w:val="bottom"/>
          </w:tcPr>
          <w:p>
            <w:pPr>
              <w:ind w:left="380"/>
              <w:spacing w:after="0"/>
              <w:rPr>
                <w:sz w:val="20"/>
                <w:szCs w:val="20"/>
                <w:color w:val="auto"/>
              </w:rPr>
            </w:pPr>
            <w:r>
              <w:rPr>
                <w:rFonts w:ascii="Arial" w:cs="Arial" w:eastAsia="Arial" w:hAnsi="Arial"/>
                <w:sz w:val="15"/>
                <w:szCs w:val="15"/>
                <w:color w:val="auto"/>
              </w:rPr>
              <w:t>Total title claim loss provision</w:t>
            </w:r>
          </w:p>
        </w:tc>
        <w:tc>
          <w:tcPr>
            <w:tcW w:w="1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08"/>
              <w:spacing w:after="0"/>
              <w:rPr>
                <w:sz w:val="20"/>
                <w:szCs w:val="20"/>
                <w:color w:val="auto"/>
              </w:rPr>
            </w:pPr>
            <w:r>
              <w:rPr>
                <w:rFonts w:ascii="Arial" w:cs="Arial" w:eastAsia="Arial" w:hAnsi="Arial"/>
                <w:sz w:val="15"/>
                <w:szCs w:val="15"/>
                <w:color w:val="auto"/>
              </w:rPr>
              <w:t>278</w:t>
            </w: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06"/>
              <w:spacing w:after="0"/>
              <w:rPr>
                <w:sz w:val="20"/>
                <w:szCs w:val="20"/>
                <w:color w:val="auto"/>
              </w:rPr>
            </w:pPr>
            <w:r>
              <w:rPr>
                <w:rFonts w:ascii="Arial" w:cs="Arial" w:eastAsia="Arial" w:hAnsi="Arial"/>
                <w:sz w:val="15"/>
                <w:szCs w:val="15"/>
                <w:color w:val="auto"/>
              </w:rPr>
              <w:t>196</w:t>
            </w:r>
          </w:p>
        </w:tc>
      </w:tr>
      <w:tr>
        <w:trPr>
          <w:trHeight w:val="188"/>
        </w:trPr>
        <w:tc>
          <w:tcPr>
            <w:tcW w:w="7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Claims paid, net of recoupments related to:</w:t>
            </w:r>
          </w:p>
        </w:tc>
        <w:tc>
          <w:tcPr>
            <w:tcW w:w="1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88"/>
        </w:trPr>
        <w:tc>
          <w:tcPr>
            <w:tcW w:w="7640" w:type="dxa"/>
            <w:vAlign w:val="bottom"/>
          </w:tcPr>
          <w:p>
            <w:pPr>
              <w:ind w:left="180"/>
              <w:spacing w:after="0"/>
              <w:rPr>
                <w:sz w:val="20"/>
                <w:szCs w:val="20"/>
                <w:color w:val="auto"/>
              </w:rPr>
            </w:pPr>
            <w:r>
              <w:rPr>
                <w:rFonts w:ascii="Arial" w:cs="Arial" w:eastAsia="Arial" w:hAnsi="Arial"/>
                <w:sz w:val="15"/>
                <w:szCs w:val="15"/>
                <w:color w:val="auto"/>
              </w:rPr>
              <w:t>Current year</w:t>
            </w:r>
          </w:p>
        </w:tc>
        <w:tc>
          <w:tcPr>
            <w:tcW w:w="112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jc w:val="right"/>
              <w:ind w:right="66"/>
              <w:spacing w:after="0"/>
              <w:rPr>
                <w:sz w:val="20"/>
                <w:szCs w:val="20"/>
                <w:color w:val="auto"/>
              </w:rPr>
            </w:pPr>
            <w:r>
              <w:rPr>
                <w:rFonts w:ascii="Arial" w:cs="Arial" w:eastAsia="Arial" w:hAnsi="Arial"/>
                <w:sz w:val="15"/>
                <w:szCs w:val="15"/>
                <w:color w:val="auto"/>
              </w:rPr>
              <w:t>(4)</w:t>
            </w:r>
          </w:p>
        </w:tc>
      </w:tr>
      <w:tr>
        <w:trPr>
          <w:trHeight w:val="188"/>
        </w:trPr>
        <w:tc>
          <w:tcPr>
            <w:tcW w:w="7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Prior years</w:t>
            </w:r>
          </w:p>
        </w:tc>
        <w:tc>
          <w:tcPr>
            <w:tcW w:w="1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5"/>
                <w:szCs w:val="15"/>
                <w:color w:val="auto"/>
              </w:rPr>
              <w:t>(151)</w:t>
            </w:r>
          </w:p>
        </w:tc>
        <w:tc>
          <w:tcPr>
            <w:tcW w:w="12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rPr>
              <w:t>(145)</w:t>
            </w:r>
          </w:p>
        </w:tc>
      </w:tr>
      <w:tr>
        <w:trPr>
          <w:trHeight w:val="179"/>
        </w:trPr>
        <w:tc>
          <w:tcPr>
            <w:tcW w:w="7640" w:type="dxa"/>
            <w:vAlign w:val="bottom"/>
            <w:tcBorders>
              <w:bottom w:val="single" w:sz="8" w:color="CCEEFF"/>
            </w:tcBorders>
          </w:tcPr>
          <w:p>
            <w:pPr>
              <w:ind w:left="380"/>
              <w:spacing w:after="0"/>
              <w:rPr>
                <w:sz w:val="20"/>
                <w:szCs w:val="20"/>
                <w:color w:val="auto"/>
              </w:rPr>
            </w:pPr>
            <w:r>
              <w:rPr>
                <w:rFonts w:ascii="Arial" w:cs="Arial" w:eastAsia="Arial" w:hAnsi="Arial"/>
                <w:sz w:val="15"/>
                <w:szCs w:val="15"/>
                <w:color w:val="auto"/>
              </w:rPr>
              <w:t>Total title claims paid, net of recoupments</w:t>
            </w:r>
          </w:p>
        </w:tc>
        <w:tc>
          <w:tcPr>
            <w:tcW w:w="1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(157)</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(149)</w:t>
            </w:r>
          </w:p>
        </w:tc>
      </w:tr>
      <w:tr>
        <w:trPr>
          <w:trHeight w:val="204"/>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Ending balance of claim loss reserve for title insurance</w:t>
            </w:r>
          </w:p>
        </w:tc>
        <w:tc>
          <w:tcPr>
            <w:tcW w:w="1120" w:type="dxa"/>
            <w:vAlign w:val="bottom"/>
            <w:tcBorders>
              <w:bottom w:val="single" w:sz="8" w:color="auto"/>
            </w:tcBorders>
            <w:shd w:val="clear" w:color="auto" w:fill="CCEEFF"/>
          </w:tcPr>
          <w:p>
            <w:pPr>
              <w:jc w:val="right"/>
              <w:ind w:right="97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5"/>
                <w:szCs w:val="15"/>
                <w:color w:val="auto"/>
              </w:rPr>
              <w:t>1,734</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971"/>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1,555</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52"/>
        </w:trPr>
        <w:tc>
          <w:tcPr>
            <w:tcW w:w="7640" w:type="dxa"/>
            <w:vAlign w:val="bottom"/>
          </w:tcPr>
          <w:p>
            <w:pPr>
              <w:ind w:left="20"/>
              <w:spacing w:after="0" w:line="152" w:lineRule="exact"/>
              <w:rPr>
                <w:sz w:val="20"/>
                <w:szCs w:val="20"/>
                <w:color w:val="auto"/>
              </w:rPr>
            </w:pPr>
            <w:r>
              <w:rPr>
                <w:rFonts w:ascii="Arial" w:cs="Arial" w:eastAsia="Arial" w:hAnsi="Arial"/>
                <w:sz w:val="15"/>
                <w:szCs w:val="15"/>
                <w:color w:val="auto"/>
              </w:rPr>
              <w:t>Provision for title insurance claim losses as a percentage of title insurance premiums</w:t>
            </w:r>
          </w:p>
        </w:tc>
        <w:tc>
          <w:tcPr>
            <w:tcW w:w="1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5"/>
                <w:szCs w:val="15"/>
                <w:color w:val="auto"/>
              </w:rPr>
              <w:t>4.5 %</w:t>
            </w:r>
          </w:p>
        </w:tc>
        <w:tc>
          <w:tcPr>
            <w:tcW w:w="1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5"/>
                <w:szCs w:val="15"/>
                <w:color w:val="auto"/>
              </w:rPr>
              <w:t>4.5 %</w:t>
            </w:r>
          </w:p>
        </w:tc>
      </w:tr>
      <w:tr>
        <w:trPr>
          <w:trHeight w:val="20"/>
        </w:trPr>
        <w:tc>
          <w:tcPr>
            <w:tcW w:w="7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43"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Several lawsuits have been filed by various parties against Chicago Title Company and Chicago Title Insurance Company as its alter ego (collectively, the “Named Companies”), among others. Generally, plaintiffs claim they are investors who were solicited by Gina Champion-Cain to provide funds that purportedly were to be used for high-interest, short-term loans to parties seeking to acquire California alcoholic beverage licenses. Plaintiffs contend that under California state law, alcoholic beverage license applicants are required to escrow an amount equal to the license purchase price while their applications remain pending with the State. Plaintiffs further alleged that employees of Chicago Title Company participated with Ms. Champion-Cain and her entities in a fraud scheme involving an escrow account maintained by Chicago Title Company into which the plaintiffs’ funds were deposited.</w:t>
      </w:r>
    </w:p>
    <w:p>
      <w:pPr>
        <w:spacing w:after="0" w:line="152" w:lineRule="exact"/>
        <w:rPr>
          <w:sz w:val="20"/>
          <w:szCs w:val="20"/>
          <w:color w:val="auto"/>
        </w:rPr>
      </w:pPr>
    </w:p>
    <w:p>
      <w:pPr>
        <w:ind w:right="80" w:firstLine="265"/>
        <w:spacing w:after="0" w:line="237" w:lineRule="auto"/>
        <w:rPr>
          <w:sz w:val="20"/>
          <w:szCs w:val="20"/>
          <w:color w:val="auto"/>
        </w:rPr>
      </w:pPr>
      <w:r>
        <w:rPr>
          <w:rFonts w:ascii="Arial" w:cs="Arial" w:eastAsia="Arial" w:hAnsi="Arial"/>
          <w:sz w:val="15"/>
          <w:szCs w:val="15"/>
          <w:color w:val="auto"/>
        </w:rPr>
        <w:t>The following lawsuits are pending in the Superior Court of San Diego County for the State of California. While they have not been consolidated into one action, they have been deemed by the court to be related and are assigned to the same judge for purposes of judicial economy.</w:t>
      </w:r>
    </w:p>
    <w:p>
      <w:pPr>
        <w:spacing w:after="0" w:line="167" w:lineRule="exact"/>
        <w:rPr>
          <w:sz w:val="20"/>
          <w:szCs w:val="20"/>
          <w:color w:val="auto"/>
        </w:rPr>
      </w:pPr>
    </w:p>
    <w:p>
      <w:pPr>
        <w:jc w:val="both"/>
        <w:ind w:left="280" w:firstLine="265"/>
        <w:spacing w:after="0" w:line="226" w:lineRule="auto"/>
        <w:rPr>
          <w:sz w:val="20"/>
          <w:szCs w:val="20"/>
          <w:color w:val="auto"/>
        </w:rPr>
      </w:pPr>
      <w:r>
        <w:rPr>
          <w:rFonts w:ascii="Arial" w:cs="Arial" w:eastAsia="Arial" w:hAnsi="Arial"/>
          <w:sz w:val="15"/>
          <w:szCs w:val="15"/>
          <w:color w:val="auto"/>
        </w:rPr>
        <w:t xml:space="preserve">On December 13, 2019, a lawsuit styled, </w:t>
      </w:r>
      <w:r>
        <w:rPr>
          <w:rFonts w:ascii="Arial" w:cs="Arial" w:eastAsia="Arial" w:hAnsi="Arial"/>
          <w:sz w:val="15"/>
          <w:szCs w:val="15"/>
          <w:i w:val="1"/>
          <w:iCs w:val="1"/>
          <w:color w:val="auto"/>
        </w:rPr>
        <w:t>Kim Funding, LLC, Kim H. Peterson, Joseph J. Cohen, and ABC Funding Strategies, LLC v. Chicago Title Co., Chicago Title Ins. Co.,</w:t>
      </w:r>
      <w:r>
        <w:rPr>
          <w:rFonts w:ascii="Arial" w:cs="Arial" w:eastAsia="Arial" w:hAnsi="Arial"/>
          <w:sz w:val="15"/>
          <w:szCs w:val="15"/>
          <w:color w:val="auto"/>
        </w:rPr>
        <w:t xml:space="preserve"> </w:t>
      </w:r>
      <w:r>
        <w:rPr>
          <w:rFonts w:ascii="Arial" w:cs="Arial" w:eastAsia="Arial" w:hAnsi="Arial"/>
          <w:sz w:val="15"/>
          <w:szCs w:val="15"/>
          <w:i w:val="1"/>
          <w:iCs w:val="1"/>
          <w:color w:val="auto"/>
        </w:rPr>
        <w:t>Thomas Schwiebert, Adelle Ducharme, and Betty Elixman</w:t>
      </w:r>
      <w:r>
        <w:rPr>
          <w:rFonts w:ascii="Arial" w:cs="Arial" w:eastAsia="Arial" w:hAnsi="Arial"/>
          <w:sz w:val="15"/>
          <w:szCs w:val="15"/>
          <w:color w:val="auto"/>
        </w:rPr>
        <w:t>, was filed in San Diego County Superior Court. Plaintiffs claim losses of more than $250 million as a result of the alleged fraud</w:t>
      </w:r>
      <w:r>
        <w:rPr>
          <w:rFonts w:ascii="Arial" w:cs="Arial" w:eastAsia="Arial" w:hAnsi="Arial"/>
          <w:sz w:val="15"/>
          <w:szCs w:val="15"/>
          <w:i w:val="1"/>
          <w:iCs w:val="1"/>
          <w:color w:val="auto"/>
        </w:rPr>
        <w:t xml:space="preserve"> </w:t>
      </w:r>
      <w:r>
        <w:rPr>
          <w:rFonts w:ascii="Arial" w:cs="Arial" w:eastAsia="Arial" w:hAnsi="Arial"/>
          <w:sz w:val="15"/>
          <w:szCs w:val="15"/>
          <w:color w:val="auto"/>
        </w:rPr>
        <w:t>scheme, and also seek statutory, treble, and punitive damages. The Named Companies have filed a cross-complaint against Ms. Champion-Cain, among others. A demurrer to the Named Companies’ cross-complaint has been filed and is set for hearing on November 19, 2021.</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 w:name="page16"/>
    <w:bookmarkEnd w:id="15"/>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jc w:val="both"/>
        <w:ind w:left="280" w:firstLine="265"/>
        <w:spacing w:after="0" w:line="246" w:lineRule="auto"/>
        <w:rPr>
          <w:sz w:val="20"/>
          <w:szCs w:val="20"/>
          <w:color w:val="auto"/>
        </w:rPr>
      </w:pPr>
      <w:r>
        <w:rPr>
          <w:rFonts w:ascii="Arial" w:cs="Arial" w:eastAsia="Arial" w:hAnsi="Arial"/>
          <w:sz w:val="15"/>
          <w:szCs w:val="15"/>
          <w:color w:val="auto"/>
        </w:rPr>
        <w:t xml:space="preserve">On March 6, 2020, a lawsuit styled, </w:t>
      </w:r>
      <w:r>
        <w:rPr>
          <w:rFonts w:ascii="Arial" w:cs="Arial" w:eastAsia="Arial" w:hAnsi="Arial"/>
          <w:sz w:val="15"/>
          <w:szCs w:val="15"/>
          <w:i w:val="1"/>
          <w:iCs w:val="1"/>
          <w:color w:val="auto"/>
        </w:rPr>
        <w:t>Wakefield Capital, LLC, Wakefield Investments, LLC, 2Budz Holding, LLC, Doug and Kristine Heidrich, and Jeff and Heidi Orr v. Chicago Title</w:t>
      </w:r>
      <w:r>
        <w:rPr>
          <w:rFonts w:ascii="Arial" w:cs="Arial" w:eastAsia="Arial" w:hAnsi="Arial"/>
          <w:sz w:val="15"/>
          <w:szCs w:val="15"/>
          <w:color w:val="auto"/>
        </w:rPr>
        <w:t xml:space="preserve"> </w:t>
      </w:r>
      <w:r>
        <w:rPr>
          <w:rFonts w:ascii="Arial" w:cs="Arial" w:eastAsia="Arial" w:hAnsi="Arial"/>
          <w:sz w:val="15"/>
          <w:szCs w:val="15"/>
          <w:i w:val="1"/>
          <w:iCs w:val="1"/>
          <w:color w:val="auto"/>
        </w:rPr>
        <w:t>Co. and Chicago Title Ins. Co.</w:t>
      </w:r>
      <w:r>
        <w:rPr>
          <w:rFonts w:ascii="Arial" w:cs="Arial" w:eastAsia="Arial" w:hAnsi="Arial"/>
          <w:sz w:val="15"/>
          <w:szCs w:val="15"/>
          <w:color w:val="auto"/>
        </w:rPr>
        <w:t>, was filed in San Diego County Superior Court. Plaintiffs claim losses in excess of $7 million as a result of the alleged fraud scheme, and also seek punitive</w:t>
      </w:r>
      <w:r>
        <w:rPr>
          <w:rFonts w:ascii="Arial" w:cs="Arial" w:eastAsia="Arial" w:hAnsi="Arial"/>
          <w:sz w:val="15"/>
          <w:szCs w:val="15"/>
          <w:i w:val="1"/>
          <w:iCs w:val="1"/>
          <w:color w:val="auto"/>
        </w:rPr>
        <w:t xml:space="preserve"> </w:t>
      </w:r>
      <w:r>
        <w:rPr>
          <w:rFonts w:ascii="Arial" w:cs="Arial" w:eastAsia="Arial" w:hAnsi="Arial"/>
          <w:sz w:val="15"/>
          <w:szCs w:val="15"/>
          <w:color w:val="auto"/>
        </w:rPr>
        <w:t>damages, recovery of attorneys’ fees, and disgorgement.</w:t>
      </w:r>
    </w:p>
    <w:p>
      <w:pPr>
        <w:jc w:val="both"/>
        <w:ind w:left="280" w:firstLine="265"/>
        <w:spacing w:after="0" w:line="230" w:lineRule="auto"/>
        <w:rPr>
          <w:sz w:val="20"/>
          <w:szCs w:val="20"/>
          <w:color w:val="auto"/>
        </w:rPr>
      </w:pPr>
      <w:r>
        <w:rPr>
          <w:rFonts w:ascii="Arial" w:cs="Arial" w:eastAsia="Arial" w:hAnsi="Arial"/>
          <w:sz w:val="14"/>
          <w:szCs w:val="14"/>
          <w:color w:val="auto"/>
        </w:rPr>
        <w:t xml:space="preserve">On June 29, 2020, a lawsuit styled, </w:t>
      </w:r>
      <w:r>
        <w:rPr>
          <w:rFonts w:ascii="Arial" w:cs="Arial" w:eastAsia="Arial" w:hAnsi="Arial"/>
          <w:sz w:val="14"/>
          <w:szCs w:val="14"/>
          <w:i w:val="1"/>
          <w:iCs w:val="1"/>
          <w:color w:val="auto"/>
        </w:rPr>
        <w:t>Susan Heller Fenley Separate Property Trust, DTD 03/04/2010, Susan Heller Fenley Inherited Roth IRA, Shelley Lynn Tarditi Trust and ROJ,</w:t>
      </w:r>
      <w:r>
        <w:rPr>
          <w:rFonts w:ascii="Arial" w:cs="Arial" w:eastAsia="Arial" w:hAnsi="Arial"/>
          <w:sz w:val="14"/>
          <w:szCs w:val="14"/>
          <w:color w:val="auto"/>
        </w:rPr>
        <w:t xml:space="preserve"> </w:t>
      </w:r>
      <w:r>
        <w:rPr>
          <w:rFonts w:ascii="Arial" w:cs="Arial" w:eastAsia="Arial" w:hAnsi="Arial"/>
          <w:sz w:val="14"/>
          <w:szCs w:val="14"/>
          <w:i w:val="1"/>
          <w:iCs w:val="1"/>
          <w:color w:val="auto"/>
        </w:rPr>
        <w:t>LLC v. Chicago Title Co., Chicago Title Ins. Co., Thomas Schwiebert, Adelle Ducharme, and Betty Elixman</w:t>
      </w:r>
      <w:r>
        <w:rPr>
          <w:rFonts w:ascii="Arial" w:cs="Arial" w:eastAsia="Arial" w:hAnsi="Arial"/>
          <w:sz w:val="14"/>
          <w:szCs w:val="14"/>
          <w:color w:val="auto"/>
        </w:rPr>
        <w:t>, was filed in San Diego County Superior Court. Plaintiffs claim losses in</w:t>
      </w:r>
      <w:r>
        <w:rPr>
          <w:rFonts w:ascii="Arial" w:cs="Arial" w:eastAsia="Arial" w:hAnsi="Arial"/>
          <w:sz w:val="14"/>
          <w:szCs w:val="14"/>
          <w:i w:val="1"/>
          <w:iCs w:val="1"/>
          <w:color w:val="auto"/>
        </w:rPr>
        <w:t xml:space="preserve"> </w:t>
      </w:r>
      <w:r>
        <w:rPr>
          <w:rFonts w:ascii="Arial" w:cs="Arial" w:eastAsia="Arial" w:hAnsi="Arial"/>
          <w:sz w:val="14"/>
          <w:szCs w:val="14"/>
          <w:color w:val="auto"/>
        </w:rPr>
        <w:t>excess of $6 million as a result of the alleged fraud scheme, and also seek statutory, treble, and punitive damages. The Named Companies have filed a cross-complaint against Ms. Champion-Cain, among others. A demurrer to the Named Companies’ cross-complaint has been filed and is set for hearing on November 19, 2021.</w:t>
      </w:r>
    </w:p>
    <w:p>
      <w:pPr>
        <w:spacing w:after="0" w:line="1" w:lineRule="exact"/>
        <w:rPr>
          <w:sz w:val="20"/>
          <w:szCs w:val="20"/>
          <w:color w:val="auto"/>
        </w:rPr>
      </w:pPr>
    </w:p>
    <w:p>
      <w:pPr>
        <w:jc w:val="both"/>
        <w:ind w:left="280" w:firstLine="265"/>
        <w:spacing w:after="0" w:line="215" w:lineRule="auto"/>
        <w:rPr>
          <w:sz w:val="20"/>
          <w:szCs w:val="20"/>
          <w:color w:val="auto"/>
        </w:rPr>
      </w:pPr>
      <w:r>
        <w:rPr>
          <w:rFonts w:ascii="Arial" w:cs="Arial" w:eastAsia="Arial" w:hAnsi="Arial"/>
          <w:sz w:val="15"/>
          <w:szCs w:val="15"/>
          <w:color w:val="auto"/>
        </w:rPr>
        <w:t xml:space="preserve">On June 29, 2020, a lawsuit styled, </w:t>
      </w:r>
      <w:r>
        <w:rPr>
          <w:rFonts w:ascii="Arial" w:cs="Arial" w:eastAsia="Arial" w:hAnsi="Arial"/>
          <w:sz w:val="15"/>
          <w:szCs w:val="15"/>
          <w:i w:val="1"/>
          <w:iCs w:val="1"/>
          <w:color w:val="auto"/>
        </w:rPr>
        <w:t>Yuan Yu and Polly Yu v. Chicago Title Co., Chicago Title Ins. Co., Thomas Schwiebert, Adelle Ducharme, and Betty Elixman</w:t>
      </w:r>
      <w:r>
        <w:rPr>
          <w:rFonts w:ascii="Arial" w:cs="Arial" w:eastAsia="Arial" w:hAnsi="Arial"/>
          <w:sz w:val="15"/>
          <w:szCs w:val="15"/>
          <w:color w:val="auto"/>
        </w:rPr>
        <w:t>, was filed in San Diego County Superior Court. Plaintiffs claim losses in excess of $1 million as a result of the alleged fraud scheme, and also seek statutory, treble, and punitive damages. The Named Companies have filed a cross-complaint against Ms. Champion-Cain, among others. A demurrer to the Named Companies’ cross-complaint has been filed and is set for hearing on November 19, 2021.</w:t>
      </w:r>
    </w:p>
    <w:p>
      <w:pPr>
        <w:jc w:val="both"/>
        <w:ind w:left="280" w:firstLine="265"/>
        <w:spacing w:after="0" w:line="215" w:lineRule="auto"/>
        <w:rPr>
          <w:sz w:val="20"/>
          <w:szCs w:val="20"/>
          <w:color w:val="auto"/>
        </w:rPr>
      </w:pPr>
      <w:r>
        <w:rPr>
          <w:rFonts w:ascii="Arial" w:cs="Arial" w:eastAsia="Arial" w:hAnsi="Arial"/>
          <w:sz w:val="15"/>
          <w:szCs w:val="15"/>
          <w:color w:val="auto"/>
        </w:rPr>
        <w:t xml:space="preserve">On July 7, 2020, a cross-claim styled, </w:t>
      </w:r>
      <w:r>
        <w:rPr>
          <w:rFonts w:ascii="Arial" w:cs="Arial" w:eastAsia="Arial" w:hAnsi="Arial"/>
          <w:sz w:val="15"/>
          <w:szCs w:val="15"/>
          <w:i w:val="1"/>
          <w:iCs w:val="1"/>
          <w:color w:val="auto"/>
        </w:rPr>
        <w:t>Laurie Peterson v. Chicago Title Co., Chicago Title Ins. Co., Thomas Schwiebert, Adelle Ducharme, and Betty Elixman</w:t>
      </w:r>
      <w:r>
        <w:rPr>
          <w:rFonts w:ascii="Arial" w:cs="Arial" w:eastAsia="Arial" w:hAnsi="Arial"/>
          <w:sz w:val="15"/>
          <w:szCs w:val="15"/>
          <w:color w:val="auto"/>
        </w:rPr>
        <w:t xml:space="preserve">, was filed in an existing lawsuit styled, </w:t>
      </w:r>
      <w:r>
        <w:rPr>
          <w:rFonts w:ascii="Arial" w:cs="Arial" w:eastAsia="Arial" w:hAnsi="Arial"/>
          <w:sz w:val="15"/>
          <w:szCs w:val="15"/>
          <w:i w:val="1"/>
          <w:iCs w:val="1"/>
          <w:color w:val="auto"/>
        </w:rPr>
        <w:t>Banc of California, National Association v. Laurie Peterson</w:t>
      </w:r>
      <w:r>
        <w:rPr>
          <w:rFonts w:ascii="Arial" w:cs="Arial" w:eastAsia="Arial" w:hAnsi="Arial"/>
          <w:sz w:val="15"/>
          <w:szCs w:val="15"/>
          <w:color w:val="auto"/>
        </w:rPr>
        <w:t>, which is pending in San Diego County Superior Court. Cross-complaint plaintiff was sued by a bank to recover in excess of $35 million that she allegedly guaranteed to repay for certain investments made by the Banc of California in the alcoholic beverage license scheme. Cross-complaint plaintiff has, in turn, sued the Named Companies in that action seeking in excess of $250 million in monetary losses as well as exemplary damages and attorneys’ fees. The Named Companies have filed a cross-complaint against Ms. Champion-Cain, among others. A demurrer to the Named Companies’ cross-complaint has been filed and is set for hearing on November 19, 2021.</w:t>
      </w:r>
    </w:p>
    <w:p>
      <w:pPr>
        <w:jc w:val="both"/>
        <w:ind w:left="280" w:firstLine="265"/>
        <w:spacing w:after="0" w:line="236" w:lineRule="auto"/>
        <w:rPr>
          <w:sz w:val="20"/>
          <w:szCs w:val="20"/>
          <w:color w:val="auto"/>
        </w:rPr>
      </w:pPr>
      <w:r>
        <w:rPr>
          <w:rFonts w:ascii="Arial" w:cs="Arial" w:eastAsia="Arial" w:hAnsi="Arial"/>
          <w:sz w:val="14"/>
          <w:szCs w:val="14"/>
          <w:color w:val="auto"/>
        </w:rPr>
        <w:t xml:space="preserve">On September 3, 2020, a cross-claim styled, </w:t>
      </w:r>
      <w:r>
        <w:rPr>
          <w:rFonts w:ascii="Arial" w:cs="Arial" w:eastAsia="Arial" w:hAnsi="Arial"/>
          <w:sz w:val="14"/>
          <w:szCs w:val="14"/>
          <w:i w:val="1"/>
          <w:iCs w:val="1"/>
          <w:color w:val="auto"/>
        </w:rPr>
        <w:t>Kim H. Peterson Trustee of the Peterson Family Trust dated April 14 1992 v. Chicago Title Co., Chicago Title Ins. Co., Thomas</w:t>
      </w:r>
      <w:r>
        <w:rPr>
          <w:rFonts w:ascii="Arial" w:cs="Arial" w:eastAsia="Arial" w:hAnsi="Arial"/>
          <w:sz w:val="14"/>
          <w:szCs w:val="14"/>
          <w:color w:val="auto"/>
        </w:rPr>
        <w:t xml:space="preserve"> </w:t>
      </w:r>
      <w:r>
        <w:rPr>
          <w:rFonts w:ascii="Arial" w:cs="Arial" w:eastAsia="Arial" w:hAnsi="Arial"/>
          <w:sz w:val="14"/>
          <w:szCs w:val="14"/>
          <w:i w:val="1"/>
          <w:iCs w:val="1"/>
          <w:color w:val="auto"/>
        </w:rPr>
        <w:t>Schwiebert, Adelle Ducharme, and Betty Elixman</w:t>
      </w:r>
      <w:r>
        <w:rPr>
          <w:rFonts w:ascii="Arial" w:cs="Arial" w:eastAsia="Arial" w:hAnsi="Arial"/>
          <w:sz w:val="14"/>
          <w:szCs w:val="14"/>
          <w:color w:val="auto"/>
        </w:rPr>
        <w:t>, was filed in an existing lawsuit styled,</w:t>
      </w:r>
      <w:r>
        <w:rPr>
          <w:rFonts w:ascii="Arial" w:cs="Arial" w:eastAsia="Arial" w:hAnsi="Arial"/>
          <w:sz w:val="14"/>
          <w:szCs w:val="14"/>
          <w:i w:val="1"/>
          <w:iCs w:val="1"/>
          <w:color w:val="auto"/>
        </w:rPr>
        <w:t xml:space="preserve"> CalPrivate Bank v. Kim H. Peterson Trustee of the Peterson Family Trust dated April 14 1992</w:t>
      </w:r>
      <w:r>
        <w:rPr>
          <w:rFonts w:ascii="Arial" w:cs="Arial" w:eastAsia="Arial" w:hAnsi="Arial"/>
          <w:sz w:val="14"/>
          <w:szCs w:val="14"/>
          <w:color w:val="auto"/>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which is pending in Superior Court of San Diego County for the State of California. Cross-complaint plaintiff was sued by a bank to recover in excess of $12 million that the trustee allegedly guaranteed to repay for certain investments made by CalPrivate Bank in the alcoholic beverage license scheme. Cross-complaint plaintiff has, in turn, sued the Named Companies in that action seeking in excess of $250 million in monetary losses as well as exemplary damages and attorneys’ fees.</w:t>
      </w:r>
    </w:p>
    <w:p>
      <w:pPr>
        <w:spacing w:after="0" w:line="168" w:lineRule="exact"/>
        <w:rPr>
          <w:sz w:val="20"/>
          <w:szCs w:val="20"/>
          <w:color w:val="auto"/>
        </w:rPr>
      </w:pPr>
    </w:p>
    <w:p>
      <w:pPr>
        <w:jc w:val="both"/>
        <w:ind w:left="280" w:firstLine="265"/>
        <w:spacing w:after="0" w:line="249" w:lineRule="auto"/>
        <w:rPr>
          <w:sz w:val="20"/>
          <w:szCs w:val="20"/>
          <w:color w:val="auto"/>
        </w:rPr>
      </w:pPr>
      <w:r>
        <w:rPr>
          <w:rFonts w:ascii="Arial" w:cs="Arial" w:eastAsia="Arial" w:hAnsi="Arial"/>
          <w:sz w:val="14"/>
          <w:szCs w:val="14"/>
          <w:color w:val="auto"/>
        </w:rPr>
        <w:t xml:space="preserve">On October 1, 2020, a lawsuit styled, </w:t>
      </w:r>
      <w:r>
        <w:rPr>
          <w:rFonts w:ascii="Arial" w:cs="Arial" w:eastAsia="Arial" w:hAnsi="Arial"/>
          <w:sz w:val="14"/>
          <w:szCs w:val="14"/>
          <w:i w:val="1"/>
          <w:iCs w:val="1"/>
          <w:color w:val="auto"/>
        </w:rPr>
        <w:t>Ovation Fin. Holdings 2 LLC, Ovation Fund Mgmt. II, LLC, Banc of California, N.A. v. Chicago Title Ins. Co.</w:t>
      </w:r>
      <w:r>
        <w:rPr>
          <w:rFonts w:ascii="Arial" w:cs="Arial" w:eastAsia="Arial" w:hAnsi="Arial"/>
          <w:sz w:val="14"/>
          <w:szCs w:val="14"/>
          <w:color w:val="auto"/>
        </w:rPr>
        <w:t>, was filed in San Diego County Superior Court. Plaintiffs claim losses of more than $75 million, as well as consequential and punitive damages. The Named Companies have filed a cross-complaint against Ms. Champion-Cain, among others. A demurrer to the Named Companies’ cross-complaint has been filed and is set for hearing on November 19, 2021.</w:t>
      </w:r>
    </w:p>
    <w:p>
      <w:pPr>
        <w:spacing w:after="0" w:line="161" w:lineRule="exact"/>
        <w:rPr>
          <w:sz w:val="20"/>
          <w:szCs w:val="20"/>
          <w:color w:val="auto"/>
        </w:rPr>
      </w:pPr>
    </w:p>
    <w:p>
      <w:pPr>
        <w:jc w:val="both"/>
        <w:ind w:left="280" w:firstLine="265"/>
        <w:spacing w:after="0" w:line="274" w:lineRule="auto"/>
        <w:rPr>
          <w:sz w:val="20"/>
          <w:szCs w:val="20"/>
          <w:color w:val="auto"/>
        </w:rPr>
      </w:pPr>
      <w:r>
        <w:rPr>
          <w:rFonts w:ascii="Arial" w:cs="Arial" w:eastAsia="Arial" w:hAnsi="Arial"/>
          <w:sz w:val="13"/>
          <w:szCs w:val="13"/>
          <w:color w:val="auto"/>
        </w:rPr>
        <w:t xml:space="preserve">On November 2, 2020, a lawsuit styled, </w:t>
      </w:r>
      <w:r>
        <w:rPr>
          <w:rFonts w:ascii="Arial" w:cs="Arial" w:eastAsia="Arial" w:hAnsi="Arial"/>
          <w:sz w:val="13"/>
          <w:szCs w:val="13"/>
          <w:i w:val="1"/>
          <w:iCs w:val="1"/>
          <w:color w:val="auto"/>
        </w:rPr>
        <w:t>CalPrivate Bank v. Chicago Title Co. and Chicago Title Ins. Co.,</w:t>
      </w:r>
      <w:r>
        <w:rPr>
          <w:rFonts w:ascii="Arial" w:cs="Arial" w:eastAsia="Arial" w:hAnsi="Arial"/>
          <w:sz w:val="13"/>
          <w:szCs w:val="13"/>
          <w:color w:val="auto"/>
        </w:rPr>
        <w:t xml:space="preserve"> was also filed in the Superior Court of San Diego County for the State of California. Plaintiff claims losses in excess of $12 million based upon business loan advances made in the alcoholic beverage license scheme, and also seeks punitive damages and the</w:t>
      </w:r>
    </w:p>
    <w:p>
      <w:pPr>
        <w:spacing w:after="0" w:line="1" w:lineRule="exact"/>
        <w:rPr>
          <w:sz w:val="20"/>
          <w:szCs w:val="20"/>
          <w:color w:val="auto"/>
        </w:rPr>
      </w:pPr>
    </w:p>
    <w:p>
      <w:pPr>
        <w:jc w:val="both"/>
        <w:ind w:left="280"/>
        <w:spacing w:after="0" w:line="237" w:lineRule="auto"/>
        <w:rPr>
          <w:sz w:val="20"/>
          <w:szCs w:val="20"/>
          <w:color w:val="auto"/>
        </w:rPr>
      </w:pPr>
      <w:r>
        <w:rPr>
          <w:rFonts w:ascii="Arial" w:cs="Arial" w:eastAsia="Arial" w:hAnsi="Arial"/>
          <w:sz w:val="15"/>
          <w:szCs w:val="15"/>
          <w:color w:val="auto"/>
        </w:rPr>
        <w:t>recovery of attorneys’ fees. The Named Companies have filed a cross-complaint against Ms. Champion-Cain, among others. A demurrer to the Named Companies’ cross-complaint has been filed and is set for hearing on November 19, 2021.</w:t>
      </w:r>
    </w:p>
    <w:p>
      <w:pPr>
        <w:spacing w:after="0" w:line="167" w:lineRule="exact"/>
        <w:rPr>
          <w:sz w:val="20"/>
          <w:szCs w:val="20"/>
          <w:color w:val="auto"/>
        </w:rPr>
      </w:pPr>
    </w:p>
    <w:p>
      <w:pPr>
        <w:jc w:val="both"/>
        <w:ind w:left="280" w:firstLine="265"/>
        <w:spacing w:after="0" w:line="237" w:lineRule="auto"/>
        <w:rPr>
          <w:sz w:val="20"/>
          <w:szCs w:val="20"/>
          <w:color w:val="auto"/>
        </w:rPr>
      </w:pPr>
      <w:r>
        <w:rPr>
          <w:rFonts w:ascii="Arial" w:cs="Arial" w:eastAsia="Arial" w:hAnsi="Arial"/>
          <w:sz w:val="15"/>
          <w:szCs w:val="15"/>
          <w:color w:val="auto"/>
        </w:rPr>
        <w:t xml:space="preserve">On February 24, 2021, a putative class action lawsuit styled, </w:t>
      </w:r>
      <w:r>
        <w:rPr>
          <w:rFonts w:ascii="Arial" w:cs="Arial" w:eastAsia="Arial" w:hAnsi="Arial"/>
          <w:sz w:val="15"/>
          <w:szCs w:val="15"/>
          <w:i w:val="1"/>
          <w:iCs w:val="1"/>
          <w:color w:val="auto"/>
        </w:rPr>
        <w:t>Blake E. Allred and Melissa M. Allred v. Chicago Title Co., Chicago Title Ins. Co.</w:t>
      </w:r>
      <w:r>
        <w:rPr>
          <w:rFonts w:ascii="Arial" w:cs="Arial" w:eastAsia="Arial" w:hAnsi="Arial"/>
          <w:sz w:val="15"/>
          <w:szCs w:val="15"/>
          <w:color w:val="auto"/>
        </w:rPr>
        <w:t>, was filed in the Superior Court of San Diego County for the State of California. Plaintiffs are seeking compensatory, statutory, treble, and punitive damages.</w:t>
      </w:r>
    </w:p>
    <w:p>
      <w:pPr>
        <w:spacing w:after="0" w:line="167" w:lineRule="exact"/>
        <w:rPr>
          <w:sz w:val="20"/>
          <w:szCs w:val="20"/>
          <w:color w:val="auto"/>
        </w:rPr>
      </w:pPr>
    </w:p>
    <w:p>
      <w:pPr>
        <w:spacing w:after="0" w:line="237" w:lineRule="auto"/>
        <w:rPr>
          <w:sz w:val="20"/>
          <w:szCs w:val="20"/>
          <w:color w:val="auto"/>
        </w:rPr>
      </w:pPr>
      <w:r>
        <w:rPr>
          <w:rFonts w:ascii="Arial" w:cs="Arial" w:eastAsia="Arial" w:hAnsi="Arial"/>
          <w:sz w:val="15"/>
          <w:szCs w:val="15"/>
          <w:color w:val="auto"/>
        </w:rPr>
        <w:t>In addition, Chicago Title Company has resolved claims from both individual and groups of alleged investors under confidential terms during pre-suit mediations. As of September 30, 2021, the Company has recorded an incurred claim loss reserve for legal fees which is included in its consolidated reserve for title claim losses. The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 w:name="page17"/>
    <w:bookmarkEnd w:id="16"/>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color w:val="auto"/>
        </w:rPr>
        <w:t>Company has also recorded an insurance recoverable for amounts it expects to recover from its insurance carriers relating to these matters.</w:t>
      </w:r>
    </w:p>
    <w:p>
      <w:pPr>
        <w:spacing w:after="0" w:line="192" w:lineRule="exact"/>
        <w:rPr>
          <w:sz w:val="20"/>
          <w:szCs w:val="20"/>
          <w:color w:val="auto"/>
        </w:rPr>
      </w:pPr>
    </w:p>
    <w:p>
      <w:pPr>
        <w:jc w:val="both"/>
        <w:ind w:firstLine="265"/>
        <w:spacing w:after="0" w:line="250" w:lineRule="auto"/>
        <w:rPr>
          <w:sz w:val="20"/>
          <w:szCs w:val="20"/>
          <w:color w:val="auto"/>
        </w:rPr>
      </w:pPr>
      <w:r>
        <w:rPr>
          <w:rFonts w:ascii="Arial" w:cs="Arial" w:eastAsia="Arial" w:hAnsi="Arial"/>
          <w:sz w:val="15"/>
          <w:szCs w:val="15"/>
          <w:color w:val="auto"/>
        </w:rPr>
        <w:t>In connection with the alcoholic beverage license scheme, the Securities and Exchange Commission (“SEC”) filed a lawsuit in the United States District Court for the Southern District of California against Ms. Champion-Cain and certain of her affiliated entities asserting claims for securities fraud. A receiver was appointed to preserve the assets of those named defendants, pay defendants’ debts and operate defendants’ businesses. The federal court in the SEC litigation has scheduled a comprehensive mediation to take place in January 2022 among the receiver and various non-parties, including Chicago Title Company and remaining investors/lenders who were allegedly defrauded and have some interest in the SEC litigation or in the related state court litigation set forth above.</w:t>
      </w:r>
    </w:p>
    <w:p>
      <w:pPr>
        <w:spacing w:after="0" w:line="62" w:lineRule="exact"/>
        <w:rPr>
          <w:sz w:val="20"/>
          <w:szCs w:val="20"/>
          <w:color w:val="auto"/>
        </w:rPr>
      </w:pPr>
    </w:p>
    <w:p>
      <w:pPr>
        <w:jc w:val="both"/>
        <w:ind w:firstLine="265"/>
        <w:spacing w:after="0" w:line="298" w:lineRule="auto"/>
        <w:rPr>
          <w:sz w:val="20"/>
          <w:szCs w:val="20"/>
          <w:color w:val="auto"/>
        </w:rPr>
      </w:pPr>
      <w:r>
        <w:rPr>
          <w:rFonts w:ascii="Arial" w:cs="Arial" w:eastAsia="Arial" w:hAnsi="Arial"/>
          <w:sz w:val="13"/>
          <w:szCs w:val="13"/>
          <w:color w:val="auto"/>
        </w:rPr>
        <w:t>At this time, the Company is unable to ascertain its liability, if any, and is unable to make an estimate of a reasonably possible claim loss for any of the unresolved claims due to the complex nature of the claims and litigation, the early procedural status of each claim (involving unresolved questions of fact without any rulings on the merits or determinations of liability), the extent of discovery not yet conducted, potential insurance coverage, and an incomplete evaluation of possible defenses, counterclaims, crossclaims or third-party claims that may exist. Moreover, it is likely that in some instances, the claims listed above are duplicative. As further information becomes available, the Company will continue to evaluate the adequacy of its consolidated reserve for title claim losses. As of September 30, 2021, the Company believes that its reserves are adequate to cover losses related to this matter and other claims.</w:t>
      </w:r>
    </w:p>
    <w:p>
      <w:pPr>
        <w:spacing w:after="0" w:line="21" w:lineRule="exact"/>
        <w:rPr>
          <w:sz w:val="20"/>
          <w:szCs w:val="20"/>
          <w:color w:val="auto"/>
        </w:rPr>
      </w:pPr>
    </w:p>
    <w:p>
      <w:pPr>
        <w:jc w:val="both"/>
        <w:ind w:firstLine="265"/>
        <w:spacing w:after="0" w:line="255" w:lineRule="auto"/>
        <w:rPr>
          <w:sz w:val="20"/>
          <w:szCs w:val="20"/>
          <w:color w:val="auto"/>
        </w:rPr>
      </w:pPr>
      <w:r>
        <w:rPr>
          <w:rFonts w:ascii="Arial" w:cs="Arial" w:eastAsia="Arial" w:hAnsi="Arial"/>
          <w:sz w:val="15"/>
          <w:szCs w:val="15"/>
          <w:color w:val="auto"/>
        </w:rPr>
        <w:t>We continually update loss reserve estimates as new information becomes known, new loss patterns emerge or as other contributing factors are considered and incorporated into the analysis of reserve for claim losses. Estimating future title loss payments is difficult because of the complex nature of title claims, the long periods of time over which claims are paid, significantly varying dollar amounts of individual claims and other factors.</w:t>
      </w:r>
    </w:p>
    <w:p>
      <w:pPr>
        <w:spacing w:after="0" w:line="57" w:lineRule="exact"/>
        <w:rPr>
          <w:sz w:val="20"/>
          <w:szCs w:val="20"/>
          <w:color w:val="auto"/>
        </w:rPr>
      </w:pPr>
    </w:p>
    <w:p>
      <w:pPr>
        <w:jc w:val="both"/>
        <w:ind w:firstLine="265"/>
        <w:spacing w:after="0" w:line="255" w:lineRule="auto"/>
        <w:rPr>
          <w:sz w:val="20"/>
          <w:szCs w:val="20"/>
          <w:color w:val="auto"/>
        </w:rPr>
      </w:pPr>
      <w:r>
        <w:rPr>
          <w:rFonts w:ascii="Arial" w:cs="Arial" w:eastAsia="Arial" w:hAnsi="Arial"/>
          <w:sz w:val="15"/>
          <w:szCs w:val="15"/>
          <w:color w:val="auto"/>
        </w:rPr>
        <w:t>Due to the uncertainty inherent in the process and to the judgment used by management, the ultimate liability may be greater or less than our current reserves. If actual claims loss development varies from what is currently expected and is not offset by other factors, it is possible that additional reserve adjustments may be required in future periods in order to maintain our recorded reserve within a reasonable range of our actuary's central estimate.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 w:name="page18"/>
    <w:bookmarkEnd w:id="17"/>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C — Fair Value of Financial Instruments</w:t>
      </w:r>
    </w:p>
    <w:p>
      <w:pPr>
        <w:spacing w:after="0" w:line="141" w:lineRule="exact"/>
        <w:rPr>
          <w:sz w:val="20"/>
          <w:szCs w:val="20"/>
          <w:color w:val="auto"/>
        </w:rPr>
      </w:pPr>
    </w:p>
    <w:p>
      <w:pPr>
        <w:jc w:val="both"/>
        <w:ind w:firstLine="331"/>
        <w:spacing w:after="0" w:line="273" w:lineRule="auto"/>
        <w:rPr>
          <w:sz w:val="20"/>
          <w:szCs w:val="20"/>
          <w:color w:val="auto"/>
        </w:rPr>
      </w:pPr>
      <w:r>
        <w:rPr>
          <w:rFonts w:ascii="Arial" w:cs="Arial" w:eastAsia="Arial" w:hAnsi="Arial"/>
          <w:sz w:val="14"/>
          <w:szCs w:val="14"/>
          <w:color w:val="auto"/>
        </w:rPr>
        <w:t>Our measurement of fair value is based on assumptions used by market participants in pricing the asset or liability, which may include inherent risk, restrictions on the sale or use of an asset, or non-performance risk, which may include our own credit risk. We estimate an exchange price is the price in an orderly transaction between market participants to sell the asset or transfer the liability (“exit price”) in the principal market, or the most advantageous market for that asset or liability in the absence of a principal market as opposed to the price that would be paid to acquire the asset or assume a liability (“entry price”). We categorize financial instruments carried at fair value into a three-level fair value hierarchy, based on the priority of inputs to the respective valuation technique. The three-level hierarchy for fair value measurement is defined as follows:</w:t>
      </w:r>
    </w:p>
    <w:p>
      <w:pPr>
        <w:spacing w:after="0" w:line="34" w:lineRule="exact"/>
        <w:rPr>
          <w:sz w:val="20"/>
          <w:szCs w:val="20"/>
          <w:color w:val="auto"/>
        </w:rPr>
      </w:pPr>
    </w:p>
    <w:p>
      <w:pPr>
        <w:ind w:left="380"/>
        <w:spacing w:after="0"/>
        <w:rPr>
          <w:sz w:val="20"/>
          <w:szCs w:val="20"/>
          <w:color w:val="auto"/>
        </w:rPr>
      </w:pPr>
      <w:r>
        <w:rPr>
          <w:rFonts w:ascii="Arial" w:cs="Arial" w:eastAsia="Arial" w:hAnsi="Arial"/>
          <w:sz w:val="15"/>
          <w:szCs w:val="15"/>
          <w:i w:val="1"/>
          <w:iCs w:val="1"/>
          <w:color w:val="auto"/>
        </w:rPr>
        <w:t xml:space="preserve">Level 1 </w:t>
      </w:r>
      <w:r>
        <w:rPr>
          <w:rFonts w:ascii="Arial" w:cs="Arial" w:eastAsia="Arial" w:hAnsi="Arial"/>
          <w:sz w:val="15"/>
          <w:szCs w:val="15"/>
          <w:color w:val="auto"/>
        </w:rPr>
        <w:t>- Values are unadjusted quoted prices for identical assets and liabilities in active markets accessible at the measurement date.</w:t>
      </w:r>
    </w:p>
    <w:p>
      <w:pPr>
        <w:spacing w:after="0" w:line="70" w:lineRule="exact"/>
        <w:rPr>
          <w:sz w:val="20"/>
          <w:szCs w:val="20"/>
          <w:color w:val="auto"/>
        </w:rPr>
      </w:pPr>
    </w:p>
    <w:p>
      <w:pPr>
        <w:jc w:val="both"/>
        <w:ind w:left="380"/>
        <w:spacing w:after="0" w:line="302" w:lineRule="auto"/>
        <w:rPr>
          <w:sz w:val="20"/>
          <w:szCs w:val="20"/>
          <w:color w:val="auto"/>
        </w:rPr>
      </w:pPr>
      <w:r>
        <w:rPr>
          <w:rFonts w:ascii="Arial" w:cs="Arial" w:eastAsia="Arial" w:hAnsi="Arial"/>
          <w:sz w:val="14"/>
          <w:szCs w:val="14"/>
          <w:i w:val="1"/>
          <w:iCs w:val="1"/>
          <w:color w:val="auto"/>
        </w:rPr>
        <w:t xml:space="preserve">Level 2 </w:t>
      </w:r>
      <w:r>
        <w:rPr>
          <w:rFonts w:ascii="Arial" w:cs="Arial" w:eastAsia="Arial" w:hAnsi="Arial"/>
          <w:sz w:val="14"/>
          <w:szCs w:val="14"/>
          <w:color w:val="auto"/>
        </w:rPr>
        <w:t>- Inputs include quoted prices for similar assets or liabilities in active markets, quoted prices from those willing to trade in markets that are not active, or other inputs that are</w:t>
      </w:r>
      <w:r>
        <w:rPr>
          <w:rFonts w:ascii="Arial" w:cs="Arial" w:eastAsia="Arial" w:hAnsi="Arial"/>
          <w:sz w:val="14"/>
          <w:szCs w:val="14"/>
          <w:i w:val="1"/>
          <w:iCs w:val="1"/>
          <w:color w:val="auto"/>
        </w:rPr>
        <w:t xml:space="preserve"> </w:t>
      </w:r>
      <w:r>
        <w:rPr>
          <w:rFonts w:ascii="Arial" w:cs="Arial" w:eastAsia="Arial" w:hAnsi="Arial"/>
          <w:sz w:val="14"/>
          <w:szCs w:val="14"/>
          <w:color w:val="auto"/>
        </w:rPr>
        <w:t>observable or can be corroborated by market data for the term of the instrument. Such inputs include market interest rates and volatilities, spreads, and yield curves.</w:t>
      </w:r>
    </w:p>
    <w:p>
      <w:pPr>
        <w:spacing w:after="0" w:line="14" w:lineRule="exact"/>
        <w:rPr>
          <w:sz w:val="20"/>
          <w:szCs w:val="20"/>
          <w:color w:val="auto"/>
        </w:rPr>
      </w:pPr>
    </w:p>
    <w:p>
      <w:pPr>
        <w:jc w:val="both"/>
        <w:ind w:left="380"/>
        <w:spacing w:after="0" w:line="255" w:lineRule="auto"/>
        <w:rPr>
          <w:sz w:val="20"/>
          <w:szCs w:val="20"/>
          <w:color w:val="auto"/>
        </w:rPr>
      </w:pPr>
      <w:r>
        <w:rPr>
          <w:rFonts w:ascii="Arial" w:cs="Arial" w:eastAsia="Arial" w:hAnsi="Arial"/>
          <w:sz w:val="15"/>
          <w:szCs w:val="15"/>
          <w:i w:val="1"/>
          <w:iCs w:val="1"/>
          <w:color w:val="auto"/>
        </w:rPr>
        <w:t xml:space="preserve">Level 3 </w:t>
      </w:r>
      <w:r>
        <w:rPr>
          <w:rFonts w:ascii="Arial" w:cs="Arial" w:eastAsia="Arial" w:hAnsi="Arial"/>
          <w:sz w:val="15"/>
          <w:szCs w:val="15"/>
          <w:color w:val="auto"/>
        </w:rPr>
        <w:t>- Certain inputs are unobservable (supported by little or no market activity) and significant to the fair value measurement. Unobservable inputs reflect the Company’s best</w:t>
      </w:r>
      <w:r>
        <w:rPr>
          <w:rFonts w:ascii="Arial" w:cs="Arial" w:eastAsia="Arial" w:hAnsi="Arial"/>
          <w:sz w:val="15"/>
          <w:szCs w:val="15"/>
          <w:i w:val="1"/>
          <w:iCs w:val="1"/>
          <w:color w:val="auto"/>
        </w:rPr>
        <w:t xml:space="preserve"> </w:t>
      </w:r>
      <w:r>
        <w:rPr>
          <w:rFonts w:ascii="Arial" w:cs="Arial" w:eastAsia="Arial" w:hAnsi="Arial"/>
          <w:sz w:val="15"/>
          <w:szCs w:val="15"/>
          <w:color w:val="auto"/>
        </w:rPr>
        <w:t>estimate of what hypothetical market participants would use to determine a transaction price for the asset or liability at the reporting date based on the best information available in the circumstances.</w:t>
      </w:r>
    </w:p>
    <w:p>
      <w:pPr>
        <w:spacing w:after="0" w:line="91"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5"/>
          <w:szCs w:val="15"/>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Our assessment of the significance of a particular input to the fair value measurement in its entirety requires judgment and considers factors specific to the investment.</w:t>
      </w:r>
    </w:p>
    <w:p>
      <w:pPr>
        <w:spacing w:after="0" w:line="79" w:lineRule="exact"/>
        <w:rPr>
          <w:sz w:val="20"/>
          <w:szCs w:val="20"/>
          <w:color w:val="auto"/>
        </w:rPr>
      </w:pPr>
    </w:p>
    <w:p>
      <w:pPr>
        <w:jc w:val="both"/>
        <w:ind w:firstLine="364"/>
        <w:spacing w:after="0" w:line="252" w:lineRule="auto"/>
        <w:rPr>
          <w:sz w:val="20"/>
          <w:szCs w:val="20"/>
          <w:color w:val="auto"/>
        </w:rPr>
      </w:pPr>
      <w:r>
        <w:rPr>
          <w:rFonts w:ascii="Arial" w:cs="Arial" w:eastAsia="Arial" w:hAnsi="Arial"/>
          <w:sz w:val="15"/>
          <w:szCs w:val="15"/>
          <w:color w:val="auto"/>
        </w:rPr>
        <w:t>When a determination is made to classify an asset or liability within Level 3 of the fair value hierarchy, the determination is based upon the significance of the unobservable inputs to the overall fair value measurement. Because certain securities trade in less liquid or illiquid markets with limited or no pricing information, the determination of fair value for these securities is inherently more difficult. In addition to the unobservable inputs, Level 3 fair value investments may include observable components, which are components that are actively quoted or can be validated to market-based sources.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 w:name="page19"/>
    <w:bookmarkEnd w:id="18"/>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5"/>
          <w:szCs w:val="15"/>
          <w:color w:val="auto"/>
        </w:rPr>
        <w:t>The carrying amounts and estimated fair values of our financial instruments for which the disclosure of fair values is required, including financial assets and liabilities measured and carried at fair value on a recurring basis, with the exception of investment contracts, portions of other long-term investments and debt which are disclosed later within this footnote, was summarized according to the hierarchy previously described, as follows (in millions):</w:t>
      </w:r>
    </w:p>
    <w:p>
      <w:pPr>
        <w:spacing w:after="0" w:line="84" w:lineRule="exact"/>
        <w:rPr>
          <w:sz w:val="20"/>
          <w:szCs w:val="20"/>
          <w:color w:val="auto"/>
        </w:rPr>
      </w:pPr>
    </w:p>
    <w:tbl>
      <w:tblPr>
        <w:tblLayout w:type="fixed"/>
        <w:tblInd w:w="700" w:type="dxa"/>
        <w:tblCellMar>
          <w:top w:w="0" w:type="dxa"/>
          <w:left w:w="0" w:type="dxa"/>
          <w:bottom w:w="0" w:type="dxa"/>
          <w:right w:w="0" w:type="dxa"/>
        </w:tblCellMar>
      </w:tblPr>
      <w:tr>
        <w:trPr>
          <w:trHeight w:val="156"/>
        </w:trPr>
        <w:tc>
          <w:tcPr>
            <w:tcW w:w="38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2"/>
                <w:szCs w:val="12"/>
                <w:b w:val="1"/>
                <w:bCs w:val="1"/>
                <w:color w:val="auto"/>
                <w:w w:val="87"/>
              </w:rPr>
              <w:t>September 30, 2021</w:t>
            </w: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Level 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ind w:left="160"/>
              <w:spacing w:after="0"/>
              <w:rPr>
                <w:sz w:val="20"/>
                <w:szCs w:val="20"/>
                <w:color w:val="auto"/>
              </w:rPr>
            </w:pPr>
            <w:r>
              <w:rPr>
                <w:rFonts w:ascii="Arial" w:cs="Arial" w:eastAsia="Arial" w:hAnsi="Arial"/>
                <w:sz w:val="12"/>
                <w:szCs w:val="12"/>
                <w:b w:val="1"/>
                <w:bCs w:val="1"/>
                <w:color w:val="auto"/>
              </w:rPr>
              <w:t>Level 2</w:t>
            </w:r>
          </w:p>
        </w:tc>
        <w:tc>
          <w:tcPr>
            <w:tcW w:w="80" w:type="dxa"/>
            <w:vAlign w:val="bottom"/>
          </w:tcPr>
          <w:p>
            <w:pPr>
              <w:spacing w:after="0"/>
              <w:rPr>
                <w:sz w:val="12"/>
                <w:szCs w:val="12"/>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Level 3</w:t>
            </w:r>
          </w:p>
        </w:tc>
        <w:tc>
          <w:tcPr>
            <w:tcW w:w="180" w:type="dxa"/>
            <w:vAlign w:val="bottom"/>
          </w:tcPr>
          <w:p>
            <w:pPr>
              <w:spacing w:after="0"/>
              <w:rPr>
                <w:sz w:val="12"/>
                <w:szCs w:val="12"/>
                <w:color w:val="auto"/>
              </w:rPr>
            </w:pP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Fair Value</w:t>
            </w:r>
          </w:p>
        </w:tc>
        <w:tc>
          <w:tcPr>
            <w:tcW w:w="100" w:type="dxa"/>
            <w:vAlign w:val="bottom"/>
          </w:tcPr>
          <w:p>
            <w:pPr>
              <w:spacing w:after="0"/>
              <w:rPr>
                <w:sz w:val="12"/>
                <w:szCs w:val="12"/>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b w:val="1"/>
                <w:bCs w:val="1"/>
                <w:color w:val="auto"/>
                <w:w w:val="91"/>
              </w:rPr>
              <w:t>Carrying Amount</w:t>
            </w:r>
          </w:p>
        </w:tc>
        <w:tc>
          <w:tcPr>
            <w:tcW w:w="0" w:type="dxa"/>
            <w:vAlign w:val="bottom"/>
          </w:tcPr>
          <w:p>
            <w:pPr>
              <w:spacing w:after="0"/>
              <w:rPr>
                <w:sz w:val="1"/>
                <w:szCs w:val="1"/>
                <w:color w:val="auto"/>
              </w:rPr>
            </w:pPr>
          </w:p>
        </w:tc>
      </w:tr>
      <w:tr>
        <w:trPr>
          <w:trHeight w:val="136"/>
        </w:trPr>
        <w:tc>
          <w:tcPr>
            <w:tcW w:w="382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2"/>
                <w:szCs w:val="12"/>
                <w:b w:val="1"/>
                <w:bCs w:val="1"/>
                <w:color w:val="auto"/>
              </w:rPr>
              <w:t>Assets</w:t>
            </w:r>
          </w:p>
        </w:tc>
        <w:tc>
          <w:tcPr>
            <w:tcW w:w="7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820" w:type="dxa"/>
            <w:vAlign w:val="bottom"/>
          </w:tcPr>
          <w:p>
            <w:pPr>
              <w:ind w:left="20"/>
              <w:spacing w:after="0"/>
              <w:rPr>
                <w:sz w:val="20"/>
                <w:szCs w:val="20"/>
                <w:color w:val="auto"/>
              </w:rPr>
            </w:pPr>
            <w:r>
              <w:rPr>
                <w:rFonts w:ascii="Arial" w:cs="Arial" w:eastAsia="Arial" w:hAnsi="Arial"/>
                <w:sz w:val="12"/>
                <w:szCs w:val="12"/>
                <w:color w:val="auto"/>
              </w:rPr>
              <w:t>Cash and cash equivalents</w:t>
            </w:r>
          </w:p>
        </w:tc>
        <w:tc>
          <w:tcPr>
            <w:tcW w:w="760" w:type="dxa"/>
            <w:vAlign w:val="bottom"/>
          </w:tcPr>
          <w:p>
            <w:pPr>
              <w:jc w:val="right"/>
              <w:ind w:right="650"/>
              <w:spacing w:after="0"/>
              <w:rPr>
                <w:sz w:val="20"/>
                <w:szCs w:val="20"/>
                <w:color w:val="auto"/>
              </w:rPr>
            </w:pPr>
            <w:r>
              <w:rPr>
                <w:rFonts w:ascii="Arial" w:cs="Arial" w:eastAsia="Arial" w:hAnsi="Arial"/>
                <w:sz w:val="9"/>
                <w:szCs w:val="9"/>
                <w:color w:val="auto"/>
                <w:w w:val="78"/>
              </w:rPr>
              <w:t>$</w:t>
            </w:r>
          </w:p>
        </w:tc>
        <w:tc>
          <w:tcPr>
            <w:tcW w:w="360" w:type="dxa"/>
            <w:vAlign w:val="bottom"/>
          </w:tcPr>
          <w:p>
            <w:pPr>
              <w:jc w:val="right"/>
              <w:ind w:right="1"/>
              <w:spacing w:after="0"/>
              <w:rPr>
                <w:sz w:val="20"/>
                <w:szCs w:val="20"/>
                <w:color w:val="auto"/>
              </w:rPr>
            </w:pPr>
            <w:r>
              <w:rPr>
                <w:rFonts w:ascii="Arial" w:cs="Arial" w:eastAsia="Arial" w:hAnsi="Arial"/>
                <w:sz w:val="12"/>
                <w:szCs w:val="12"/>
                <w:color w:val="auto"/>
                <w:w w:val="93"/>
              </w:rPr>
              <w:t>5,148</w:t>
            </w:r>
          </w:p>
        </w:tc>
        <w:tc>
          <w:tcPr>
            <w:tcW w:w="100" w:type="dxa"/>
            <w:vAlign w:val="bottom"/>
          </w:tcPr>
          <w:p>
            <w:pPr>
              <w:spacing w:after="0"/>
              <w:rPr>
                <w:sz w:val="13"/>
                <w:szCs w:val="13"/>
                <w:color w:val="auto"/>
              </w:rPr>
            </w:pPr>
          </w:p>
        </w:tc>
        <w:tc>
          <w:tcPr>
            <w:tcW w:w="220" w:type="dxa"/>
            <w:vAlign w:val="bottom"/>
          </w:tcPr>
          <w:p>
            <w:pPr>
              <w:jc w:val="right"/>
              <w:ind w:right="81"/>
              <w:spacing w:after="0"/>
              <w:rPr>
                <w:sz w:val="20"/>
                <w:szCs w:val="20"/>
                <w:color w:val="auto"/>
              </w:rPr>
            </w:pPr>
            <w:r>
              <w:rPr>
                <w:rFonts w:ascii="Arial" w:cs="Arial" w:eastAsia="Arial" w:hAnsi="Arial"/>
                <w:sz w:val="12"/>
                <w:szCs w:val="12"/>
                <w:color w:val="auto"/>
                <w:w w:val="89"/>
              </w:rPr>
              <w:t>$</w:t>
            </w: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5,148</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5,148</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Fixed maturity securities, available-for-sale:</w:t>
            </w:r>
          </w:p>
        </w:tc>
        <w:tc>
          <w:tcPr>
            <w:tcW w:w="7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820" w:type="dxa"/>
            <w:vAlign w:val="bottom"/>
          </w:tcPr>
          <w:p>
            <w:pPr>
              <w:ind w:left="180"/>
              <w:spacing w:after="0"/>
              <w:rPr>
                <w:sz w:val="20"/>
                <w:szCs w:val="20"/>
                <w:color w:val="auto"/>
              </w:rPr>
            </w:pPr>
            <w:r>
              <w:rPr>
                <w:rFonts w:ascii="Arial" w:cs="Arial" w:eastAsia="Arial" w:hAnsi="Arial"/>
                <w:sz w:val="12"/>
                <w:szCs w:val="12"/>
                <w:color w:val="auto"/>
              </w:rPr>
              <w:t>Asset-backed securities</w:t>
            </w:r>
          </w:p>
        </w:tc>
        <w:tc>
          <w:tcPr>
            <w:tcW w:w="76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4,947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3,244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8,191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8,191</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Commercial mortgage-backed securities</w:t>
            </w:r>
          </w:p>
        </w:tc>
        <w:tc>
          <w:tcPr>
            <w:tcW w:w="7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2,988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3,024</w:t>
            </w:r>
          </w:p>
        </w:tc>
        <w:tc>
          <w:tcPr>
            <w:tcW w:w="0" w:type="dxa"/>
            <w:vAlign w:val="bottom"/>
          </w:tcPr>
          <w:p>
            <w:pPr>
              <w:spacing w:after="0"/>
              <w:rPr>
                <w:sz w:val="1"/>
                <w:szCs w:val="1"/>
                <w:color w:val="auto"/>
              </w:rPr>
            </w:pPr>
          </w:p>
        </w:tc>
      </w:tr>
      <w:tr>
        <w:trPr>
          <w:trHeight w:val="152"/>
        </w:trPr>
        <w:tc>
          <w:tcPr>
            <w:tcW w:w="3820" w:type="dxa"/>
            <w:vAlign w:val="bottom"/>
          </w:tcPr>
          <w:p>
            <w:pPr>
              <w:ind w:left="180"/>
              <w:spacing w:after="0"/>
              <w:rPr>
                <w:sz w:val="20"/>
                <w:szCs w:val="20"/>
                <w:color w:val="auto"/>
              </w:rPr>
            </w:pPr>
            <w:r>
              <w:rPr>
                <w:rFonts w:ascii="Arial" w:cs="Arial" w:eastAsia="Arial" w:hAnsi="Arial"/>
                <w:sz w:val="12"/>
                <w:szCs w:val="12"/>
                <w:color w:val="auto"/>
              </w:rPr>
              <w:t>Corporates</w:t>
            </w:r>
          </w:p>
        </w:tc>
        <w:tc>
          <w:tcPr>
            <w:tcW w:w="760" w:type="dxa"/>
            <w:vAlign w:val="bottom"/>
          </w:tcPr>
          <w:p>
            <w:pPr>
              <w:spacing w:after="0"/>
              <w:rPr>
                <w:sz w:val="13"/>
                <w:szCs w:val="13"/>
                <w:color w:val="auto"/>
              </w:rPr>
            </w:pPr>
          </w:p>
        </w:tc>
        <w:tc>
          <w:tcPr>
            <w:tcW w:w="360" w:type="dxa"/>
            <w:vAlign w:val="bottom"/>
          </w:tcPr>
          <w:p>
            <w:pPr>
              <w:jc w:val="right"/>
              <w:ind w:right="1"/>
              <w:spacing w:after="0"/>
              <w:rPr>
                <w:sz w:val="20"/>
                <w:szCs w:val="20"/>
                <w:color w:val="auto"/>
              </w:rPr>
            </w:pPr>
            <w:r>
              <w:rPr>
                <w:rFonts w:ascii="Arial" w:cs="Arial" w:eastAsia="Arial" w:hAnsi="Arial"/>
                <w:sz w:val="12"/>
                <w:szCs w:val="12"/>
                <w:color w:val="auto"/>
              </w:rPr>
              <w:t>37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14,027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1,113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15,177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15,177</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Hybrids</w:t>
            </w:r>
          </w:p>
        </w:tc>
        <w:tc>
          <w:tcPr>
            <w:tcW w:w="76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791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923</w:t>
            </w:r>
          </w:p>
        </w:tc>
        <w:tc>
          <w:tcPr>
            <w:tcW w:w="0" w:type="dxa"/>
            <w:vAlign w:val="bottom"/>
          </w:tcPr>
          <w:p>
            <w:pPr>
              <w:spacing w:after="0"/>
              <w:rPr>
                <w:sz w:val="1"/>
                <w:szCs w:val="1"/>
                <w:color w:val="auto"/>
              </w:rPr>
            </w:pPr>
          </w:p>
        </w:tc>
      </w:tr>
      <w:tr>
        <w:trPr>
          <w:trHeight w:val="152"/>
        </w:trPr>
        <w:tc>
          <w:tcPr>
            <w:tcW w:w="3820" w:type="dxa"/>
            <w:vAlign w:val="bottom"/>
          </w:tcPr>
          <w:p>
            <w:pPr>
              <w:ind w:left="180"/>
              <w:spacing w:after="0"/>
              <w:rPr>
                <w:sz w:val="20"/>
                <w:szCs w:val="20"/>
                <w:color w:val="auto"/>
              </w:rPr>
            </w:pPr>
            <w:r>
              <w:rPr>
                <w:rFonts w:ascii="Arial" w:cs="Arial" w:eastAsia="Arial" w:hAnsi="Arial"/>
                <w:sz w:val="12"/>
                <w:szCs w:val="12"/>
                <w:color w:val="auto"/>
              </w:rPr>
              <w:t>Municipals</w:t>
            </w:r>
          </w:p>
        </w:tc>
        <w:tc>
          <w:tcPr>
            <w:tcW w:w="76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1,325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43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1,368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1,368</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Residential mortgage-backed securities</w:t>
            </w:r>
          </w:p>
        </w:tc>
        <w:tc>
          <w:tcPr>
            <w:tcW w:w="7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347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394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741</w:t>
            </w:r>
          </w:p>
        </w:tc>
        <w:tc>
          <w:tcPr>
            <w:tcW w:w="0" w:type="dxa"/>
            <w:vAlign w:val="bottom"/>
          </w:tcPr>
          <w:p>
            <w:pPr>
              <w:spacing w:after="0"/>
              <w:rPr>
                <w:sz w:val="1"/>
                <w:szCs w:val="1"/>
                <w:color w:val="auto"/>
              </w:rPr>
            </w:pPr>
          </w:p>
        </w:tc>
      </w:tr>
      <w:tr>
        <w:trPr>
          <w:trHeight w:val="152"/>
        </w:trPr>
        <w:tc>
          <w:tcPr>
            <w:tcW w:w="3820" w:type="dxa"/>
            <w:vAlign w:val="bottom"/>
          </w:tcPr>
          <w:p>
            <w:pPr>
              <w:ind w:left="180"/>
              <w:spacing w:after="0"/>
              <w:rPr>
                <w:sz w:val="20"/>
                <w:szCs w:val="20"/>
                <w:color w:val="auto"/>
              </w:rPr>
            </w:pPr>
            <w:r>
              <w:rPr>
                <w:rFonts w:ascii="Arial" w:cs="Arial" w:eastAsia="Arial" w:hAnsi="Arial"/>
                <w:sz w:val="12"/>
                <w:szCs w:val="12"/>
                <w:color w:val="auto"/>
              </w:rPr>
              <w:t>U.S. Government</w:t>
            </w:r>
          </w:p>
        </w:tc>
        <w:tc>
          <w:tcPr>
            <w:tcW w:w="760" w:type="dxa"/>
            <w:vAlign w:val="bottom"/>
          </w:tcPr>
          <w:p>
            <w:pPr>
              <w:spacing w:after="0"/>
              <w:rPr>
                <w:sz w:val="13"/>
                <w:szCs w:val="13"/>
                <w:color w:val="auto"/>
              </w:rPr>
            </w:pPr>
          </w:p>
        </w:tc>
        <w:tc>
          <w:tcPr>
            <w:tcW w:w="360" w:type="dxa"/>
            <w:vAlign w:val="bottom"/>
          </w:tcPr>
          <w:p>
            <w:pPr>
              <w:jc w:val="right"/>
              <w:ind w:right="1"/>
              <w:spacing w:after="0"/>
              <w:rPr>
                <w:sz w:val="20"/>
                <w:szCs w:val="20"/>
                <w:color w:val="auto"/>
              </w:rPr>
            </w:pPr>
            <w:r>
              <w:rPr>
                <w:rFonts w:ascii="Arial" w:cs="Arial" w:eastAsia="Arial" w:hAnsi="Arial"/>
                <w:sz w:val="12"/>
                <w:szCs w:val="12"/>
                <w:color w:val="auto"/>
              </w:rPr>
              <w:t>805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805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805</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Foreign Governments</w:t>
            </w:r>
          </w:p>
        </w:tc>
        <w:tc>
          <w:tcPr>
            <w:tcW w:w="7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w:t>
            </w:r>
          </w:p>
        </w:tc>
        <w:tc>
          <w:tcPr>
            <w:tcW w:w="0" w:type="dxa"/>
            <w:vAlign w:val="bottom"/>
          </w:tcPr>
          <w:p>
            <w:pPr>
              <w:spacing w:after="0"/>
              <w:rPr>
                <w:sz w:val="1"/>
                <w:szCs w:val="1"/>
                <w:color w:val="auto"/>
              </w:rPr>
            </w:pPr>
          </w:p>
        </w:tc>
      </w:tr>
      <w:tr>
        <w:trPr>
          <w:trHeight w:val="152"/>
        </w:trPr>
        <w:tc>
          <w:tcPr>
            <w:tcW w:w="3820" w:type="dxa"/>
            <w:vAlign w:val="bottom"/>
          </w:tcPr>
          <w:p>
            <w:pPr>
              <w:ind w:left="20"/>
              <w:spacing w:after="0"/>
              <w:rPr>
                <w:sz w:val="20"/>
                <w:szCs w:val="20"/>
                <w:color w:val="auto"/>
              </w:rPr>
            </w:pPr>
            <w:r>
              <w:rPr>
                <w:rFonts w:ascii="Arial" w:cs="Arial" w:eastAsia="Arial" w:hAnsi="Arial"/>
                <w:sz w:val="12"/>
                <w:szCs w:val="12"/>
                <w:color w:val="auto"/>
              </w:rPr>
              <w:t>Equity securities</w:t>
            </w:r>
          </w:p>
        </w:tc>
        <w:tc>
          <w:tcPr>
            <w:tcW w:w="760" w:type="dxa"/>
            <w:vAlign w:val="bottom"/>
          </w:tcPr>
          <w:p>
            <w:pPr>
              <w:spacing w:after="0"/>
              <w:rPr>
                <w:sz w:val="13"/>
                <w:szCs w:val="13"/>
                <w:color w:val="auto"/>
              </w:rPr>
            </w:pPr>
          </w:p>
        </w:tc>
        <w:tc>
          <w:tcPr>
            <w:tcW w:w="360" w:type="dxa"/>
            <w:vAlign w:val="bottom"/>
          </w:tcPr>
          <w:p>
            <w:pPr>
              <w:jc w:val="right"/>
              <w:ind w:right="1"/>
              <w:spacing w:after="0"/>
              <w:rPr>
                <w:sz w:val="20"/>
                <w:szCs w:val="20"/>
                <w:color w:val="auto"/>
              </w:rPr>
            </w:pPr>
            <w:r>
              <w:rPr>
                <w:rFonts w:ascii="Arial" w:cs="Arial" w:eastAsia="Arial" w:hAnsi="Arial"/>
                <w:sz w:val="12"/>
                <w:szCs w:val="12"/>
                <w:color w:val="auto"/>
                <w:w w:val="93"/>
              </w:rPr>
              <w:t>1,349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1,358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1,358</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Preferred securities</w:t>
            </w:r>
          </w:p>
        </w:tc>
        <w:tc>
          <w:tcPr>
            <w:tcW w:w="76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448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751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1,202</w:t>
            </w:r>
          </w:p>
        </w:tc>
        <w:tc>
          <w:tcPr>
            <w:tcW w:w="0" w:type="dxa"/>
            <w:vAlign w:val="bottom"/>
          </w:tcPr>
          <w:p>
            <w:pPr>
              <w:spacing w:after="0"/>
              <w:rPr>
                <w:sz w:val="1"/>
                <w:szCs w:val="1"/>
                <w:color w:val="auto"/>
              </w:rPr>
            </w:pPr>
          </w:p>
        </w:tc>
      </w:tr>
      <w:tr>
        <w:trPr>
          <w:trHeight w:val="152"/>
        </w:trPr>
        <w:tc>
          <w:tcPr>
            <w:tcW w:w="3820" w:type="dxa"/>
            <w:vAlign w:val="bottom"/>
          </w:tcPr>
          <w:p>
            <w:pPr>
              <w:ind w:left="20"/>
              <w:spacing w:after="0"/>
              <w:rPr>
                <w:sz w:val="20"/>
                <w:szCs w:val="20"/>
                <w:color w:val="auto"/>
              </w:rPr>
            </w:pPr>
            <w:r>
              <w:rPr>
                <w:rFonts w:ascii="Arial" w:cs="Arial" w:eastAsia="Arial" w:hAnsi="Arial"/>
                <w:sz w:val="12"/>
                <w:szCs w:val="12"/>
                <w:color w:val="auto"/>
              </w:rPr>
              <w:t>Derivative investments</w:t>
            </w:r>
          </w:p>
        </w:tc>
        <w:tc>
          <w:tcPr>
            <w:tcW w:w="76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581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581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581</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Short term investments</w:t>
            </w:r>
          </w:p>
        </w:tc>
        <w:tc>
          <w:tcPr>
            <w:tcW w:w="76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333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192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527</w:t>
            </w:r>
          </w:p>
        </w:tc>
        <w:tc>
          <w:tcPr>
            <w:tcW w:w="0" w:type="dxa"/>
            <w:vAlign w:val="bottom"/>
          </w:tcPr>
          <w:p>
            <w:pPr>
              <w:spacing w:after="0"/>
              <w:rPr>
                <w:sz w:val="1"/>
                <w:szCs w:val="1"/>
                <w:color w:val="auto"/>
              </w:rPr>
            </w:pPr>
          </w:p>
        </w:tc>
      </w:tr>
      <w:tr>
        <w:trPr>
          <w:trHeight w:val="152"/>
        </w:trPr>
        <w:tc>
          <w:tcPr>
            <w:tcW w:w="3820" w:type="dxa"/>
            <w:vAlign w:val="bottom"/>
          </w:tcPr>
          <w:p>
            <w:pPr>
              <w:ind w:left="20"/>
              <w:spacing w:after="0"/>
              <w:rPr>
                <w:sz w:val="20"/>
                <w:szCs w:val="20"/>
                <w:color w:val="auto"/>
              </w:rPr>
            </w:pPr>
            <w:r>
              <w:rPr>
                <w:rFonts w:ascii="Arial" w:cs="Arial" w:eastAsia="Arial" w:hAnsi="Arial"/>
                <w:sz w:val="12"/>
                <w:szCs w:val="12"/>
                <w:color w:val="auto"/>
              </w:rPr>
              <w:t>Other long-term investments</w:t>
            </w:r>
          </w:p>
        </w:tc>
        <w:tc>
          <w:tcPr>
            <w:tcW w:w="76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51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73"/>
        </w:trPr>
        <w:tc>
          <w:tcPr>
            <w:tcW w:w="38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2"/>
                <w:szCs w:val="12"/>
                <w:color w:val="auto"/>
              </w:rPr>
              <w:t>Total financial assets at fair value</w:t>
            </w:r>
          </w:p>
        </w:tc>
        <w:tc>
          <w:tcPr>
            <w:tcW w:w="76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93"/>
              </w:rPr>
              <w:t>8,252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25,947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5,103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39,302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39,302</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vMerge w:val="restart"/>
          </w:tcPr>
          <w:p>
            <w:pPr>
              <w:ind w:left="20"/>
              <w:spacing w:after="0" w:line="135" w:lineRule="exact"/>
              <w:rPr>
                <w:sz w:val="20"/>
                <w:szCs w:val="20"/>
                <w:color w:val="auto"/>
              </w:rPr>
            </w:pPr>
            <w:r>
              <w:rPr>
                <w:rFonts w:ascii="Arial" w:cs="Arial" w:eastAsia="Arial" w:hAnsi="Arial"/>
                <w:sz w:val="12"/>
                <w:szCs w:val="12"/>
                <w:b w:val="1"/>
                <w:bCs w:val="1"/>
                <w:color w:val="auto"/>
              </w:rPr>
              <w:t>Liabilities</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82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3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Derivatives:</w:t>
            </w:r>
          </w:p>
        </w:tc>
        <w:tc>
          <w:tcPr>
            <w:tcW w:w="7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820" w:type="dxa"/>
            <w:vAlign w:val="bottom"/>
          </w:tcPr>
          <w:p>
            <w:pPr>
              <w:ind w:left="180"/>
              <w:spacing w:after="0"/>
              <w:rPr>
                <w:sz w:val="20"/>
                <w:szCs w:val="20"/>
                <w:color w:val="auto"/>
              </w:rPr>
            </w:pPr>
            <w:r>
              <w:rPr>
                <w:rFonts w:ascii="Arial" w:cs="Arial" w:eastAsia="Arial" w:hAnsi="Arial"/>
                <w:sz w:val="12"/>
                <w:szCs w:val="12"/>
                <w:color w:val="auto"/>
              </w:rPr>
              <w:t>FIA embedded derivatives, included in contractholder funds</w:t>
            </w:r>
          </w:p>
        </w:tc>
        <w:tc>
          <w:tcPr>
            <w:tcW w:w="76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3,439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3,439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3,439</w:t>
            </w:r>
          </w:p>
        </w:tc>
        <w:tc>
          <w:tcPr>
            <w:tcW w:w="0" w:type="dxa"/>
            <w:vAlign w:val="bottom"/>
          </w:tcPr>
          <w:p>
            <w:pPr>
              <w:spacing w:after="0"/>
              <w:rPr>
                <w:sz w:val="1"/>
                <w:szCs w:val="1"/>
                <w:color w:val="auto"/>
              </w:rPr>
            </w:pPr>
          </w:p>
        </w:tc>
      </w:tr>
      <w:tr>
        <w:trPr>
          <w:trHeight w:val="113"/>
        </w:trPr>
        <w:tc>
          <w:tcPr>
            <w:tcW w:w="3820" w:type="dxa"/>
            <w:vAlign w:val="bottom"/>
            <w:shd w:val="clear" w:color="auto" w:fill="CCEEFF"/>
          </w:tcPr>
          <w:p>
            <w:pPr>
              <w:ind w:left="180"/>
              <w:spacing w:after="0" w:line="113" w:lineRule="exact"/>
              <w:rPr>
                <w:sz w:val="20"/>
                <w:szCs w:val="20"/>
                <w:color w:val="auto"/>
              </w:rPr>
            </w:pPr>
            <w:r>
              <w:rPr>
                <w:rFonts w:ascii="Arial" w:cs="Arial" w:eastAsia="Arial" w:hAnsi="Arial"/>
                <w:sz w:val="12"/>
                <w:szCs w:val="12"/>
                <w:color w:val="auto"/>
                <w:w w:val="87"/>
              </w:rPr>
              <w:t>Reinsurance related embedded derivatives, included in accounts payable and</w:t>
            </w:r>
          </w:p>
        </w:tc>
        <w:tc>
          <w:tcPr>
            <w:tcW w:w="76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84</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84</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84</w:t>
            </w:r>
          </w:p>
        </w:tc>
        <w:tc>
          <w:tcPr>
            <w:tcW w:w="0" w:type="dxa"/>
            <w:vAlign w:val="bottom"/>
          </w:tcPr>
          <w:p>
            <w:pPr>
              <w:spacing w:after="0"/>
              <w:rPr>
                <w:sz w:val="1"/>
                <w:szCs w:val="1"/>
                <w:color w:val="auto"/>
              </w:rPr>
            </w:pPr>
          </w:p>
        </w:tc>
      </w:tr>
      <w:tr>
        <w:trPr>
          <w:trHeight w:val="155"/>
        </w:trPr>
        <w:tc>
          <w:tcPr>
            <w:tcW w:w="3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accrued liabilities</w:t>
            </w:r>
          </w:p>
        </w:tc>
        <w:tc>
          <w:tcPr>
            <w:tcW w:w="76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820" w:type="dxa"/>
            <w:vAlign w:val="bottom"/>
          </w:tcPr>
          <w:p>
            <w:pPr>
              <w:ind w:left="380"/>
              <w:spacing w:after="0"/>
              <w:rPr>
                <w:sz w:val="20"/>
                <w:szCs w:val="20"/>
                <w:color w:val="auto"/>
              </w:rPr>
            </w:pPr>
            <w:r>
              <w:rPr>
                <w:rFonts w:ascii="Arial" w:cs="Arial" w:eastAsia="Arial" w:hAnsi="Arial"/>
                <w:sz w:val="12"/>
                <w:szCs w:val="12"/>
                <w:color w:val="auto"/>
              </w:rPr>
              <w:t>Total financial liabilities at fair value</w:t>
            </w:r>
          </w:p>
        </w:tc>
        <w:tc>
          <w:tcPr>
            <w:tcW w:w="7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84</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3,439</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3,523</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3,523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9" w:name="page20"/>
    <w:bookmarkEnd w:id="19"/>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600" w:type="dxa"/>
        <w:tblCellMar>
          <w:top w:w="0" w:type="dxa"/>
          <w:left w:w="0" w:type="dxa"/>
          <w:bottom w:w="0" w:type="dxa"/>
          <w:right w:w="0" w:type="dxa"/>
        </w:tblCellMar>
      </w:tblPr>
      <w:tr>
        <w:trPr>
          <w:trHeight w:val="156"/>
        </w:trPr>
        <w:tc>
          <w:tcPr>
            <w:tcW w:w="40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2"/>
                <w:szCs w:val="12"/>
                <w:b w:val="1"/>
                <w:bCs w:val="1"/>
                <w:color w:val="auto"/>
                <w:w w:val="86"/>
              </w:rPr>
              <w:t>December 31, 2020</w:t>
            </w: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Level 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ind w:left="160"/>
              <w:spacing w:after="0"/>
              <w:rPr>
                <w:sz w:val="20"/>
                <w:szCs w:val="20"/>
                <w:color w:val="auto"/>
              </w:rPr>
            </w:pPr>
            <w:r>
              <w:rPr>
                <w:rFonts w:ascii="Arial" w:cs="Arial" w:eastAsia="Arial" w:hAnsi="Arial"/>
                <w:sz w:val="12"/>
                <w:szCs w:val="12"/>
                <w:b w:val="1"/>
                <w:bCs w:val="1"/>
                <w:color w:val="auto"/>
              </w:rPr>
              <w:t>Level 2</w:t>
            </w:r>
          </w:p>
        </w:tc>
        <w:tc>
          <w:tcPr>
            <w:tcW w:w="80" w:type="dxa"/>
            <w:vAlign w:val="bottom"/>
          </w:tcPr>
          <w:p>
            <w:pPr>
              <w:spacing w:after="0"/>
              <w:rPr>
                <w:sz w:val="12"/>
                <w:szCs w:val="12"/>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Level 3</w:t>
            </w:r>
          </w:p>
        </w:tc>
        <w:tc>
          <w:tcPr>
            <w:tcW w:w="180" w:type="dxa"/>
            <w:vAlign w:val="bottom"/>
          </w:tcPr>
          <w:p>
            <w:pPr>
              <w:spacing w:after="0"/>
              <w:rPr>
                <w:sz w:val="12"/>
                <w:szCs w:val="12"/>
                <w:color w:val="auto"/>
              </w:rPr>
            </w:pP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Fair Value</w:t>
            </w:r>
          </w:p>
        </w:tc>
        <w:tc>
          <w:tcPr>
            <w:tcW w:w="100" w:type="dxa"/>
            <w:vAlign w:val="bottom"/>
          </w:tcPr>
          <w:p>
            <w:pPr>
              <w:spacing w:after="0"/>
              <w:rPr>
                <w:sz w:val="12"/>
                <w:szCs w:val="12"/>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b w:val="1"/>
                <w:bCs w:val="1"/>
                <w:color w:val="auto"/>
                <w:w w:val="91"/>
              </w:rPr>
              <w:t>Carrying Amount</w:t>
            </w:r>
          </w:p>
        </w:tc>
        <w:tc>
          <w:tcPr>
            <w:tcW w:w="0" w:type="dxa"/>
            <w:vAlign w:val="bottom"/>
          </w:tcPr>
          <w:p>
            <w:pPr>
              <w:spacing w:after="0"/>
              <w:rPr>
                <w:sz w:val="1"/>
                <w:szCs w:val="1"/>
                <w:color w:val="auto"/>
              </w:rPr>
            </w:pPr>
          </w:p>
        </w:tc>
      </w:tr>
      <w:tr>
        <w:trPr>
          <w:trHeight w:val="136"/>
        </w:trPr>
        <w:tc>
          <w:tcPr>
            <w:tcW w:w="402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2"/>
                <w:szCs w:val="12"/>
                <w:b w:val="1"/>
                <w:bCs w:val="1"/>
                <w:color w:val="auto"/>
              </w:rPr>
              <w:t>Assets</w:t>
            </w:r>
          </w:p>
        </w:tc>
        <w:tc>
          <w:tcPr>
            <w:tcW w:w="7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4020" w:type="dxa"/>
            <w:vAlign w:val="bottom"/>
          </w:tcPr>
          <w:p>
            <w:pPr>
              <w:ind w:left="20"/>
              <w:spacing w:after="0"/>
              <w:rPr>
                <w:sz w:val="20"/>
                <w:szCs w:val="20"/>
                <w:color w:val="auto"/>
              </w:rPr>
            </w:pPr>
            <w:r>
              <w:rPr>
                <w:rFonts w:ascii="Arial" w:cs="Arial" w:eastAsia="Arial" w:hAnsi="Arial"/>
                <w:sz w:val="12"/>
                <w:szCs w:val="12"/>
                <w:color w:val="auto"/>
              </w:rPr>
              <w:t>Cash and cash equivalents</w:t>
            </w:r>
          </w:p>
        </w:tc>
        <w:tc>
          <w:tcPr>
            <w:tcW w:w="780" w:type="dxa"/>
            <w:vAlign w:val="bottom"/>
          </w:tcPr>
          <w:p>
            <w:pPr>
              <w:jc w:val="right"/>
              <w:ind w:right="641"/>
              <w:spacing w:after="0"/>
              <w:rPr>
                <w:sz w:val="20"/>
                <w:szCs w:val="20"/>
                <w:color w:val="auto"/>
              </w:rPr>
            </w:pPr>
            <w:r>
              <w:rPr>
                <w:rFonts w:ascii="Arial" w:cs="Arial" w:eastAsia="Arial" w:hAnsi="Arial"/>
                <w:sz w:val="12"/>
                <w:szCs w:val="12"/>
                <w:color w:val="auto"/>
                <w:w w:val="89"/>
              </w:rPr>
              <w:t>$</w:t>
            </w:r>
          </w:p>
        </w:tc>
        <w:tc>
          <w:tcPr>
            <w:tcW w:w="340" w:type="dxa"/>
            <w:vAlign w:val="bottom"/>
          </w:tcPr>
          <w:p>
            <w:pPr>
              <w:jc w:val="right"/>
              <w:spacing w:after="0"/>
              <w:rPr>
                <w:sz w:val="20"/>
                <w:szCs w:val="20"/>
                <w:color w:val="auto"/>
              </w:rPr>
            </w:pPr>
            <w:r>
              <w:rPr>
                <w:rFonts w:ascii="Arial" w:cs="Arial" w:eastAsia="Arial" w:hAnsi="Arial"/>
                <w:sz w:val="12"/>
                <w:szCs w:val="12"/>
                <w:color w:val="auto"/>
                <w:w w:val="93"/>
              </w:rPr>
              <w:t>2,719</w:t>
            </w:r>
          </w:p>
        </w:tc>
        <w:tc>
          <w:tcPr>
            <w:tcW w:w="100" w:type="dxa"/>
            <w:vAlign w:val="bottom"/>
          </w:tcPr>
          <w:p>
            <w:pPr>
              <w:spacing w:after="0"/>
              <w:rPr>
                <w:sz w:val="13"/>
                <w:szCs w:val="13"/>
                <w:color w:val="auto"/>
              </w:rPr>
            </w:pPr>
          </w:p>
        </w:tc>
        <w:tc>
          <w:tcPr>
            <w:tcW w:w="240" w:type="dxa"/>
            <w:vAlign w:val="bottom"/>
          </w:tcPr>
          <w:p>
            <w:pPr>
              <w:jc w:val="right"/>
              <w:ind w:right="101"/>
              <w:spacing w:after="0"/>
              <w:rPr>
                <w:sz w:val="20"/>
                <w:szCs w:val="20"/>
                <w:color w:val="auto"/>
              </w:rPr>
            </w:pPr>
            <w:r>
              <w:rPr>
                <w:rFonts w:ascii="Arial" w:cs="Arial" w:eastAsia="Arial" w:hAnsi="Arial"/>
                <w:sz w:val="12"/>
                <w:szCs w:val="12"/>
                <w:color w:val="auto"/>
                <w:w w:val="89"/>
              </w:rPr>
              <w:t>$</w:t>
            </w: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2,719</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2,719</w:t>
            </w:r>
          </w:p>
        </w:tc>
        <w:tc>
          <w:tcPr>
            <w:tcW w:w="0" w:type="dxa"/>
            <w:vAlign w:val="bottom"/>
          </w:tcPr>
          <w:p>
            <w:pPr>
              <w:spacing w:after="0"/>
              <w:rPr>
                <w:sz w:val="1"/>
                <w:szCs w:val="1"/>
                <w:color w:val="auto"/>
              </w:rPr>
            </w:pPr>
          </w:p>
        </w:tc>
      </w:tr>
      <w:tr>
        <w:trPr>
          <w:trHeight w:val="157"/>
        </w:trPr>
        <w:tc>
          <w:tcPr>
            <w:tcW w:w="4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Fixed maturity securities, available-for-sale:</w:t>
            </w:r>
          </w:p>
        </w:tc>
        <w:tc>
          <w:tcPr>
            <w:tcW w:w="7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020" w:type="dxa"/>
            <w:vAlign w:val="bottom"/>
          </w:tcPr>
          <w:p>
            <w:pPr>
              <w:ind w:left="180"/>
              <w:spacing w:after="0"/>
              <w:rPr>
                <w:sz w:val="20"/>
                <w:szCs w:val="20"/>
                <w:color w:val="auto"/>
              </w:rPr>
            </w:pPr>
            <w:r>
              <w:rPr>
                <w:rFonts w:ascii="Arial" w:cs="Arial" w:eastAsia="Arial" w:hAnsi="Arial"/>
                <w:sz w:val="12"/>
                <w:szCs w:val="12"/>
                <w:color w:val="auto"/>
              </w:rPr>
              <w:t>Asset-backed securities</w:t>
            </w:r>
          </w:p>
        </w:tc>
        <w:tc>
          <w:tcPr>
            <w:tcW w:w="78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4,916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1,350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6,266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6,266</w:t>
            </w:r>
          </w:p>
        </w:tc>
        <w:tc>
          <w:tcPr>
            <w:tcW w:w="0" w:type="dxa"/>
            <w:vAlign w:val="bottom"/>
          </w:tcPr>
          <w:p>
            <w:pPr>
              <w:spacing w:after="0"/>
              <w:rPr>
                <w:sz w:val="1"/>
                <w:szCs w:val="1"/>
                <w:color w:val="auto"/>
              </w:rPr>
            </w:pPr>
          </w:p>
        </w:tc>
      </w:tr>
      <w:tr>
        <w:trPr>
          <w:trHeight w:val="157"/>
        </w:trPr>
        <w:tc>
          <w:tcPr>
            <w:tcW w:w="40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Commercial mortgage-backed securities</w:t>
            </w:r>
          </w:p>
        </w:tc>
        <w:tc>
          <w:tcPr>
            <w:tcW w:w="7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2,803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2,829</w:t>
            </w:r>
          </w:p>
        </w:tc>
        <w:tc>
          <w:tcPr>
            <w:tcW w:w="0" w:type="dxa"/>
            <w:vAlign w:val="bottom"/>
          </w:tcPr>
          <w:p>
            <w:pPr>
              <w:spacing w:after="0"/>
              <w:rPr>
                <w:sz w:val="1"/>
                <w:szCs w:val="1"/>
                <w:color w:val="auto"/>
              </w:rPr>
            </w:pPr>
          </w:p>
        </w:tc>
      </w:tr>
      <w:tr>
        <w:trPr>
          <w:trHeight w:val="152"/>
        </w:trPr>
        <w:tc>
          <w:tcPr>
            <w:tcW w:w="4020" w:type="dxa"/>
            <w:vAlign w:val="bottom"/>
          </w:tcPr>
          <w:p>
            <w:pPr>
              <w:ind w:left="180"/>
              <w:spacing w:after="0"/>
              <w:rPr>
                <w:sz w:val="20"/>
                <w:szCs w:val="20"/>
                <w:color w:val="auto"/>
              </w:rPr>
            </w:pPr>
            <w:r>
              <w:rPr>
                <w:rFonts w:ascii="Arial" w:cs="Arial" w:eastAsia="Arial" w:hAnsi="Arial"/>
                <w:sz w:val="12"/>
                <w:szCs w:val="12"/>
                <w:color w:val="auto"/>
              </w:rPr>
              <w:t>Corporates</w:t>
            </w:r>
          </w:p>
        </w:tc>
        <w:tc>
          <w:tcPr>
            <w:tcW w:w="7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13,421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1,289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14,735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14,735</w:t>
            </w:r>
          </w:p>
        </w:tc>
        <w:tc>
          <w:tcPr>
            <w:tcW w:w="0" w:type="dxa"/>
            <w:vAlign w:val="bottom"/>
          </w:tcPr>
          <w:p>
            <w:pPr>
              <w:spacing w:after="0"/>
              <w:rPr>
                <w:sz w:val="1"/>
                <w:szCs w:val="1"/>
                <w:color w:val="auto"/>
              </w:rPr>
            </w:pPr>
          </w:p>
        </w:tc>
      </w:tr>
      <w:tr>
        <w:trPr>
          <w:trHeight w:val="157"/>
        </w:trPr>
        <w:tc>
          <w:tcPr>
            <w:tcW w:w="40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Hybrids</w:t>
            </w:r>
          </w:p>
        </w:tc>
        <w:tc>
          <w:tcPr>
            <w:tcW w:w="7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815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994</w:t>
            </w:r>
          </w:p>
        </w:tc>
        <w:tc>
          <w:tcPr>
            <w:tcW w:w="0" w:type="dxa"/>
            <w:vAlign w:val="bottom"/>
          </w:tcPr>
          <w:p>
            <w:pPr>
              <w:spacing w:after="0"/>
              <w:rPr>
                <w:sz w:val="1"/>
                <w:szCs w:val="1"/>
                <w:color w:val="auto"/>
              </w:rPr>
            </w:pPr>
          </w:p>
        </w:tc>
      </w:tr>
      <w:tr>
        <w:trPr>
          <w:trHeight w:val="152"/>
        </w:trPr>
        <w:tc>
          <w:tcPr>
            <w:tcW w:w="4020" w:type="dxa"/>
            <w:vAlign w:val="bottom"/>
          </w:tcPr>
          <w:p>
            <w:pPr>
              <w:ind w:left="180"/>
              <w:spacing w:after="0"/>
              <w:rPr>
                <w:sz w:val="20"/>
                <w:szCs w:val="20"/>
                <w:color w:val="auto"/>
              </w:rPr>
            </w:pPr>
            <w:r>
              <w:rPr>
                <w:rFonts w:ascii="Arial" w:cs="Arial" w:eastAsia="Arial" w:hAnsi="Arial"/>
                <w:sz w:val="12"/>
                <w:szCs w:val="12"/>
                <w:color w:val="auto"/>
              </w:rPr>
              <w:t>Municipals</w:t>
            </w:r>
          </w:p>
        </w:tc>
        <w:tc>
          <w:tcPr>
            <w:tcW w:w="78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1,360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43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1,403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1,403</w:t>
            </w:r>
          </w:p>
        </w:tc>
        <w:tc>
          <w:tcPr>
            <w:tcW w:w="0" w:type="dxa"/>
            <w:vAlign w:val="bottom"/>
          </w:tcPr>
          <w:p>
            <w:pPr>
              <w:spacing w:after="0"/>
              <w:rPr>
                <w:sz w:val="1"/>
                <w:szCs w:val="1"/>
                <w:color w:val="auto"/>
              </w:rPr>
            </w:pPr>
          </w:p>
        </w:tc>
      </w:tr>
      <w:tr>
        <w:trPr>
          <w:trHeight w:val="157"/>
        </w:trPr>
        <w:tc>
          <w:tcPr>
            <w:tcW w:w="40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Residential mortgage-backed securities</w:t>
            </w:r>
          </w:p>
        </w:tc>
        <w:tc>
          <w:tcPr>
            <w:tcW w:w="7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342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483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825</w:t>
            </w:r>
          </w:p>
        </w:tc>
        <w:tc>
          <w:tcPr>
            <w:tcW w:w="0" w:type="dxa"/>
            <w:vAlign w:val="bottom"/>
          </w:tcPr>
          <w:p>
            <w:pPr>
              <w:spacing w:after="0"/>
              <w:rPr>
                <w:sz w:val="1"/>
                <w:szCs w:val="1"/>
                <w:color w:val="auto"/>
              </w:rPr>
            </w:pPr>
          </w:p>
        </w:tc>
      </w:tr>
      <w:tr>
        <w:trPr>
          <w:trHeight w:val="152"/>
        </w:trPr>
        <w:tc>
          <w:tcPr>
            <w:tcW w:w="4020" w:type="dxa"/>
            <w:vAlign w:val="bottom"/>
          </w:tcPr>
          <w:p>
            <w:pPr>
              <w:ind w:left="180"/>
              <w:spacing w:after="0"/>
              <w:rPr>
                <w:sz w:val="20"/>
                <w:szCs w:val="20"/>
                <w:color w:val="auto"/>
              </w:rPr>
            </w:pPr>
            <w:r>
              <w:rPr>
                <w:rFonts w:ascii="Arial" w:cs="Arial" w:eastAsia="Arial" w:hAnsi="Arial"/>
                <w:sz w:val="12"/>
                <w:szCs w:val="12"/>
                <w:color w:val="auto"/>
              </w:rPr>
              <w:t>U.S. Government</w:t>
            </w:r>
          </w:p>
        </w:tc>
        <w:tc>
          <w:tcPr>
            <w:tcW w:w="7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342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342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342</w:t>
            </w:r>
          </w:p>
        </w:tc>
        <w:tc>
          <w:tcPr>
            <w:tcW w:w="0" w:type="dxa"/>
            <w:vAlign w:val="bottom"/>
          </w:tcPr>
          <w:p>
            <w:pPr>
              <w:spacing w:after="0"/>
              <w:rPr>
                <w:sz w:val="1"/>
                <w:szCs w:val="1"/>
                <w:color w:val="auto"/>
              </w:rPr>
            </w:pPr>
          </w:p>
        </w:tc>
      </w:tr>
      <w:tr>
        <w:trPr>
          <w:trHeight w:val="157"/>
        </w:trPr>
        <w:tc>
          <w:tcPr>
            <w:tcW w:w="40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Foreign Governments</w:t>
            </w:r>
          </w:p>
        </w:tc>
        <w:tc>
          <w:tcPr>
            <w:tcW w:w="7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w:t>
            </w:r>
          </w:p>
        </w:tc>
        <w:tc>
          <w:tcPr>
            <w:tcW w:w="0" w:type="dxa"/>
            <w:vAlign w:val="bottom"/>
          </w:tcPr>
          <w:p>
            <w:pPr>
              <w:spacing w:after="0"/>
              <w:rPr>
                <w:sz w:val="1"/>
                <w:szCs w:val="1"/>
                <w:color w:val="auto"/>
              </w:rPr>
            </w:pPr>
          </w:p>
        </w:tc>
      </w:tr>
      <w:tr>
        <w:trPr>
          <w:trHeight w:val="152"/>
        </w:trPr>
        <w:tc>
          <w:tcPr>
            <w:tcW w:w="4020" w:type="dxa"/>
            <w:vAlign w:val="bottom"/>
          </w:tcPr>
          <w:p>
            <w:pPr>
              <w:ind w:left="20"/>
              <w:spacing w:after="0"/>
              <w:rPr>
                <w:sz w:val="20"/>
                <w:szCs w:val="20"/>
                <w:color w:val="auto"/>
              </w:rPr>
            </w:pPr>
            <w:r>
              <w:rPr>
                <w:rFonts w:ascii="Arial" w:cs="Arial" w:eastAsia="Arial" w:hAnsi="Arial"/>
                <w:sz w:val="12"/>
                <w:szCs w:val="12"/>
                <w:color w:val="auto"/>
              </w:rPr>
              <w:t>Equity securities</w:t>
            </w:r>
          </w:p>
        </w:tc>
        <w:tc>
          <w:tcPr>
            <w:tcW w:w="7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791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796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796</w:t>
            </w:r>
          </w:p>
        </w:tc>
        <w:tc>
          <w:tcPr>
            <w:tcW w:w="0" w:type="dxa"/>
            <w:vAlign w:val="bottom"/>
          </w:tcPr>
          <w:p>
            <w:pPr>
              <w:spacing w:after="0"/>
              <w:rPr>
                <w:sz w:val="1"/>
                <w:szCs w:val="1"/>
                <w:color w:val="auto"/>
              </w:rPr>
            </w:pPr>
          </w:p>
        </w:tc>
      </w:tr>
      <w:tr>
        <w:trPr>
          <w:trHeight w:val="157"/>
        </w:trPr>
        <w:tc>
          <w:tcPr>
            <w:tcW w:w="4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Preferred securities</w:t>
            </w:r>
          </w:p>
        </w:tc>
        <w:tc>
          <w:tcPr>
            <w:tcW w:w="7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851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1,341</w:t>
            </w:r>
          </w:p>
        </w:tc>
        <w:tc>
          <w:tcPr>
            <w:tcW w:w="0" w:type="dxa"/>
            <w:vAlign w:val="bottom"/>
          </w:tcPr>
          <w:p>
            <w:pPr>
              <w:spacing w:after="0"/>
              <w:rPr>
                <w:sz w:val="1"/>
                <w:szCs w:val="1"/>
                <w:color w:val="auto"/>
              </w:rPr>
            </w:pPr>
          </w:p>
        </w:tc>
      </w:tr>
      <w:tr>
        <w:trPr>
          <w:trHeight w:val="152"/>
        </w:trPr>
        <w:tc>
          <w:tcPr>
            <w:tcW w:w="4020" w:type="dxa"/>
            <w:vAlign w:val="bottom"/>
          </w:tcPr>
          <w:p>
            <w:pPr>
              <w:ind w:left="20"/>
              <w:spacing w:after="0"/>
              <w:rPr>
                <w:sz w:val="20"/>
                <w:szCs w:val="20"/>
                <w:color w:val="auto"/>
              </w:rPr>
            </w:pPr>
            <w:r>
              <w:rPr>
                <w:rFonts w:ascii="Arial" w:cs="Arial" w:eastAsia="Arial" w:hAnsi="Arial"/>
                <w:sz w:val="12"/>
                <w:szCs w:val="12"/>
                <w:color w:val="auto"/>
              </w:rPr>
              <w:t>Subscription agreements (1)</w:t>
            </w:r>
          </w:p>
        </w:tc>
        <w:tc>
          <w:tcPr>
            <w:tcW w:w="78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199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199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199</w:t>
            </w:r>
          </w:p>
        </w:tc>
        <w:tc>
          <w:tcPr>
            <w:tcW w:w="0" w:type="dxa"/>
            <w:vAlign w:val="bottom"/>
          </w:tcPr>
          <w:p>
            <w:pPr>
              <w:spacing w:after="0"/>
              <w:rPr>
                <w:sz w:val="1"/>
                <w:szCs w:val="1"/>
                <w:color w:val="auto"/>
              </w:rPr>
            </w:pPr>
          </w:p>
        </w:tc>
      </w:tr>
      <w:tr>
        <w:trPr>
          <w:trHeight w:val="157"/>
        </w:trPr>
        <w:tc>
          <w:tcPr>
            <w:tcW w:w="4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Derivative investments</w:t>
            </w:r>
          </w:p>
        </w:tc>
        <w:tc>
          <w:tcPr>
            <w:tcW w:w="7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548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548</w:t>
            </w:r>
          </w:p>
        </w:tc>
        <w:tc>
          <w:tcPr>
            <w:tcW w:w="0" w:type="dxa"/>
            <w:vAlign w:val="bottom"/>
          </w:tcPr>
          <w:p>
            <w:pPr>
              <w:spacing w:after="0"/>
              <w:rPr>
                <w:sz w:val="1"/>
                <w:szCs w:val="1"/>
                <w:color w:val="auto"/>
              </w:rPr>
            </w:pPr>
          </w:p>
        </w:tc>
      </w:tr>
      <w:tr>
        <w:trPr>
          <w:trHeight w:val="152"/>
        </w:trPr>
        <w:tc>
          <w:tcPr>
            <w:tcW w:w="4020" w:type="dxa"/>
            <w:vAlign w:val="bottom"/>
          </w:tcPr>
          <w:p>
            <w:pPr>
              <w:ind w:left="20"/>
              <w:spacing w:after="0"/>
              <w:rPr>
                <w:sz w:val="20"/>
                <w:szCs w:val="20"/>
                <w:color w:val="auto"/>
              </w:rPr>
            </w:pPr>
            <w:r>
              <w:rPr>
                <w:rFonts w:ascii="Arial" w:cs="Arial" w:eastAsia="Arial" w:hAnsi="Arial"/>
                <w:sz w:val="12"/>
                <w:szCs w:val="12"/>
                <w:color w:val="auto"/>
              </w:rPr>
              <w:t>Short term investments</w:t>
            </w:r>
          </w:p>
        </w:tc>
        <w:tc>
          <w:tcPr>
            <w:tcW w:w="7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769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769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769</w:t>
            </w:r>
          </w:p>
        </w:tc>
        <w:tc>
          <w:tcPr>
            <w:tcW w:w="0" w:type="dxa"/>
            <w:vAlign w:val="bottom"/>
          </w:tcPr>
          <w:p>
            <w:pPr>
              <w:spacing w:after="0"/>
              <w:rPr>
                <w:sz w:val="1"/>
                <w:szCs w:val="1"/>
                <w:color w:val="auto"/>
              </w:rPr>
            </w:pPr>
          </w:p>
        </w:tc>
      </w:tr>
      <w:tr>
        <w:trPr>
          <w:trHeight w:val="155"/>
        </w:trPr>
        <w:tc>
          <w:tcPr>
            <w:tcW w:w="4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long-term investments</w:t>
            </w:r>
          </w:p>
        </w:tc>
        <w:tc>
          <w:tcPr>
            <w:tcW w:w="7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48"/>
        </w:trPr>
        <w:tc>
          <w:tcPr>
            <w:tcW w:w="4020" w:type="dxa"/>
            <w:vAlign w:val="bottom"/>
          </w:tcPr>
          <w:p>
            <w:pPr>
              <w:ind w:left="380"/>
              <w:spacing w:after="0"/>
              <w:rPr>
                <w:sz w:val="20"/>
                <w:szCs w:val="20"/>
                <w:color w:val="auto"/>
              </w:rPr>
            </w:pPr>
            <w:r>
              <w:rPr>
                <w:rFonts w:ascii="Arial" w:cs="Arial" w:eastAsia="Arial" w:hAnsi="Arial"/>
                <w:sz w:val="12"/>
                <w:szCs w:val="12"/>
                <w:color w:val="auto"/>
              </w:rPr>
              <w:t>Total financial assets at fair value</w:t>
            </w:r>
          </w:p>
        </w:tc>
        <w:tc>
          <w:tcPr>
            <w:tcW w:w="78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3"/>
              </w:rPr>
              <w:t>5,311</w:t>
            </w: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25,431</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3,267</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34,009</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34,009</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020" w:type="dxa"/>
            <w:vAlign w:val="bottom"/>
            <w:shd w:val="clear" w:color="auto" w:fill="CCEEFF"/>
          </w:tcPr>
          <w:p>
            <w:pPr>
              <w:ind w:left="20"/>
              <w:spacing w:after="0" w:line="117" w:lineRule="exact"/>
              <w:rPr>
                <w:sz w:val="20"/>
                <w:szCs w:val="20"/>
                <w:color w:val="auto"/>
              </w:rPr>
            </w:pPr>
            <w:r>
              <w:rPr>
                <w:rFonts w:ascii="Arial" w:cs="Arial" w:eastAsia="Arial" w:hAnsi="Arial"/>
                <w:sz w:val="12"/>
                <w:szCs w:val="12"/>
                <w:b w:val="1"/>
                <w:bCs w:val="1"/>
                <w:color w:val="auto"/>
              </w:rPr>
              <w:t>Liabilities</w:t>
            </w:r>
          </w:p>
        </w:tc>
        <w:tc>
          <w:tcPr>
            <w:tcW w:w="7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4020" w:type="dxa"/>
            <w:vAlign w:val="bottom"/>
          </w:tcPr>
          <w:p>
            <w:pPr>
              <w:ind w:left="20"/>
              <w:spacing w:after="0"/>
              <w:rPr>
                <w:sz w:val="20"/>
                <w:szCs w:val="20"/>
                <w:color w:val="auto"/>
              </w:rPr>
            </w:pPr>
            <w:r>
              <w:rPr>
                <w:rFonts w:ascii="Arial" w:cs="Arial" w:eastAsia="Arial" w:hAnsi="Arial"/>
                <w:sz w:val="12"/>
                <w:szCs w:val="12"/>
                <w:color w:val="auto"/>
              </w:rPr>
              <w:t>Fair value of future policy benefits</w:t>
            </w:r>
          </w:p>
        </w:tc>
        <w:tc>
          <w:tcPr>
            <w:tcW w:w="78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57"/>
        </w:trPr>
        <w:tc>
          <w:tcPr>
            <w:tcW w:w="4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Derivatives:</w:t>
            </w:r>
          </w:p>
        </w:tc>
        <w:tc>
          <w:tcPr>
            <w:tcW w:w="7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020" w:type="dxa"/>
            <w:vAlign w:val="bottom"/>
          </w:tcPr>
          <w:p>
            <w:pPr>
              <w:ind w:left="180"/>
              <w:spacing w:after="0"/>
              <w:rPr>
                <w:sz w:val="20"/>
                <w:szCs w:val="20"/>
                <w:color w:val="auto"/>
              </w:rPr>
            </w:pPr>
            <w:r>
              <w:rPr>
                <w:rFonts w:ascii="Arial" w:cs="Arial" w:eastAsia="Arial" w:hAnsi="Arial"/>
                <w:sz w:val="12"/>
                <w:szCs w:val="12"/>
                <w:color w:val="auto"/>
              </w:rPr>
              <w:t>FIA embedded derivatives, included in contractholder funds</w:t>
            </w:r>
          </w:p>
        </w:tc>
        <w:tc>
          <w:tcPr>
            <w:tcW w:w="78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3,404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3,404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3,404</w:t>
            </w:r>
          </w:p>
        </w:tc>
        <w:tc>
          <w:tcPr>
            <w:tcW w:w="0" w:type="dxa"/>
            <w:vAlign w:val="bottom"/>
          </w:tcPr>
          <w:p>
            <w:pPr>
              <w:spacing w:after="0"/>
              <w:rPr>
                <w:sz w:val="1"/>
                <w:szCs w:val="1"/>
                <w:color w:val="auto"/>
              </w:rPr>
            </w:pPr>
          </w:p>
        </w:tc>
      </w:tr>
      <w:tr>
        <w:trPr>
          <w:trHeight w:val="113"/>
        </w:trPr>
        <w:tc>
          <w:tcPr>
            <w:tcW w:w="4020" w:type="dxa"/>
            <w:vAlign w:val="bottom"/>
            <w:shd w:val="clear" w:color="auto" w:fill="CCEEFF"/>
          </w:tcPr>
          <w:p>
            <w:pPr>
              <w:ind w:left="180"/>
              <w:spacing w:after="0" w:line="113" w:lineRule="exact"/>
              <w:rPr>
                <w:sz w:val="20"/>
                <w:szCs w:val="20"/>
                <w:color w:val="auto"/>
              </w:rPr>
            </w:pPr>
            <w:r>
              <w:rPr>
                <w:rFonts w:ascii="Arial" w:cs="Arial" w:eastAsia="Arial" w:hAnsi="Arial"/>
                <w:sz w:val="12"/>
                <w:szCs w:val="12"/>
                <w:color w:val="auto"/>
                <w:w w:val="92"/>
              </w:rPr>
              <w:t>Reinsurance related embedded derivatives, included in accounts payable and</w:t>
            </w:r>
          </w:p>
        </w:tc>
        <w:tc>
          <w:tcPr>
            <w:tcW w:w="780" w:type="dxa"/>
            <w:vAlign w:val="bottom"/>
            <w:shd w:val="clear" w:color="auto" w:fill="CCEEFF"/>
          </w:tcPr>
          <w:p>
            <w:pPr>
              <w:spacing w:after="0"/>
              <w:rPr>
                <w:sz w:val="9"/>
                <w:szCs w:val="9"/>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101</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101</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101</w:t>
            </w:r>
          </w:p>
        </w:tc>
        <w:tc>
          <w:tcPr>
            <w:tcW w:w="0" w:type="dxa"/>
            <w:vAlign w:val="bottom"/>
          </w:tcPr>
          <w:p>
            <w:pPr>
              <w:spacing w:after="0"/>
              <w:rPr>
                <w:sz w:val="1"/>
                <w:szCs w:val="1"/>
                <w:color w:val="auto"/>
              </w:rPr>
            </w:pPr>
          </w:p>
        </w:tc>
      </w:tr>
      <w:tr>
        <w:trPr>
          <w:trHeight w:val="155"/>
        </w:trPr>
        <w:tc>
          <w:tcPr>
            <w:tcW w:w="40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accrued liabilities</w:t>
            </w:r>
          </w:p>
        </w:tc>
        <w:tc>
          <w:tcPr>
            <w:tcW w:w="780" w:type="dxa"/>
            <w:vAlign w:val="bottom"/>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20" w:type="dxa"/>
            <w:vAlign w:val="bottom"/>
          </w:tcPr>
          <w:p>
            <w:pPr>
              <w:ind w:left="380"/>
              <w:spacing w:after="0"/>
              <w:rPr>
                <w:sz w:val="20"/>
                <w:szCs w:val="20"/>
                <w:color w:val="auto"/>
              </w:rPr>
            </w:pPr>
            <w:r>
              <w:rPr>
                <w:rFonts w:ascii="Arial" w:cs="Arial" w:eastAsia="Arial" w:hAnsi="Arial"/>
                <w:sz w:val="12"/>
                <w:szCs w:val="12"/>
                <w:color w:val="auto"/>
              </w:rPr>
              <w:t>Total financial liabilities at fair value</w:t>
            </w:r>
          </w:p>
        </w:tc>
        <w:tc>
          <w:tcPr>
            <w:tcW w:w="78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101</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3,409</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3,510</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3,510</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(1) Included within equity securities in the accompanying Condensed Consolidated Balance Sheets as of December 31, 2020.</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Valuation Methodologies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Fixed Maturity Securities &amp; Equity Securities</w:t>
      </w:r>
    </w:p>
    <w:p>
      <w:pPr>
        <w:spacing w:after="0" w:line="115" w:lineRule="exact"/>
        <w:rPr>
          <w:sz w:val="20"/>
          <w:szCs w:val="20"/>
          <w:color w:val="auto"/>
        </w:rPr>
      </w:pPr>
    </w:p>
    <w:p>
      <w:pPr>
        <w:jc w:val="both"/>
        <w:ind w:firstLine="331"/>
        <w:spacing w:after="0" w:line="249" w:lineRule="auto"/>
        <w:rPr>
          <w:sz w:val="20"/>
          <w:szCs w:val="20"/>
          <w:color w:val="auto"/>
        </w:rPr>
      </w:pPr>
      <w:r>
        <w:rPr>
          <w:rFonts w:ascii="Arial" w:cs="Arial" w:eastAsia="Arial" w:hAnsi="Arial"/>
          <w:sz w:val="15"/>
          <w:szCs w:val="15"/>
          <w:color w:val="auto"/>
        </w:rPr>
        <w:t>We measure the fair value of our securities based on assumptions used by market participants in pricing the security. The most appropriate valuation methodology is selected based on the specific characteristics of the fixed maturity or equity security, and we will then consistently apply the valuation methodology to measure the security’s fair value. Our fair value measurement is based on a market approach, which utilizes prices and other relevant information generated by market transactions involving identical or comparable securities. Sources of inputs to the market approach include third-party pricing services, independent broker quotations, or pricing matrices. We use observable and unobservable inputs in our valuation methodologies. Observable inputs include benchmark yields, reported trades, broker-dealer quotes, issuer spreads, two-sided markets, benchmark securities, bids, offers, and reference data including market research publications. In addition, market indicators and industry and economic events are monitored and further market data will be acquired when certain thresholds are met.</w:t>
      </w:r>
    </w:p>
    <w:p>
      <w:pPr>
        <w:spacing w:after="0" w:line="83" w:lineRule="exact"/>
        <w:rPr>
          <w:sz w:val="20"/>
          <w:szCs w:val="20"/>
          <w:color w:val="auto"/>
        </w:rPr>
      </w:pPr>
    </w:p>
    <w:p>
      <w:pPr>
        <w:jc w:val="both"/>
        <w:ind w:firstLine="331"/>
        <w:spacing w:after="0" w:line="276" w:lineRule="auto"/>
        <w:rPr>
          <w:sz w:val="20"/>
          <w:szCs w:val="20"/>
          <w:color w:val="auto"/>
        </w:rPr>
      </w:pPr>
      <w:r>
        <w:rPr>
          <w:rFonts w:ascii="Arial" w:cs="Arial" w:eastAsia="Arial" w:hAnsi="Arial"/>
          <w:sz w:val="14"/>
          <w:szCs w:val="14"/>
          <w:color w:val="auto"/>
        </w:rPr>
        <w:t>For certain security types, additional inputs may be used, or some of the inputs described above may not be applicable. The significant input used in the fair value measurement of equity securities for which the market approach valuation technique is employed is yield for comparable securities. Increases or decreases in the yields would result in lower or higher, respectively, fair value measurements. For broker-quoted only securities, quotes from market makers or broker-dealers are obtained from sources recognized to be market participants. We believe the broker quotes are prices at which trades could be executed based on historical trades executed at broker-quoted or slightly higher prices.</w:t>
      </w:r>
    </w:p>
    <w:p>
      <w:pPr>
        <w:spacing w:after="0" w:line="65" w:lineRule="exact"/>
        <w:rPr>
          <w:sz w:val="20"/>
          <w:szCs w:val="20"/>
          <w:color w:val="auto"/>
        </w:rPr>
      </w:pPr>
    </w:p>
    <w:p>
      <w:pPr>
        <w:jc w:val="both"/>
        <w:ind w:firstLine="331"/>
        <w:spacing w:after="0" w:line="266" w:lineRule="auto"/>
        <w:rPr>
          <w:sz w:val="20"/>
          <w:szCs w:val="20"/>
          <w:color w:val="auto"/>
        </w:rPr>
      </w:pPr>
      <w:r>
        <w:rPr>
          <w:rFonts w:ascii="Arial" w:cs="Arial" w:eastAsia="Arial" w:hAnsi="Arial"/>
          <w:sz w:val="15"/>
          <w:szCs w:val="15"/>
          <w:color w:val="auto"/>
        </w:rPr>
        <w:t>We analyze the third-party valuation methodologies and related inputs to perform assessments to determine the appropriate level within the fair value hierarchy. However, we did not adjust prices received from third parties as of September 30, 2021 or December 31, 2020.</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0" w:name="page21"/>
    <w:bookmarkEnd w:id="20"/>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Derivative Financial Instruments</w:t>
      </w:r>
    </w:p>
    <w:p>
      <w:pPr>
        <w:spacing w:after="0" w:line="104" w:lineRule="exact"/>
        <w:rPr>
          <w:sz w:val="20"/>
          <w:szCs w:val="20"/>
          <w:color w:val="auto"/>
        </w:rPr>
      </w:pPr>
    </w:p>
    <w:p>
      <w:pPr>
        <w:jc w:val="both"/>
        <w:ind w:firstLine="331"/>
        <w:spacing w:after="0" w:line="255" w:lineRule="auto"/>
        <w:rPr>
          <w:sz w:val="20"/>
          <w:szCs w:val="20"/>
          <w:color w:val="auto"/>
        </w:rPr>
      </w:pPr>
      <w:r>
        <w:rPr>
          <w:rFonts w:ascii="Arial" w:cs="Arial" w:eastAsia="Arial" w:hAnsi="Arial"/>
          <w:sz w:val="15"/>
          <w:szCs w:val="15"/>
          <w:color w:val="auto"/>
        </w:rPr>
        <w:t>The fair value of call options are based upon valuation pricing models, which represents what we would expect to receive or pay at the balance sheet date if we canceled the options, entered into offsetting positions, or exercised the options. Fair values for these instruments are determined internally, based on industry accepted valuation pricing models which use market-observable inputs, including interest rates, yield curve volatilities, and other factors.</w:t>
      </w:r>
    </w:p>
    <w:p>
      <w:pPr>
        <w:spacing w:after="0" w:line="91" w:lineRule="exact"/>
        <w:rPr>
          <w:sz w:val="20"/>
          <w:szCs w:val="20"/>
          <w:color w:val="auto"/>
        </w:rPr>
      </w:pPr>
    </w:p>
    <w:p>
      <w:pPr>
        <w:jc w:val="both"/>
        <w:ind w:right="20" w:firstLine="331"/>
        <w:spacing w:after="0" w:line="266" w:lineRule="auto"/>
        <w:rPr>
          <w:sz w:val="20"/>
          <w:szCs w:val="20"/>
          <w:color w:val="auto"/>
        </w:rPr>
      </w:pPr>
      <w:r>
        <w:rPr>
          <w:rFonts w:ascii="Arial" w:cs="Arial" w:eastAsia="Arial" w:hAnsi="Arial"/>
          <w:sz w:val="15"/>
          <w:szCs w:val="15"/>
          <w:color w:val="auto"/>
        </w:rPr>
        <w:t>The fair value of futures contracts represents the cumulative unsettled variation margin (open trade equity, net of cash settlements) which represents what we would expect to receive or pay at the balance sheet date if we canceled the contracts or entered into offsetting positions. These contracts are classified as Level 1.</w:t>
      </w:r>
    </w:p>
    <w:p>
      <w:pPr>
        <w:spacing w:after="0" w:line="70" w:lineRule="exact"/>
        <w:rPr>
          <w:sz w:val="20"/>
          <w:szCs w:val="20"/>
          <w:color w:val="auto"/>
        </w:rPr>
      </w:pPr>
    </w:p>
    <w:p>
      <w:pPr>
        <w:jc w:val="both"/>
        <w:ind w:firstLine="331"/>
        <w:spacing w:after="0" w:line="268" w:lineRule="auto"/>
        <w:rPr>
          <w:sz w:val="20"/>
          <w:szCs w:val="20"/>
          <w:color w:val="auto"/>
        </w:rPr>
      </w:pPr>
      <w:r>
        <w:rPr>
          <w:rFonts w:ascii="Arial" w:cs="Arial" w:eastAsia="Arial" w:hAnsi="Arial"/>
          <w:sz w:val="14"/>
          <w:szCs w:val="14"/>
          <w:color w:val="auto"/>
        </w:rPr>
        <w:t xml:space="preserve">The fair value measurement of the FIA embedded derivatives included in contractholder funds is determined through a combination of market observable information and significant unobservable inputs using the option budget method. The market observable inputs are the market value of option and treasury rates. The significant unobservable inputs are the budgeted option cost (i.e., the expected cost to purchase call options in future periods to fund the equity indexed linked feature), surrender rates, mortality multiplier and non-performance spread. The mortality multiplier at September 30, 2021 was applied to the 2012 individual Annuity mortality tables. Increases or decreases in the market value of an option in isolation would result in a higher or lower, respectively, fair value measurement. Increases or decreases in treasury rates, mortality multiplier, surrender rates, or non-performance spread in isolation would result in a lower or higher fair value measurement, respectively. Generally, a change in any one unobservable input would not directly result in a change in any other unobservable input. Also refer to Managements Estimates in Note A </w:t>
      </w:r>
      <w:r>
        <w:rPr>
          <w:rFonts w:ascii="Arial" w:cs="Arial" w:eastAsia="Arial" w:hAnsi="Arial"/>
          <w:sz w:val="14"/>
          <w:szCs w:val="14"/>
          <w:i w:val="1"/>
          <w:iCs w:val="1"/>
          <w:color w:val="auto"/>
        </w:rPr>
        <w:t>Basis of Financial Statements</w:t>
      </w:r>
      <w:r>
        <w:rPr>
          <w:rFonts w:ascii="Arial" w:cs="Arial" w:eastAsia="Arial" w:hAnsi="Arial"/>
          <w:sz w:val="14"/>
          <w:szCs w:val="14"/>
          <w:color w:val="auto"/>
        </w:rPr>
        <w:t xml:space="preserve"> regarding the implementation of a new actuarial valuation system and assumption updates during the three-months ended September 30, 2021. The system implementation and assumption review process included refinements in the calculation of the fair value of the embedded derivative component of our fixed index annuities.</w:t>
      </w:r>
    </w:p>
    <w:p>
      <w:pPr>
        <w:spacing w:after="0" w:line="71" w:lineRule="exact"/>
        <w:rPr>
          <w:sz w:val="20"/>
          <w:szCs w:val="20"/>
          <w:color w:val="auto"/>
        </w:rPr>
      </w:pPr>
    </w:p>
    <w:p>
      <w:pPr>
        <w:jc w:val="both"/>
        <w:ind w:firstLine="331"/>
        <w:spacing w:after="0" w:line="303" w:lineRule="auto"/>
        <w:rPr>
          <w:sz w:val="20"/>
          <w:szCs w:val="20"/>
          <w:color w:val="auto"/>
        </w:rPr>
      </w:pPr>
      <w:r>
        <w:rPr>
          <w:rFonts w:ascii="Arial" w:cs="Arial" w:eastAsia="Arial" w:hAnsi="Arial"/>
          <w:sz w:val="13"/>
          <w:szCs w:val="13"/>
          <w:color w:val="auto"/>
        </w:rPr>
        <w:t xml:space="preserve">The fair value of the reinsurance-related embedded derivatives in the funds withheld reinsurance agreements with Kubera Insurance (SAC) Ltd. ("Kubera") and Aspida Holdings Ltd ("Aspida"), third party insurers, are estimated based upon the fair value of the assets supporting the funds withheld from reinsurance liabilities. The fair value of the assets is based on a quoted market price of similar assets (Level 2), and therefore the fair value of the embedded derivative is based on market-observable inputs and classified as Level 2. See Note L </w:t>
      </w:r>
      <w:r>
        <w:rPr>
          <w:rFonts w:ascii="Arial" w:cs="Arial" w:eastAsia="Arial" w:hAnsi="Arial"/>
          <w:sz w:val="13"/>
          <w:szCs w:val="13"/>
          <w:i w:val="1"/>
          <w:iCs w:val="1"/>
          <w:color w:val="auto"/>
        </w:rPr>
        <w:t>Reinsurance</w:t>
      </w:r>
      <w:r>
        <w:rPr>
          <w:rFonts w:ascii="Arial" w:cs="Arial" w:eastAsia="Arial" w:hAnsi="Arial"/>
          <w:sz w:val="13"/>
          <w:szCs w:val="13"/>
          <w:color w:val="auto"/>
        </w:rPr>
        <w:t xml:space="preserve"> below and Note P </w:t>
      </w:r>
      <w:r>
        <w:rPr>
          <w:rFonts w:ascii="Arial" w:cs="Arial" w:eastAsia="Arial" w:hAnsi="Arial"/>
          <w:sz w:val="13"/>
          <w:szCs w:val="13"/>
          <w:i w:val="1"/>
          <w:iCs w:val="1"/>
          <w:color w:val="auto"/>
        </w:rPr>
        <w:t>Reinsurance</w:t>
      </w:r>
      <w:r>
        <w:rPr>
          <w:rFonts w:ascii="Arial" w:cs="Arial" w:eastAsia="Arial" w:hAnsi="Arial"/>
          <w:sz w:val="13"/>
          <w:szCs w:val="13"/>
          <w:color w:val="auto"/>
        </w:rPr>
        <w:t xml:space="preserve"> in our Annual Report on Form 10-K for the year ended December 31, 2020 for further discussion on F&amp;G reinsurance agreements.</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 long-term investments</w:t>
      </w:r>
    </w:p>
    <w:p>
      <w:pPr>
        <w:spacing w:after="0" w:line="115" w:lineRule="exact"/>
        <w:rPr>
          <w:sz w:val="20"/>
          <w:szCs w:val="20"/>
          <w:color w:val="auto"/>
        </w:rPr>
      </w:pPr>
    </w:p>
    <w:p>
      <w:pPr>
        <w:jc w:val="both"/>
        <w:ind w:firstLine="331"/>
        <w:spacing w:after="0" w:line="269" w:lineRule="auto"/>
        <w:rPr>
          <w:sz w:val="20"/>
          <w:szCs w:val="20"/>
          <w:color w:val="auto"/>
        </w:rPr>
      </w:pPr>
      <w:r>
        <w:rPr>
          <w:rFonts w:ascii="Arial" w:cs="Arial" w:eastAsia="Arial" w:hAnsi="Arial"/>
          <w:sz w:val="14"/>
          <w:szCs w:val="14"/>
          <w:color w:val="auto"/>
        </w:rPr>
        <w:t xml:space="preserve">Fair value of the available-for-sale embedded derivative is based on an unobservable input, the net asset value of the fund at the balance sheet date and is considered to be a Level 3 fair value measurement. The embedded derivative is similar to a call option on the net asset value of the fund with a strike price of zero since F&amp;G will not be required to make any additional payments at maturity of the fund-linked note in order to receive the net asset value of the fund on the maturity date. A Black-Scholes model determines the net asset value of the fund as the fair value of the call option regardless of the values used for the other inputs to the option pricing model. The net asset value of the fund is provided by the fund manager at the end of each calendar month and represents the value an investor would receive if it withdrew its investment on the balance sheet date. Therefore, the key unobservable input used in the Black-Scholes model is the value of the fund. As the value of the fund increases or decreases, the fair value of the embedded derivative will increase or decrease. See further discussion on the available-for-sale embedded derivative in Note E </w:t>
      </w:r>
      <w:r>
        <w:rPr>
          <w:rFonts w:ascii="Arial" w:cs="Arial" w:eastAsia="Arial" w:hAnsi="Arial"/>
          <w:sz w:val="14"/>
          <w:szCs w:val="14"/>
          <w:i w:val="1"/>
          <w:iCs w:val="1"/>
          <w:color w:val="auto"/>
        </w:rPr>
        <w:t>Derivative Financial Instruments</w:t>
      </w:r>
      <w:r>
        <w:rPr>
          <w:rFonts w:ascii="Arial" w:cs="Arial" w:eastAsia="Arial" w:hAnsi="Arial"/>
          <w:sz w:val="14"/>
          <w:szCs w:val="14"/>
          <w:color w:val="auto"/>
        </w:rPr>
        <w:t>.</w:t>
      </w:r>
    </w:p>
    <w:p>
      <w:pPr>
        <w:spacing w:after="0" w:line="73" w:lineRule="exact"/>
        <w:rPr>
          <w:sz w:val="20"/>
          <w:szCs w:val="20"/>
          <w:color w:val="auto"/>
        </w:rPr>
      </w:pPr>
    </w:p>
    <w:p>
      <w:pPr>
        <w:jc w:val="both"/>
        <w:ind w:firstLine="331"/>
        <w:spacing w:after="0" w:line="282" w:lineRule="auto"/>
        <w:rPr>
          <w:sz w:val="20"/>
          <w:szCs w:val="20"/>
          <w:color w:val="auto"/>
        </w:rPr>
      </w:pPr>
      <w:r>
        <w:rPr>
          <w:rFonts w:ascii="Arial" w:cs="Arial" w:eastAsia="Arial" w:hAnsi="Arial"/>
          <w:sz w:val="14"/>
          <w:szCs w:val="14"/>
          <w:color w:val="auto"/>
        </w:rPr>
        <w:t>The fair value of the credit-linked note is based on a weighted average of a broker quote and a discounted cash flow analysis and is considered to be a Level 3 fair value measurement. The discounted cash flow approach is based on the expected portfolio cash flows and amortization schedule reflecting investment expectations, adjusted for assumptions on the portfolio's default and recovery rates, and the note's discount rate. The fair value of the note is provided by the fund manager at the end of each quarter.</w:t>
      </w:r>
    </w:p>
    <w:p>
      <w:pPr>
        <w:spacing w:after="0" w:line="62" w:lineRule="exact"/>
        <w:rPr>
          <w:sz w:val="20"/>
          <w:szCs w:val="20"/>
          <w:color w:val="auto"/>
        </w:rPr>
      </w:pPr>
    </w:p>
    <w:p>
      <w:pPr>
        <w:ind w:firstLine="265"/>
        <w:spacing w:after="0" w:line="266" w:lineRule="auto"/>
        <w:rPr>
          <w:sz w:val="20"/>
          <w:szCs w:val="20"/>
          <w:color w:val="auto"/>
        </w:rPr>
      </w:pPr>
      <w:r>
        <w:rPr>
          <w:rFonts w:ascii="Arial" w:cs="Arial" w:eastAsia="Arial" w:hAnsi="Arial"/>
          <w:sz w:val="15"/>
          <w:szCs w:val="15"/>
          <w:color w:val="auto"/>
        </w:rPr>
        <w:t>Quantitative information regarding significant unobservable inputs used for recurring Level 3 fair value measurements of financial instruments carried at fair value as of September 30, 2021 and December 31, 2020 are as follows: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1" w:name="page22"/>
    <w:bookmarkEnd w:id="2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40" w:type="dxa"/>
            <w:vAlign w:val="bottom"/>
          </w:tcPr>
          <w:p>
            <w:pPr>
              <w:jc w:val="center"/>
              <w:ind w:left="354"/>
              <w:spacing w:after="0"/>
              <w:rPr>
                <w:sz w:val="20"/>
                <w:szCs w:val="20"/>
                <w:color w:val="auto"/>
              </w:rPr>
            </w:pPr>
            <w:r>
              <w:rPr>
                <w:rFonts w:ascii="Arial" w:cs="Arial" w:eastAsia="Arial" w:hAnsi="Arial"/>
                <w:sz w:val="13"/>
                <w:szCs w:val="13"/>
                <w:b w:val="1"/>
                <w:bCs w:val="1"/>
                <w:color w:val="auto"/>
                <w:w w:val="95"/>
              </w:rPr>
              <w:t>Fair Value at</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6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September 30, 2021</w:t>
            </w: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3"/>
            <w:vMerge w:val="restart"/>
          </w:tcPr>
          <w:p>
            <w:pPr>
              <w:ind w:left="240"/>
              <w:spacing w:after="0"/>
              <w:rPr>
                <w:sz w:val="20"/>
                <w:szCs w:val="20"/>
                <w:color w:val="auto"/>
              </w:rPr>
            </w:pPr>
            <w:r>
              <w:rPr>
                <w:rFonts w:ascii="Arial" w:cs="Arial" w:eastAsia="Arial" w:hAnsi="Arial"/>
                <w:sz w:val="13"/>
                <w:szCs w:val="13"/>
                <w:b w:val="1"/>
                <w:bCs w:val="1"/>
                <w:color w:val="auto"/>
              </w:rPr>
              <w:t>Range (Weighted average)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40" w:type="dxa"/>
            <w:vAlign w:val="bottom"/>
          </w:tcPr>
          <w:p>
            <w:pPr>
              <w:jc w:val="center"/>
              <w:ind w:left="334"/>
              <w:spacing w:after="0"/>
              <w:rPr>
                <w:sz w:val="20"/>
                <w:szCs w:val="20"/>
                <w:color w:val="auto"/>
              </w:rPr>
            </w:pPr>
            <w:r>
              <w:rPr>
                <w:rFonts w:ascii="Arial" w:cs="Arial" w:eastAsia="Arial" w:hAnsi="Arial"/>
                <w:sz w:val="13"/>
                <w:szCs w:val="13"/>
                <w:b w:val="1"/>
                <w:bCs w:val="1"/>
                <w:color w:val="auto"/>
                <w:w w:val="93"/>
              </w:rPr>
              <w:t>(in millions)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2"/>
          </w:tcPr>
          <w:p>
            <w:pPr>
              <w:ind w:left="420"/>
              <w:spacing w:after="0"/>
              <w:rPr>
                <w:sz w:val="20"/>
                <w:szCs w:val="20"/>
                <w:color w:val="auto"/>
              </w:rPr>
            </w:pPr>
            <w:r>
              <w:rPr>
                <w:rFonts w:ascii="Arial" w:cs="Arial" w:eastAsia="Arial" w:hAnsi="Arial"/>
                <w:sz w:val="13"/>
                <w:szCs w:val="13"/>
                <w:b w:val="1"/>
                <w:bCs w:val="1"/>
                <w:color w:val="auto"/>
              </w:rPr>
              <w:t>Valuation Technique</w:t>
            </w:r>
          </w:p>
        </w:tc>
        <w:tc>
          <w:tcPr>
            <w:tcW w:w="1740" w:type="dxa"/>
            <w:vAlign w:val="bottom"/>
            <w:gridSpan w:val="2"/>
          </w:tcPr>
          <w:p>
            <w:pPr>
              <w:ind w:left="180"/>
              <w:spacing w:after="0"/>
              <w:rPr>
                <w:sz w:val="20"/>
                <w:szCs w:val="20"/>
                <w:color w:val="auto"/>
              </w:rPr>
            </w:pPr>
            <w:r>
              <w:rPr>
                <w:rFonts w:ascii="Arial" w:cs="Arial" w:eastAsia="Arial" w:hAnsi="Arial"/>
                <w:sz w:val="13"/>
                <w:szCs w:val="13"/>
                <w:b w:val="1"/>
                <w:bCs w:val="1"/>
                <w:color w:val="auto"/>
              </w:rPr>
              <w:t>Unobservable Input(s)</w:t>
            </w:r>
          </w:p>
        </w:tc>
        <w:tc>
          <w:tcPr>
            <w:tcW w:w="38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b w:val="1"/>
                <w:bCs w:val="1"/>
                <w:color w:val="auto"/>
              </w:rPr>
              <w:t>September 30, 2021</w:t>
            </w:r>
          </w:p>
        </w:tc>
        <w:tc>
          <w:tcPr>
            <w:tcW w:w="0" w:type="dxa"/>
            <w:vAlign w:val="bottom"/>
          </w:tcPr>
          <w:p>
            <w:pPr>
              <w:spacing w:after="0"/>
              <w:rPr>
                <w:sz w:val="1"/>
                <w:szCs w:val="1"/>
                <w:color w:val="auto"/>
              </w:rPr>
            </w:pPr>
          </w:p>
        </w:tc>
      </w:tr>
      <w:tr>
        <w:trPr>
          <w:trHeight w:val="139"/>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CCEEFF"/>
              <w:bottom w:val="single" w:sz="8" w:color="auto"/>
            </w:tcBorders>
            <w:shd w:val="clear" w:color="auto" w:fill="CCEEFF"/>
          </w:tcPr>
          <w:p>
            <w:pPr>
              <w:spacing w:after="0" w:line="126" w:lineRule="exact"/>
              <w:rPr>
                <w:sz w:val="20"/>
                <w:szCs w:val="20"/>
                <w:color w:val="auto"/>
              </w:rPr>
            </w:pPr>
            <w:r>
              <w:rPr>
                <w:rFonts w:ascii="Arial" w:cs="Arial" w:eastAsia="Arial" w:hAnsi="Arial"/>
                <w:sz w:val="13"/>
                <w:szCs w:val="13"/>
                <w:b w:val="1"/>
                <w:bCs w:val="1"/>
                <w:color w:val="auto"/>
                <w:w w:val="79"/>
              </w:rPr>
              <w:t>Assets</w:t>
            </w:r>
          </w:p>
        </w:tc>
        <w:tc>
          <w:tcPr>
            <w:tcW w:w="3320" w:type="dxa"/>
            <w:vAlign w:val="bottom"/>
            <w:tcBorders>
              <w:top w:val="single" w:sz="8" w:color="CCEEFF"/>
              <w:bottom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CCEEFF"/>
            </w:tcBorders>
            <w:shd w:val="clear" w:color="auto" w:fill="CCEEFF"/>
          </w:tcPr>
          <w:p>
            <w:pPr>
              <w:spacing w:after="0"/>
              <w:rPr>
                <w:sz w:val="12"/>
                <w:szCs w:val="12"/>
                <w:color w:val="auto"/>
              </w:rPr>
            </w:pPr>
          </w:p>
        </w:tc>
        <w:tc>
          <w:tcPr>
            <w:tcW w:w="42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2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64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spacing w:after="0"/>
              <w:rPr>
                <w:sz w:val="12"/>
                <w:szCs w:val="12"/>
                <w:color w:val="auto"/>
              </w:rPr>
            </w:pPr>
          </w:p>
        </w:tc>
        <w:tc>
          <w:tcPr>
            <w:tcW w:w="1440" w:type="dxa"/>
            <w:vAlign w:val="bottom"/>
            <w:tcBorders>
              <w:top w:val="single" w:sz="8" w:color="auto"/>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80" w:type="dxa"/>
            <w:vAlign w:val="bottom"/>
            <w:gridSpan w:val="2"/>
          </w:tcPr>
          <w:p>
            <w:pPr>
              <w:spacing w:after="0"/>
              <w:rPr>
                <w:sz w:val="20"/>
                <w:szCs w:val="20"/>
                <w:color w:val="auto"/>
              </w:rPr>
            </w:pPr>
            <w:r>
              <w:rPr>
                <w:rFonts w:ascii="Arial" w:cs="Arial" w:eastAsia="Arial" w:hAnsi="Arial"/>
                <w:sz w:val="13"/>
                <w:szCs w:val="13"/>
                <w:color w:val="auto"/>
              </w:rPr>
              <w:t>Asset-backed securities</w:t>
            </w:r>
          </w:p>
        </w:tc>
        <w:tc>
          <w:tcPr>
            <w:tcW w:w="1240" w:type="dxa"/>
            <w:vAlign w:val="bottom"/>
          </w:tcPr>
          <w:p>
            <w:pPr>
              <w:jc w:val="right"/>
              <w:ind w:right="1094"/>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3,105</w:t>
            </w:r>
          </w:p>
        </w:tc>
        <w:tc>
          <w:tcPr>
            <w:tcW w:w="100" w:type="dxa"/>
            <w:vAlign w:val="bottom"/>
          </w:tcPr>
          <w:p>
            <w:pPr>
              <w:spacing w:after="0"/>
              <w:rPr>
                <w:sz w:val="15"/>
                <w:szCs w:val="15"/>
                <w:color w:val="auto"/>
              </w:rPr>
            </w:pPr>
          </w:p>
        </w:tc>
        <w:tc>
          <w:tcPr>
            <w:tcW w:w="2120" w:type="dxa"/>
            <w:vAlign w:val="bottom"/>
            <w:gridSpan w:val="2"/>
          </w:tcPr>
          <w:p>
            <w:pPr>
              <w:spacing w:after="0"/>
              <w:rPr>
                <w:sz w:val="20"/>
                <w:szCs w:val="20"/>
                <w:color w:val="auto"/>
              </w:rPr>
            </w:pPr>
            <w:r>
              <w:rPr>
                <w:rFonts w:ascii="Arial" w:cs="Arial" w:eastAsia="Arial" w:hAnsi="Arial"/>
                <w:sz w:val="13"/>
                <w:szCs w:val="13"/>
                <w:color w:val="auto"/>
              </w:rPr>
              <w:t>Broker-quoted</w:t>
            </w:r>
          </w:p>
        </w:tc>
        <w:tc>
          <w:tcPr>
            <w:tcW w:w="1740" w:type="dxa"/>
            <w:vAlign w:val="bottom"/>
            <w:gridSpan w:val="2"/>
          </w:tcPr>
          <w:p>
            <w:pPr>
              <w:spacing w:after="0"/>
              <w:rPr>
                <w:sz w:val="20"/>
                <w:szCs w:val="20"/>
                <w:color w:val="auto"/>
              </w:rPr>
            </w:pPr>
            <w:r>
              <w:rPr>
                <w:rFonts w:ascii="Arial" w:cs="Arial" w:eastAsia="Arial" w:hAnsi="Arial"/>
                <w:sz w:val="13"/>
                <w:szCs w:val="13"/>
                <w:color w:val="auto"/>
              </w:rPr>
              <w:t>Offered quotes</w:t>
            </w:r>
          </w:p>
        </w:tc>
        <w:tc>
          <w:tcPr>
            <w:tcW w:w="1960" w:type="dxa"/>
            <w:vAlign w:val="bottom"/>
            <w:gridSpan w:val="3"/>
          </w:tcPr>
          <w:p>
            <w:pPr>
              <w:ind w:left="20"/>
              <w:spacing w:after="0"/>
              <w:rPr>
                <w:sz w:val="20"/>
                <w:szCs w:val="20"/>
                <w:color w:val="auto"/>
              </w:rPr>
            </w:pPr>
            <w:r>
              <w:rPr>
                <w:rFonts w:ascii="Arial" w:cs="Arial" w:eastAsia="Arial" w:hAnsi="Arial"/>
                <w:sz w:val="13"/>
                <w:szCs w:val="13"/>
                <w:color w:val="auto"/>
              </w:rPr>
              <w:t>53.66% - 145.43% (97.03%)</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Asset-backed securities</w:t>
            </w:r>
          </w:p>
        </w:tc>
        <w:tc>
          <w:tcPr>
            <w:tcW w:w="12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Third-Party Valuation</w:t>
            </w:r>
          </w:p>
        </w:tc>
        <w:tc>
          <w:tcPr>
            <w:tcW w:w="1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Offered quotes</w:t>
            </w:r>
          </w:p>
        </w:tc>
        <w:tc>
          <w:tcPr>
            <w:tcW w:w="19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95.55% - 107.08% (103.58%)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80" w:type="dxa"/>
            <w:vAlign w:val="bottom"/>
            <w:gridSpan w:val="2"/>
          </w:tcPr>
          <w:p>
            <w:pPr>
              <w:spacing w:after="0"/>
              <w:rPr>
                <w:sz w:val="20"/>
                <w:szCs w:val="20"/>
                <w:color w:val="auto"/>
              </w:rPr>
            </w:pPr>
            <w:r>
              <w:rPr>
                <w:rFonts w:ascii="Arial" w:cs="Arial" w:eastAsia="Arial" w:hAnsi="Arial"/>
                <w:sz w:val="13"/>
                <w:szCs w:val="13"/>
                <w:color w:val="auto"/>
              </w:rPr>
              <w:t>Commercial mortgage-backed securities</w:t>
            </w:r>
          </w:p>
        </w:tc>
        <w:tc>
          <w:tcPr>
            <w:tcW w:w="12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5"/>
                <w:szCs w:val="15"/>
                <w:color w:val="auto"/>
              </w:rPr>
            </w:pPr>
          </w:p>
        </w:tc>
        <w:tc>
          <w:tcPr>
            <w:tcW w:w="2120" w:type="dxa"/>
            <w:vAlign w:val="bottom"/>
            <w:gridSpan w:val="2"/>
          </w:tcPr>
          <w:p>
            <w:pPr>
              <w:spacing w:after="0"/>
              <w:rPr>
                <w:sz w:val="20"/>
                <w:szCs w:val="20"/>
                <w:color w:val="auto"/>
              </w:rPr>
            </w:pPr>
            <w:r>
              <w:rPr>
                <w:rFonts w:ascii="Arial" w:cs="Arial" w:eastAsia="Arial" w:hAnsi="Arial"/>
                <w:sz w:val="13"/>
                <w:szCs w:val="13"/>
                <w:color w:val="auto"/>
              </w:rPr>
              <w:t>Broker-quoted</w:t>
            </w:r>
          </w:p>
        </w:tc>
        <w:tc>
          <w:tcPr>
            <w:tcW w:w="1740" w:type="dxa"/>
            <w:vAlign w:val="bottom"/>
            <w:gridSpan w:val="2"/>
          </w:tcPr>
          <w:p>
            <w:pPr>
              <w:spacing w:after="0"/>
              <w:rPr>
                <w:sz w:val="20"/>
                <w:szCs w:val="20"/>
                <w:color w:val="auto"/>
              </w:rPr>
            </w:pPr>
            <w:r>
              <w:rPr>
                <w:rFonts w:ascii="Arial" w:cs="Arial" w:eastAsia="Arial" w:hAnsi="Arial"/>
                <w:sz w:val="13"/>
                <w:szCs w:val="13"/>
                <w:color w:val="auto"/>
              </w:rPr>
              <w:t>Offered quotes</w:t>
            </w:r>
          </w:p>
        </w:tc>
        <w:tc>
          <w:tcPr>
            <w:tcW w:w="520" w:type="dxa"/>
            <w:vAlign w:val="bottom"/>
            <w:gridSpan w:val="2"/>
          </w:tcPr>
          <w:p>
            <w:pPr>
              <w:ind w:left="20"/>
              <w:spacing w:after="0"/>
              <w:rPr>
                <w:sz w:val="20"/>
                <w:szCs w:val="20"/>
                <w:color w:val="auto"/>
              </w:rPr>
            </w:pPr>
            <w:r>
              <w:rPr>
                <w:rFonts w:ascii="Arial" w:cs="Arial" w:eastAsia="Arial" w:hAnsi="Arial"/>
                <w:sz w:val="13"/>
                <w:szCs w:val="13"/>
                <w:color w:val="auto"/>
                <w:w w:val="93"/>
              </w:rPr>
              <w:t>101.04%</w:t>
            </w:r>
          </w:p>
        </w:tc>
        <w:tc>
          <w:tcPr>
            <w:tcW w:w="1440" w:type="dxa"/>
            <w:vAlign w:val="bottom"/>
          </w:tcPr>
          <w:p>
            <w:pPr>
              <w:spacing w:after="0"/>
              <w:rPr>
                <w:sz w:val="20"/>
                <w:szCs w:val="20"/>
                <w:color w:val="auto"/>
              </w:rPr>
            </w:pPr>
            <w:r>
              <w:rPr>
                <w:rFonts w:ascii="Arial" w:cs="Arial" w:eastAsia="Arial" w:hAnsi="Arial"/>
                <w:sz w:val="13"/>
                <w:szCs w:val="13"/>
                <w:color w:val="auto"/>
              </w:rPr>
              <w:t>- 127.33% (117.40%)</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Corporates</w:t>
            </w:r>
          </w:p>
        </w:tc>
        <w:tc>
          <w:tcPr>
            <w:tcW w:w="12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w:t>
            </w: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Broker-quoted</w:t>
            </w:r>
          </w:p>
        </w:tc>
        <w:tc>
          <w:tcPr>
            <w:tcW w:w="1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Offered quotes</w:t>
            </w:r>
          </w:p>
        </w:tc>
        <w:tc>
          <w:tcPr>
            <w:tcW w:w="19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93.33% - 113.92% (103.68%)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80" w:type="dxa"/>
            <w:vAlign w:val="bottom"/>
            <w:gridSpan w:val="2"/>
          </w:tcPr>
          <w:p>
            <w:pPr>
              <w:spacing w:after="0"/>
              <w:rPr>
                <w:sz w:val="20"/>
                <w:szCs w:val="20"/>
                <w:color w:val="auto"/>
              </w:rPr>
            </w:pPr>
            <w:r>
              <w:rPr>
                <w:rFonts w:ascii="Arial" w:cs="Arial" w:eastAsia="Arial" w:hAnsi="Arial"/>
                <w:sz w:val="13"/>
                <w:szCs w:val="13"/>
                <w:color w:val="auto"/>
              </w:rPr>
              <w:t>Corporates</w:t>
            </w:r>
          </w:p>
        </w:tc>
        <w:tc>
          <w:tcPr>
            <w:tcW w:w="12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5"/>
                <w:szCs w:val="15"/>
                <w:color w:val="auto"/>
              </w:rPr>
            </w:pPr>
          </w:p>
        </w:tc>
        <w:tc>
          <w:tcPr>
            <w:tcW w:w="2120" w:type="dxa"/>
            <w:vAlign w:val="bottom"/>
            <w:gridSpan w:val="2"/>
          </w:tcPr>
          <w:p>
            <w:pPr>
              <w:spacing w:after="0"/>
              <w:rPr>
                <w:sz w:val="20"/>
                <w:szCs w:val="20"/>
                <w:color w:val="auto"/>
              </w:rPr>
            </w:pPr>
            <w:r>
              <w:rPr>
                <w:rFonts w:ascii="Arial" w:cs="Arial" w:eastAsia="Arial" w:hAnsi="Arial"/>
                <w:sz w:val="13"/>
                <w:szCs w:val="13"/>
                <w:color w:val="auto"/>
              </w:rPr>
              <w:t>Discounted Cash Flow</w:t>
            </w:r>
          </w:p>
        </w:tc>
        <w:tc>
          <w:tcPr>
            <w:tcW w:w="1740" w:type="dxa"/>
            <w:vAlign w:val="bottom"/>
            <w:gridSpan w:val="2"/>
          </w:tcPr>
          <w:p>
            <w:pPr>
              <w:spacing w:after="0"/>
              <w:rPr>
                <w:sz w:val="20"/>
                <w:szCs w:val="20"/>
                <w:color w:val="auto"/>
              </w:rPr>
            </w:pPr>
            <w:r>
              <w:rPr>
                <w:rFonts w:ascii="Arial" w:cs="Arial" w:eastAsia="Arial" w:hAnsi="Arial"/>
                <w:sz w:val="13"/>
                <w:szCs w:val="13"/>
                <w:color w:val="auto"/>
              </w:rPr>
              <w:t>Discount Rate</w:t>
            </w:r>
          </w:p>
        </w:tc>
        <w:tc>
          <w:tcPr>
            <w:tcW w:w="1960" w:type="dxa"/>
            <w:vAlign w:val="bottom"/>
            <w:gridSpan w:val="3"/>
          </w:tcPr>
          <w:p>
            <w:pPr>
              <w:ind w:left="20"/>
              <w:spacing w:after="0"/>
              <w:rPr>
                <w:sz w:val="20"/>
                <w:szCs w:val="20"/>
                <w:color w:val="auto"/>
              </w:rPr>
            </w:pPr>
            <w:r>
              <w:rPr>
                <w:rFonts w:ascii="Arial" w:cs="Arial" w:eastAsia="Arial" w:hAnsi="Arial"/>
                <w:sz w:val="13"/>
                <w:szCs w:val="13"/>
                <w:color w:val="auto"/>
              </w:rPr>
              <w:t>44.00% - 100.00% (78.00%)</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Corporates</w:t>
            </w:r>
          </w:p>
        </w:tc>
        <w:tc>
          <w:tcPr>
            <w:tcW w:w="12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756</w:t>
            </w: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Third-Party Valuation</w:t>
            </w:r>
          </w:p>
        </w:tc>
        <w:tc>
          <w:tcPr>
            <w:tcW w:w="1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Offered quotes</w:t>
            </w:r>
          </w:p>
        </w:tc>
        <w:tc>
          <w:tcPr>
            <w:tcW w:w="19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86.58% - 121.41% (108.34%)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80" w:type="dxa"/>
            <w:vAlign w:val="bottom"/>
            <w:gridSpan w:val="2"/>
          </w:tcPr>
          <w:p>
            <w:pPr>
              <w:spacing w:after="0"/>
              <w:rPr>
                <w:sz w:val="20"/>
                <w:szCs w:val="20"/>
                <w:color w:val="auto"/>
              </w:rPr>
            </w:pPr>
            <w:r>
              <w:rPr>
                <w:rFonts w:ascii="Arial" w:cs="Arial" w:eastAsia="Arial" w:hAnsi="Arial"/>
                <w:sz w:val="13"/>
                <w:szCs w:val="13"/>
                <w:color w:val="auto"/>
              </w:rPr>
              <w:t>Municipals</w:t>
            </w:r>
          </w:p>
        </w:tc>
        <w:tc>
          <w:tcPr>
            <w:tcW w:w="12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5"/>
                <w:szCs w:val="15"/>
                <w:color w:val="auto"/>
              </w:rPr>
            </w:pPr>
          </w:p>
        </w:tc>
        <w:tc>
          <w:tcPr>
            <w:tcW w:w="2120" w:type="dxa"/>
            <w:vAlign w:val="bottom"/>
            <w:gridSpan w:val="2"/>
          </w:tcPr>
          <w:p>
            <w:pPr>
              <w:spacing w:after="0"/>
              <w:rPr>
                <w:sz w:val="20"/>
                <w:szCs w:val="20"/>
                <w:color w:val="auto"/>
              </w:rPr>
            </w:pPr>
            <w:r>
              <w:rPr>
                <w:rFonts w:ascii="Arial" w:cs="Arial" w:eastAsia="Arial" w:hAnsi="Arial"/>
                <w:sz w:val="13"/>
                <w:szCs w:val="13"/>
                <w:color w:val="auto"/>
              </w:rPr>
              <w:t>Third-Party Valuation</w:t>
            </w:r>
          </w:p>
        </w:tc>
        <w:tc>
          <w:tcPr>
            <w:tcW w:w="1740" w:type="dxa"/>
            <w:vAlign w:val="bottom"/>
            <w:gridSpan w:val="2"/>
          </w:tcPr>
          <w:p>
            <w:pPr>
              <w:spacing w:after="0"/>
              <w:rPr>
                <w:sz w:val="20"/>
                <w:szCs w:val="20"/>
                <w:color w:val="auto"/>
              </w:rPr>
            </w:pPr>
            <w:r>
              <w:rPr>
                <w:rFonts w:ascii="Arial" w:cs="Arial" w:eastAsia="Arial" w:hAnsi="Arial"/>
                <w:sz w:val="13"/>
                <w:szCs w:val="13"/>
                <w:color w:val="auto"/>
              </w:rPr>
              <w:t>Offered quotes</w:t>
            </w:r>
          </w:p>
        </w:tc>
        <w:tc>
          <w:tcPr>
            <w:tcW w:w="520" w:type="dxa"/>
            <w:vAlign w:val="bottom"/>
            <w:gridSpan w:val="2"/>
          </w:tcPr>
          <w:p>
            <w:pPr>
              <w:ind w:left="20"/>
              <w:spacing w:after="0"/>
              <w:rPr>
                <w:sz w:val="20"/>
                <w:szCs w:val="20"/>
                <w:color w:val="auto"/>
              </w:rPr>
            </w:pPr>
            <w:r>
              <w:rPr>
                <w:rFonts w:ascii="Arial" w:cs="Arial" w:eastAsia="Arial" w:hAnsi="Arial"/>
                <w:sz w:val="13"/>
                <w:szCs w:val="13"/>
                <w:color w:val="auto"/>
                <w:w w:val="93"/>
              </w:rPr>
              <w:t>134.75%</w:t>
            </w:r>
          </w:p>
        </w:tc>
        <w:tc>
          <w:tcPr>
            <w:tcW w:w="1440" w:type="dxa"/>
            <w:vAlign w:val="bottom"/>
          </w:tcPr>
          <w:p>
            <w:pPr>
              <w:spacing w:after="0"/>
              <w:rPr>
                <w:sz w:val="20"/>
                <w:szCs w:val="20"/>
                <w:color w:val="auto"/>
              </w:rPr>
            </w:pPr>
            <w:r>
              <w:rPr>
                <w:rFonts w:ascii="Arial" w:cs="Arial" w:eastAsia="Arial" w:hAnsi="Arial"/>
                <w:sz w:val="13"/>
                <w:szCs w:val="13"/>
                <w:color w:val="auto"/>
              </w:rPr>
              <w:t>- 134.75% (134.75%)</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Residential mortgage-backed securities</w:t>
            </w:r>
          </w:p>
        </w:tc>
        <w:tc>
          <w:tcPr>
            <w:tcW w:w="12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w:t>
            </w: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Broker-quoted</w:t>
            </w:r>
          </w:p>
        </w:tc>
        <w:tc>
          <w:tcPr>
            <w:tcW w:w="1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Offered quotes</w:t>
            </w:r>
          </w:p>
        </w:tc>
        <w:tc>
          <w:tcPr>
            <w:tcW w:w="3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2"/>
              </w:rPr>
              <w:t>0.00%</w:t>
            </w: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- 115.44% (115.44%)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80" w:type="dxa"/>
            <w:vAlign w:val="bottom"/>
            <w:gridSpan w:val="2"/>
          </w:tcPr>
          <w:p>
            <w:pPr>
              <w:spacing w:after="0"/>
              <w:rPr>
                <w:sz w:val="20"/>
                <w:szCs w:val="20"/>
                <w:color w:val="auto"/>
              </w:rPr>
            </w:pPr>
            <w:r>
              <w:rPr>
                <w:rFonts w:ascii="Arial" w:cs="Arial" w:eastAsia="Arial" w:hAnsi="Arial"/>
                <w:sz w:val="13"/>
                <w:szCs w:val="13"/>
                <w:color w:val="auto"/>
              </w:rPr>
              <w:t>Foreign governments</w:t>
            </w:r>
          </w:p>
        </w:tc>
        <w:tc>
          <w:tcPr>
            <w:tcW w:w="12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5"/>
                <w:szCs w:val="15"/>
                <w:color w:val="auto"/>
              </w:rPr>
            </w:pPr>
          </w:p>
        </w:tc>
        <w:tc>
          <w:tcPr>
            <w:tcW w:w="2120" w:type="dxa"/>
            <w:vAlign w:val="bottom"/>
            <w:gridSpan w:val="2"/>
          </w:tcPr>
          <w:p>
            <w:pPr>
              <w:spacing w:after="0"/>
              <w:rPr>
                <w:sz w:val="20"/>
                <w:szCs w:val="20"/>
                <w:color w:val="auto"/>
              </w:rPr>
            </w:pPr>
            <w:r>
              <w:rPr>
                <w:rFonts w:ascii="Arial" w:cs="Arial" w:eastAsia="Arial" w:hAnsi="Arial"/>
                <w:sz w:val="13"/>
                <w:szCs w:val="13"/>
                <w:color w:val="auto"/>
              </w:rPr>
              <w:t>Third-Party Valuation</w:t>
            </w:r>
          </w:p>
        </w:tc>
        <w:tc>
          <w:tcPr>
            <w:tcW w:w="1740" w:type="dxa"/>
            <w:vAlign w:val="bottom"/>
            <w:gridSpan w:val="2"/>
          </w:tcPr>
          <w:p>
            <w:pPr>
              <w:spacing w:after="0"/>
              <w:rPr>
                <w:sz w:val="20"/>
                <w:szCs w:val="20"/>
                <w:color w:val="auto"/>
              </w:rPr>
            </w:pPr>
            <w:r>
              <w:rPr>
                <w:rFonts w:ascii="Arial" w:cs="Arial" w:eastAsia="Arial" w:hAnsi="Arial"/>
                <w:sz w:val="13"/>
                <w:szCs w:val="13"/>
                <w:color w:val="auto"/>
              </w:rPr>
              <w:t>Offered quotes</w:t>
            </w:r>
          </w:p>
        </w:tc>
        <w:tc>
          <w:tcPr>
            <w:tcW w:w="520" w:type="dxa"/>
            <w:vAlign w:val="bottom"/>
            <w:gridSpan w:val="2"/>
          </w:tcPr>
          <w:p>
            <w:pPr>
              <w:ind w:left="20"/>
              <w:spacing w:after="0"/>
              <w:rPr>
                <w:sz w:val="20"/>
                <w:szCs w:val="20"/>
                <w:color w:val="auto"/>
              </w:rPr>
            </w:pPr>
            <w:r>
              <w:rPr>
                <w:rFonts w:ascii="Arial" w:cs="Arial" w:eastAsia="Arial" w:hAnsi="Arial"/>
                <w:sz w:val="13"/>
                <w:szCs w:val="13"/>
                <w:color w:val="auto"/>
                <w:w w:val="93"/>
              </w:rPr>
              <w:t>108.78%</w:t>
            </w:r>
          </w:p>
        </w:tc>
        <w:tc>
          <w:tcPr>
            <w:tcW w:w="1440" w:type="dxa"/>
            <w:vAlign w:val="bottom"/>
          </w:tcPr>
          <w:p>
            <w:pPr>
              <w:spacing w:after="0"/>
              <w:rPr>
                <w:sz w:val="20"/>
                <w:szCs w:val="20"/>
                <w:color w:val="auto"/>
              </w:rPr>
            </w:pPr>
            <w:r>
              <w:rPr>
                <w:rFonts w:ascii="Arial" w:cs="Arial" w:eastAsia="Arial" w:hAnsi="Arial"/>
                <w:sz w:val="13"/>
                <w:szCs w:val="13"/>
                <w:color w:val="auto"/>
              </w:rPr>
              <w:t>- 116.83% (111.29%)</w:t>
            </w: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368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Short-term</w:t>
            </w:r>
          </w:p>
        </w:tc>
        <w:tc>
          <w:tcPr>
            <w:tcW w:w="124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192</w:t>
            </w:r>
          </w:p>
        </w:tc>
        <w:tc>
          <w:tcPr>
            <w:tcW w:w="100" w:type="dxa"/>
            <w:vAlign w:val="bottom"/>
            <w:shd w:val="clear" w:color="auto" w:fill="CCEEFF"/>
          </w:tcPr>
          <w:p>
            <w:pPr>
              <w:spacing w:after="0"/>
              <w:rPr>
                <w:sz w:val="12"/>
                <w:szCs w:val="12"/>
                <w:color w:val="auto"/>
              </w:rPr>
            </w:pPr>
          </w:p>
        </w:tc>
        <w:tc>
          <w:tcPr>
            <w:tcW w:w="212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Broker-quoted</w:t>
            </w:r>
          </w:p>
        </w:tc>
        <w:tc>
          <w:tcPr>
            <w:tcW w:w="174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Offered quotes</w:t>
            </w:r>
          </w:p>
        </w:tc>
        <w:tc>
          <w:tcPr>
            <w:tcW w:w="5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3"/>
                <w:szCs w:val="13"/>
                <w:color w:val="auto"/>
                <w:w w:val="93"/>
              </w:rPr>
              <w:t>100.00%</w:t>
            </w:r>
          </w:p>
        </w:tc>
        <w:tc>
          <w:tcPr>
            <w:tcW w:w="14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- 100.00%</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680" w:type="dxa"/>
            <w:vAlign w:val="bottom"/>
            <w:gridSpan w:val="2"/>
            <w:vMerge w:val="continue"/>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20" w:type="dxa"/>
            <w:vAlign w:val="bottom"/>
            <w:gridSpan w:val="2"/>
            <w:vMerge w:val="continue"/>
            <w:shd w:val="clear" w:color="auto" w:fill="CCEEFF"/>
          </w:tcPr>
          <w:p>
            <w:pPr>
              <w:spacing w:after="0"/>
              <w:rPr>
                <w:sz w:val="14"/>
                <w:szCs w:val="14"/>
                <w:color w:val="auto"/>
              </w:rPr>
            </w:pPr>
          </w:p>
        </w:tc>
        <w:tc>
          <w:tcPr>
            <w:tcW w:w="1740" w:type="dxa"/>
            <w:vAlign w:val="bottom"/>
            <w:gridSpan w:val="2"/>
            <w:vMerge w:val="continue"/>
            <w:shd w:val="clear" w:color="auto" w:fill="CCEEFF"/>
          </w:tcPr>
          <w:p>
            <w:pPr>
              <w:spacing w:after="0"/>
              <w:rPr>
                <w:sz w:val="14"/>
                <w:szCs w:val="14"/>
                <w:color w:val="auto"/>
              </w:rPr>
            </w:pPr>
          </w:p>
        </w:tc>
        <w:tc>
          <w:tcPr>
            <w:tcW w:w="19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80" w:type="dxa"/>
            <w:vAlign w:val="bottom"/>
            <w:gridSpan w:val="2"/>
          </w:tcPr>
          <w:p>
            <w:pPr>
              <w:spacing w:after="0"/>
              <w:rPr>
                <w:sz w:val="20"/>
                <w:szCs w:val="20"/>
                <w:color w:val="auto"/>
              </w:rPr>
            </w:pPr>
            <w:r>
              <w:rPr>
                <w:rFonts w:ascii="Arial" w:cs="Arial" w:eastAsia="Arial" w:hAnsi="Arial"/>
                <w:sz w:val="13"/>
                <w:szCs w:val="13"/>
                <w:color w:val="auto"/>
              </w:rPr>
              <w:t>Preferred securities</w:t>
            </w:r>
          </w:p>
        </w:tc>
        <w:tc>
          <w:tcPr>
            <w:tcW w:w="12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2120" w:type="dxa"/>
            <w:vAlign w:val="bottom"/>
            <w:gridSpan w:val="2"/>
          </w:tcPr>
          <w:p>
            <w:pPr>
              <w:spacing w:after="0"/>
              <w:rPr>
                <w:sz w:val="20"/>
                <w:szCs w:val="20"/>
                <w:color w:val="auto"/>
              </w:rPr>
            </w:pPr>
            <w:r>
              <w:rPr>
                <w:rFonts w:ascii="Arial" w:cs="Arial" w:eastAsia="Arial" w:hAnsi="Arial"/>
                <w:sz w:val="13"/>
                <w:szCs w:val="13"/>
                <w:color w:val="auto"/>
              </w:rPr>
              <w:t>Income-Approach</w:t>
            </w:r>
          </w:p>
        </w:tc>
        <w:tc>
          <w:tcPr>
            <w:tcW w:w="1740" w:type="dxa"/>
            <w:vAlign w:val="bottom"/>
            <w:gridSpan w:val="2"/>
          </w:tcPr>
          <w:p>
            <w:pPr>
              <w:spacing w:after="0"/>
              <w:rPr>
                <w:sz w:val="20"/>
                <w:szCs w:val="20"/>
                <w:color w:val="auto"/>
              </w:rPr>
            </w:pPr>
            <w:r>
              <w:rPr>
                <w:rFonts w:ascii="Arial" w:cs="Arial" w:eastAsia="Arial" w:hAnsi="Arial"/>
                <w:sz w:val="13"/>
                <w:szCs w:val="13"/>
                <w:color w:val="auto"/>
              </w:rPr>
              <w:t>Yield</w:t>
            </w:r>
          </w:p>
        </w:tc>
        <w:tc>
          <w:tcPr>
            <w:tcW w:w="380" w:type="dxa"/>
            <w:vAlign w:val="bottom"/>
          </w:tcPr>
          <w:p>
            <w:pPr>
              <w:ind w:left="20"/>
              <w:spacing w:after="0"/>
              <w:rPr>
                <w:sz w:val="20"/>
                <w:szCs w:val="20"/>
                <w:color w:val="auto"/>
              </w:rPr>
            </w:pPr>
            <w:r>
              <w:rPr>
                <w:rFonts w:ascii="Arial" w:cs="Arial" w:eastAsia="Arial" w:hAnsi="Arial"/>
                <w:sz w:val="13"/>
                <w:szCs w:val="13"/>
                <w:color w:val="auto"/>
                <w:w w:val="92"/>
              </w:rPr>
              <w:t>2.49%</w:t>
            </w: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securities</w:t>
            </w:r>
          </w:p>
        </w:tc>
        <w:tc>
          <w:tcPr>
            <w:tcW w:w="12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Black Scholes model</w:t>
            </w:r>
          </w:p>
        </w:tc>
        <w:tc>
          <w:tcPr>
            <w:tcW w:w="17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Risk Free Rate</w:t>
            </w:r>
          </w:p>
        </w:tc>
        <w:tc>
          <w:tcPr>
            <w:tcW w:w="3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2"/>
              </w:rPr>
              <w:t>0.50%</w:t>
            </w: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- 0.50% (0.50%)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ind w:left="40"/>
              <w:spacing w:after="0"/>
              <w:rPr>
                <w:sz w:val="20"/>
                <w:szCs w:val="20"/>
                <w:color w:val="auto"/>
              </w:rPr>
            </w:pPr>
            <w:r>
              <w:rPr>
                <w:rFonts w:ascii="Arial" w:cs="Arial" w:eastAsia="Arial" w:hAnsi="Arial"/>
                <w:sz w:val="13"/>
                <w:szCs w:val="13"/>
                <w:color w:val="auto"/>
              </w:rPr>
              <w:t>Strike Price</w:t>
            </w:r>
          </w:p>
        </w:tc>
        <w:tc>
          <w:tcPr>
            <w:tcW w:w="1960" w:type="dxa"/>
            <w:vAlign w:val="bottom"/>
            <w:gridSpan w:val="3"/>
          </w:tcPr>
          <w:p>
            <w:pPr>
              <w:ind w:left="20"/>
              <w:spacing w:after="0"/>
              <w:rPr>
                <w:sz w:val="20"/>
                <w:szCs w:val="20"/>
                <w:color w:val="auto"/>
              </w:rPr>
            </w:pPr>
            <w:r>
              <w:rPr>
                <w:rFonts w:ascii="Arial" w:cs="Arial" w:eastAsia="Arial" w:hAnsi="Arial"/>
                <w:sz w:val="13"/>
                <w:szCs w:val="13"/>
                <w:color w:val="auto"/>
              </w:rPr>
              <w:t>$1.50 - $1.50 ($1.50)</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Volatility</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3"/>
              </w:rPr>
              <w:t>150.00%</w:t>
            </w:r>
          </w:p>
        </w:tc>
        <w:tc>
          <w:tcPr>
            <w:tcW w:w="1440" w:type="dxa"/>
            <w:vAlign w:val="bottom"/>
            <w:shd w:val="clear" w:color="auto" w:fill="CCEEFF"/>
          </w:tcPr>
          <w:p>
            <w:pPr>
              <w:spacing w:after="0"/>
              <w:rPr>
                <w:sz w:val="20"/>
                <w:szCs w:val="20"/>
                <w:color w:val="auto"/>
              </w:rPr>
            </w:pPr>
            <w:r>
              <w:rPr>
                <w:rFonts w:ascii="Arial" w:cs="Arial" w:eastAsia="Arial" w:hAnsi="Arial"/>
                <w:sz w:val="13"/>
                <w:szCs w:val="13"/>
                <w:color w:val="auto"/>
              </w:rPr>
              <w:t>- 150.00% (150.00%)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ind w:left="40"/>
              <w:spacing w:after="0"/>
              <w:rPr>
                <w:sz w:val="20"/>
                <w:szCs w:val="20"/>
                <w:color w:val="auto"/>
              </w:rPr>
            </w:pPr>
            <w:r>
              <w:rPr>
                <w:rFonts w:ascii="Arial" w:cs="Arial" w:eastAsia="Arial" w:hAnsi="Arial"/>
                <w:sz w:val="13"/>
                <w:szCs w:val="13"/>
                <w:color w:val="auto"/>
              </w:rPr>
              <w:t>Dividend Yield</w:t>
            </w:r>
          </w:p>
        </w:tc>
        <w:tc>
          <w:tcPr>
            <w:tcW w:w="380" w:type="dxa"/>
            <w:vAlign w:val="bottom"/>
          </w:tcPr>
          <w:p>
            <w:pPr>
              <w:ind w:left="20"/>
              <w:spacing w:after="0"/>
              <w:rPr>
                <w:sz w:val="20"/>
                <w:szCs w:val="20"/>
                <w:color w:val="auto"/>
              </w:rPr>
            </w:pPr>
            <w:r>
              <w:rPr>
                <w:rFonts w:ascii="Arial" w:cs="Arial" w:eastAsia="Arial" w:hAnsi="Arial"/>
                <w:sz w:val="13"/>
                <w:szCs w:val="13"/>
                <w:color w:val="auto"/>
                <w:w w:val="92"/>
              </w:rPr>
              <w:t>0.00%</w:t>
            </w:r>
          </w:p>
        </w:tc>
        <w:tc>
          <w:tcPr>
            <w:tcW w:w="1580" w:type="dxa"/>
            <w:vAlign w:val="bottom"/>
            <w:gridSpan w:val="2"/>
          </w:tcPr>
          <w:p>
            <w:pPr>
              <w:ind w:left="20"/>
              <w:spacing w:after="0"/>
              <w:rPr>
                <w:sz w:val="20"/>
                <w:szCs w:val="20"/>
                <w:color w:val="auto"/>
              </w:rPr>
            </w:pPr>
            <w:r>
              <w:rPr>
                <w:rFonts w:ascii="Arial" w:cs="Arial" w:eastAsia="Arial" w:hAnsi="Arial"/>
                <w:sz w:val="13"/>
                <w:szCs w:val="13"/>
                <w:color w:val="auto"/>
              </w:rPr>
              <w:t>- 0.00% (0.00%)</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securities</w:t>
            </w:r>
          </w:p>
        </w:tc>
        <w:tc>
          <w:tcPr>
            <w:tcW w:w="12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Broker Quoted</w:t>
            </w:r>
          </w:p>
        </w:tc>
        <w:tc>
          <w:tcPr>
            <w:tcW w:w="1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Offered quotes</w:t>
            </w:r>
          </w:p>
        </w:tc>
        <w:tc>
          <w:tcPr>
            <w:tcW w:w="19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44.00% - 100.00% (78.00%)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80" w:type="dxa"/>
            <w:vAlign w:val="bottom"/>
            <w:gridSpan w:val="2"/>
          </w:tcPr>
          <w:p>
            <w:pPr>
              <w:spacing w:after="0"/>
              <w:rPr>
                <w:sz w:val="20"/>
                <w:szCs w:val="20"/>
                <w:color w:val="auto"/>
              </w:rPr>
            </w:pPr>
            <w:r>
              <w:rPr>
                <w:rFonts w:ascii="Arial" w:cs="Arial" w:eastAsia="Arial" w:hAnsi="Arial"/>
                <w:sz w:val="13"/>
                <w:szCs w:val="13"/>
                <w:color w:val="auto"/>
              </w:rPr>
              <w:t>Equity securities</w:t>
            </w:r>
          </w:p>
        </w:tc>
        <w:tc>
          <w:tcPr>
            <w:tcW w:w="12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2120" w:type="dxa"/>
            <w:vAlign w:val="bottom"/>
            <w:gridSpan w:val="2"/>
          </w:tcPr>
          <w:p>
            <w:pPr>
              <w:spacing w:after="0"/>
              <w:rPr>
                <w:sz w:val="20"/>
                <w:szCs w:val="20"/>
                <w:color w:val="auto"/>
              </w:rPr>
            </w:pPr>
            <w:r>
              <w:rPr>
                <w:rFonts w:ascii="Arial" w:cs="Arial" w:eastAsia="Arial" w:hAnsi="Arial"/>
                <w:sz w:val="13"/>
                <w:szCs w:val="13"/>
                <w:color w:val="auto"/>
              </w:rPr>
              <w:t>Discounted Cash Flow</w:t>
            </w:r>
          </w:p>
        </w:tc>
        <w:tc>
          <w:tcPr>
            <w:tcW w:w="1740" w:type="dxa"/>
            <w:vAlign w:val="bottom"/>
            <w:gridSpan w:val="2"/>
          </w:tcPr>
          <w:p>
            <w:pPr>
              <w:ind w:left="40"/>
              <w:spacing w:after="0"/>
              <w:rPr>
                <w:sz w:val="20"/>
                <w:szCs w:val="20"/>
                <w:color w:val="auto"/>
              </w:rPr>
            </w:pPr>
            <w:r>
              <w:rPr>
                <w:rFonts w:ascii="Arial" w:cs="Arial" w:eastAsia="Arial" w:hAnsi="Arial"/>
                <w:sz w:val="13"/>
                <w:szCs w:val="13"/>
                <w:color w:val="auto"/>
              </w:rPr>
              <w:t>Discount rate</w:t>
            </w:r>
          </w:p>
        </w:tc>
        <w:tc>
          <w:tcPr>
            <w:tcW w:w="1960" w:type="dxa"/>
            <w:vAlign w:val="bottom"/>
            <w:gridSpan w:val="3"/>
          </w:tcPr>
          <w:p>
            <w:pPr>
              <w:ind w:left="20"/>
              <w:spacing w:after="0"/>
              <w:rPr>
                <w:sz w:val="20"/>
                <w:szCs w:val="20"/>
                <w:color w:val="auto"/>
              </w:rPr>
            </w:pPr>
            <w:r>
              <w:rPr>
                <w:rFonts w:ascii="Arial" w:cs="Arial" w:eastAsia="Arial" w:hAnsi="Arial"/>
                <w:sz w:val="13"/>
                <w:szCs w:val="13"/>
                <w:color w:val="auto"/>
              </w:rPr>
              <w:t>13.37% - 13.37% (13.37%)</w:t>
            </w: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Market Comparable Company</w:t>
            </w:r>
          </w:p>
        </w:tc>
        <w:tc>
          <w:tcPr>
            <w:tcW w:w="1740" w:type="dxa"/>
            <w:vAlign w:val="bottom"/>
            <w:gridSpan w:val="2"/>
            <w:vMerge w:val="restart"/>
            <w:shd w:val="clear" w:color="auto" w:fill="CCEEFF"/>
          </w:tcPr>
          <w:p>
            <w:pPr>
              <w:ind w:left="40"/>
              <w:spacing w:after="0"/>
              <w:rPr>
                <w:sz w:val="20"/>
                <w:szCs w:val="20"/>
                <w:color w:val="auto"/>
              </w:rPr>
            </w:pPr>
            <w:r>
              <w:rPr>
                <w:rFonts w:ascii="Arial" w:cs="Arial" w:eastAsia="Arial" w:hAnsi="Arial"/>
                <w:sz w:val="13"/>
                <w:szCs w:val="13"/>
                <w:color w:val="auto"/>
              </w:rPr>
              <w:t>EBITDA multiple</w:t>
            </w:r>
          </w:p>
        </w:tc>
        <w:tc>
          <w:tcPr>
            <w:tcW w:w="1960" w:type="dxa"/>
            <w:vAlign w:val="bottom"/>
            <w:gridSpan w:val="3"/>
            <w:vMerge w:val="restart"/>
            <w:shd w:val="clear" w:color="auto" w:fill="CCEEFF"/>
          </w:tcPr>
          <w:p>
            <w:pPr>
              <w:ind w:left="20"/>
              <w:spacing w:after="0"/>
              <w:rPr>
                <w:sz w:val="20"/>
                <w:szCs w:val="20"/>
                <w:color w:val="auto"/>
              </w:rPr>
            </w:pPr>
            <w:r>
              <w:rPr>
                <w:rFonts w:ascii="Arial" w:cs="Arial" w:eastAsia="Arial" w:hAnsi="Arial"/>
                <w:sz w:val="13"/>
                <w:szCs w:val="13"/>
                <w:color w:val="auto"/>
              </w:rPr>
              <w:t>6.6x - 6.6x (6.6x)</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Analysis</w:t>
            </w:r>
          </w:p>
        </w:tc>
        <w:tc>
          <w:tcPr>
            <w:tcW w:w="1740" w:type="dxa"/>
            <w:vAlign w:val="bottom"/>
            <w:gridSpan w:val="2"/>
            <w:vMerge w:val="continue"/>
            <w:shd w:val="clear" w:color="auto" w:fill="CCEEFF"/>
          </w:tcPr>
          <w:p>
            <w:pPr>
              <w:spacing w:after="0"/>
              <w:rPr>
                <w:sz w:val="14"/>
                <w:szCs w:val="14"/>
                <w:color w:val="auto"/>
              </w:rPr>
            </w:pPr>
          </w:p>
        </w:tc>
        <w:tc>
          <w:tcPr>
            <w:tcW w:w="196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80" w:type="dxa"/>
            <w:vAlign w:val="bottom"/>
            <w:gridSpan w:val="2"/>
          </w:tcPr>
          <w:p>
            <w:pPr>
              <w:spacing w:after="0"/>
              <w:rPr>
                <w:sz w:val="20"/>
                <w:szCs w:val="20"/>
                <w:color w:val="auto"/>
              </w:rPr>
            </w:pPr>
            <w:r>
              <w:rPr>
                <w:rFonts w:ascii="Arial" w:cs="Arial" w:eastAsia="Arial" w:hAnsi="Arial"/>
                <w:sz w:val="13"/>
                <w:szCs w:val="13"/>
                <w:color w:val="auto"/>
              </w:rPr>
              <w:t>Other long-term assets:</w:t>
            </w: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6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Available-for-sale embedded derivative</w:t>
            </w:r>
          </w:p>
        </w:tc>
        <w:tc>
          <w:tcPr>
            <w:tcW w:w="12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Third-Party Valuation</w:t>
            </w:r>
          </w:p>
        </w:tc>
        <w:tc>
          <w:tcPr>
            <w:tcW w:w="1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Market value of fund</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3"/>
              </w:rPr>
              <w:t>100.00%</w:t>
            </w: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80" w:type="dxa"/>
            <w:vAlign w:val="bottom"/>
            <w:gridSpan w:val="2"/>
          </w:tcPr>
          <w:p>
            <w:pPr>
              <w:ind w:left="160"/>
              <w:spacing w:after="0"/>
              <w:rPr>
                <w:sz w:val="20"/>
                <w:szCs w:val="20"/>
                <w:color w:val="auto"/>
              </w:rPr>
            </w:pPr>
            <w:r>
              <w:rPr>
                <w:rFonts w:ascii="Arial" w:cs="Arial" w:eastAsia="Arial" w:hAnsi="Arial"/>
                <w:sz w:val="13"/>
                <w:szCs w:val="13"/>
                <w:color w:val="auto"/>
              </w:rPr>
              <w:t>Credit Linked Note</w:t>
            </w:r>
          </w:p>
        </w:tc>
        <w:tc>
          <w:tcPr>
            <w:tcW w:w="12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5"/>
                <w:szCs w:val="15"/>
                <w:color w:val="auto"/>
              </w:rPr>
            </w:pPr>
          </w:p>
        </w:tc>
        <w:tc>
          <w:tcPr>
            <w:tcW w:w="2120" w:type="dxa"/>
            <w:vAlign w:val="bottom"/>
            <w:gridSpan w:val="2"/>
          </w:tcPr>
          <w:p>
            <w:pPr>
              <w:spacing w:after="0"/>
              <w:rPr>
                <w:sz w:val="20"/>
                <w:szCs w:val="20"/>
                <w:color w:val="auto"/>
              </w:rPr>
            </w:pPr>
            <w:r>
              <w:rPr>
                <w:rFonts w:ascii="Arial" w:cs="Arial" w:eastAsia="Arial" w:hAnsi="Arial"/>
                <w:sz w:val="13"/>
                <w:szCs w:val="13"/>
                <w:color w:val="auto"/>
              </w:rPr>
              <w:t>Broker-quoted</w:t>
            </w:r>
          </w:p>
        </w:tc>
        <w:tc>
          <w:tcPr>
            <w:tcW w:w="1740" w:type="dxa"/>
            <w:vAlign w:val="bottom"/>
            <w:gridSpan w:val="2"/>
          </w:tcPr>
          <w:p>
            <w:pPr>
              <w:spacing w:after="0"/>
              <w:rPr>
                <w:sz w:val="20"/>
                <w:szCs w:val="20"/>
                <w:color w:val="auto"/>
              </w:rPr>
            </w:pPr>
            <w:r>
              <w:rPr>
                <w:rFonts w:ascii="Arial" w:cs="Arial" w:eastAsia="Arial" w:hAnsi="Arial"/>
                <w:sz w:val="13"/>
                <w:szCs w:val="13"/>
                <w:color w:val="auto"/>
              </w:rPr>
              <w:t>Offered quotes</w:t>
            </w:r>
          </w:p>
        </w:tc>
        <w:tc>
          <w:tcPr>
            <w:tcW w:w="520" w:type="dxa"/>
            <w:vAlign w:val="bottom"/>
            <w:gridSpan w:val="2"/>
          </w:tcPr>
          <w:p>
            <w:pPr>
              <w:ind w:left="20"/>
              <w:spacing w:after="0"/>
              <w:rPr>
                <w:sz w:val="20"/>
                <w:szCs w:val="20"/>
                <w:color w:val="auto"/>
              </w:rPr>
            </w:pPr>
            <w:r>
              <w:rPr>
                <w:rFonts w:ascii="Arial" w:cs="Arial" w:eastAsia="Arial" w:hAnsi="Arial"/>
                <w:sz w:val="13"/>
                <w:szCs w:val="13"/>
                <w:color w:val="auto"/>
                <w:w w:val="93"/>
              </w:rPr>
              <w:t>100.00%</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financial assets at fair value</w:t>
            </w:r>
          </w:p>
        </w:tc>
        <w:tc>
          <w:tcPr>
            <w:tcW w:w="1240" w:type="dxa"/>
            <w:vAlign w:val="bottom"/>
            <w:tcBorders>
              <w:bottom w:val="single" w:sz="8" w:color="auto"/>
            </w:tcBorders>
            <w:shd w:val="clear" w:color="auto" w:fill="CCEEFF"/>
          </w:tcPr>
          <w:p>
            <w:pPr>
              <w:jc w:val="right"/>
              <w:ind w:right="1094"/>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5,103</w:t>
            </w: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6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3"/>
                <w:szCs w:val="13"/>
                <w:b w:val="1"/>
                <w:bCs w:val="1"/>
                <w:color w:val="auto"/>
              </w:rPr>
              <w:t>Liabilities</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3680" w:type="dxa"/>
            <w:vAlign w:val="bottom"/>
            <w:gridSpan w:val="2"/>
            <w:vMerge w:val="continue"/>
          </w:tcPr>
          <w:p>
            <w:pPr>
              <w:spacing w:after="0"/>
              <w:rPr>
                <w:sz w:val="10"/>
                <w:szCs w:val="10"/>
                <w:color w:val="auto"/>
              </w:rPr>
            </w:pPr>
          </w:p>
        </w:tc>
        <w:tc>
          <w:tcPr>
            <w:tcW w:w="1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80" w:type="dxa"/>
            <w:vAlign w:val="bottom"/>
            <w:gridSpan w:val="2"/>
          </w:tcPr>
          <w:p>
            <w:pPr>
              <w:spacing w:after="0"/>
              <w:rPr>
                <w:sz w:val="20"/>
                <w:szCs w:val="20"/>
                <w:color w:val="auto"/>
              </w:rPr>
            </w:pPr>
            <w:r>
              <w:rPr>
                <w:rFonts w:ascii="Arial" w:cs="Arial" w:eastAsia="Arial" w:hAnsi="Arial"/>
                <w:sz w:val="13"/>
                <w:szCs w:val="13"/>
                <w:color w:val="auto"/>
              </w:rPr>
              <w:t>Derivatives:</w:t>
            </w: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6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FIA embedded derivatives, included in contractholder funds</w:t>
            </w:r>
          </w:p>
        </w:tc>
        <w:tc>
          <w:tcPr>
            <w:tcW w:w="1240" w:type="dxa"/>
            <w:vAlign w:val="bottom"/>
            <w:shd w:val="clear" w:color="auto" w:fill="CCEEFF"/>
          </w:tcPr>
          <w:p>
            <w:pPr>
              <w:jc w:val="right"/>
              <w:ind w:right="1094"/>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3,439</w:t>
            </w: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Discounted cash flow</w:t>
            </w:r>
          </w:p>
        </w:tc>
        <w:tc>
          <w:tcPr>
            <w:tcW w:w="1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Market value of option</w:t>
            </w:r>
          </w:p>
        </w:tc>
        <w:tc>
          <w:tcPr>
            <w:tcW w:w="3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2"/>
              </w:rPr>
              <w:t>0.00%</w:t>
            </w: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- 28.41% (2.48%)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spacing w:after="0"/>
              <w:rPr>
                <w:sz w:val="20"/>
                <w:szCs w:val="20"/>
                <w:color w:val="auto"/>
              </w:rPr>
            </w:pPr>
            <w:r>
              <w:rPr>
                <w:rFonts w:ascii="Arial" w:cs="Arial" w:eastAsia="Arial" w:hAnsi="Arial"/>
                <w:sz w:val="13"/>
                <w:szCs w:val="13"/>
                <w:color w:val="auto"/>
              </w:rPr>
              <w:t>Swap rates</w:t>
            </w:r>
          </w:p>
        </w:tc>
        <w:tc>
          <w:tcPr>
            <w:tcW w:w="380" w:type="dxa"/>
            <w:vAlign w:val="bottom"/>
          </w:tcPr>
          <w:p>
            <w:pPr>
              <w:ind w:left="20"/>
              <w:spacing w:after="0"/>
              <w:rPr>
                <w:sz w:val="20"/>
                <w:szCs w:val="20"/>
                <w:color w:val="auto"/>
              </w:rPr>
            </w:pPr>
            <w:r>
              <w:rPr>
                <w:rFonts w:ascii="Arial" w:cs="Arial" w:eastAsia="Arial" w:hAnsi="Arial"/>
                <w:sz w:val="13"/>
                <w:szCs w:val="13"/>
                <w:color w:val="auto"/>
                <w:w w:val="92"/>
              </w:rPr>
              <w:t>0.01%</w:t>
            </w:r>
          </w:p>
        </w:tc>
        <w:tc>
          <w:tcPr>
            <w:tcW w:w="1580" w:type="dxa"/>
            <w:vAlign w:val="bottom"/>
            <w:gridSpan w:val="2"/>
          </w:tcPr>
          <w:p>
            <w:pPr>
              <w:ind w:left="20"/>
              <w:spacing w:after="0"/>
              <w:rPr>
                <w:sz w:val="20"/>
                <w:szCs w:val="20"/>
                <w:color w:val="auto"/>
              </w:rPr>
            </w:pPr>
            <w:r>
              <w:rPr>
                <w:rFonts w:ascii="Arial" w:cs="Arial" w:eastAsia="Arial" w:hAnsi="Arial"/>
                <w:sz w:val="13"/>
                <w:szCs w:val="13"/>
                <w:color w:val="auto"/>
              </w:rPr>
              <w:t>- 2.41% (1.21%)</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Mortality multiplier</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3"/>
              </w:rPr>
              <w:t>100.00%</w:t>
            </w:r>
          </w:p>
        </w:tc>
        <w:tc>
          <w:tcPr>
            <w:tcW w:w="1440" w:type="dxa"/>
            <w:vAlign w:val="bottom"/>
            <w:shd w:val="clear" w:color="auto" w:fill="CCEEFF"/>
          </w:tcPr>
          <w:p>
            <w:pPr>
              <w:spacing w:after="0"/>
              <w:rPr>
                <w:sz w:val="20"/>
                <w:szCs w:val="20"/>
                <w:color w:val="auto"/>
              </w:rPr>
            </w:pPr>
            <w:r>
              <w:rPr>
                <w:rFonts w:ascii="Arial" w:cs="Arial" w:eastAsia="Arial" w:hAnsi="Arial"/>
                <w:sz w:val="13"/>
                <w:szCs w:val="13"/>
                <w:color w:val="auto"/>
              </w:rPr>
              <w:t>- 100.00% (100.00%)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spacing w:after="0"/>
              <w:rPr>
                <w:sz w:val="20"/>
                <w:szCs w:val="20"/>
                <w:color w:val="auto"/>
              </w:rPr>
            </w:pPr>
            <w:r>
              <w:rPr>
                <w:rFonts w:ascii="Arial" w:cs="Arial" w:eastAsia="Arial" w:hAnsi="Arial"/>
                <w:sz w:val="13"/>
                <w:szCs w:val="13"/>
                <w:color w:val="auto"/>
              </w:rPr>
              <w:t>Surrender rates</w:t>
            </w:r>
          </w:p>
        </w:tc>
        <w:tc>
          <w:tcPr>
            <w:tcW w:w="380" w:type="dxa"/>
            <w:vAlign w:val="bottom"/>
          </w:tcPr>
          <w:p>
            <w:pPr>
              <w:ind w:left="20"/>
              <w:spacing w:after="0"/>
              <w:rPr>
                <w:sz w:val="20"/>
                <w:szCs w:val="20"/>
                <w:color w:val="auto"/>
              </w:rPr>
            </w:pPr>
            <w:r>
              <w:rPr>
                <w:rFonts w:ascii="Arial" w:cs="Arial" w:eastAsia="Arial" w:hAnsi="Arial"/>
                <w:sz w:val="13"/>
                <w:szCs w:val="13"/>
                <w:color w:val="auto"/>
                <w:w w:val="92"/>
              </w:rPr>
              <w:t>0.25%</w:t>
            </w:r>
          </w:p>
        </w:tc>
        <w:tc>
          <w:tcPr>
            <w:tcW w:w="1580" w:type="dxa"/>
            <w:vAlign w:val="bottom"/>
            <w:gridSpan w:val="2"/>
          </w:tcPr>
          <w:p>
            <w:pPr>
              <w:ind w:left="20"/>
              <w:spacing w:after="0"/>
              <w:rPr>
                <w:sz w:val="20"/>
                <w:szCs w:val="20"/>
                <w:color w:val="auto"/>
              </w:rPr>
            </w:pPr>
            <w:r>
              <w:rPr>
                <w:rFonts w:ascii="Arial" w:cs="Arial" w:eastAsia="Arial" w:hAnsi="Arial"/>
                <w:sz w:val="13"/>
                <w:szCs w:val="13"/>
                <w:color w:val="auto"/>
              </w:rPr>
              <w:t>- 70.00% (6.19%)</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Partial withdrawals</w:t>
            </w:r>
          </w:p>
        </w:tc>
        <w:tc>
          <w:tcPr>
            <w:tcW w:w="3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2"/>
              </w:rPr>
              <w:t>2.00%</w:t>
            </w: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- 21.74% (2.72%)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spacing w:after="0"/>
              <w:rPr>
                <w:sz w:val="20"/>
                <w:szCs w:val="20"/>
                <w:color w:val="auto"/>
              </w:rPr>
            </w:pPr>
            <w:r>
              <w:rPr>
                <w:rFonts w:ascii="Arial" w:cs="Arial" w:eastAsia="Arial" w:hAnsi="Arial"/>
                <w:sz w:val="13"/>
                <w:szCs w:val="13"/>
                <w:color w:val="auto"/>
              </w:rPr>
              <w:t>Non-performance spread</w:t>
            </w:r>
          </w:p>
        </w:tc>
        <w:tc>
          <w:tcPr>
            <w:tcW w:w="380" w:type="dxa"/>
            <w:vAlign w:val="bottom"/>
          </w:tcPr>
          <w:p>
            <w:pPr>
              <w:ind w:left="20"/>
              <w:spacing w:after="0"/>
              <w:rPr>
                <w:sz w:val="20"/>
                <w:szCs w:val="20"/>
                <w:color w:val="auto"/>
              </w:rPr>
            </w:pPr>
            <w:r>
              <w:rPr>
                <w:rFonts w:ascii="Arial" w:cs="Arial" w:eastAsia="Arial" w:hAnsi="Arial"/>
                <w:sz w:val="13"/>
                <w:szCs w:val="13"/>
                <w:color w:val="auto"/>
                <w:w w:val="92"/>
              </w:rPr>
              <w:t>0.30%</w:t>
            </w:r>
          </w:p>
        </w:tc>
        <w:tc>
          <w:tcPr>
            <w:tcW w:w="1580" w:type="dxa"/>
            <w:vAlign w:val="bottom"/>
            <w:gridSpan w:val="2"/>
          </w:tcPr>
          <w:p>
            <w:pPr>
              <w:ind w:left="20"/>
              <w:spacing w:after="0"/>
              <w:rPr>
                <w:sz w:val="20"/>
                <w:szCs w:val="20"/>
                <w:color w:val="auto"/>
              </w:rPr>
            </w:pPr>
            <w:r>
              <w:rPr>
                <w:rFonts w:ascii="Arial" w:cs="Arial" w:eastAsia="Arial" w:hAnsi="Arial"/>
                <w:sz w:val="13"/>
                <w:szCs w:val="13"/>
                <w:color w:val="auto"/>
              </w:rPr>
              <w:t>- 0.93% (0.62%)</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Option cost</w:t>
            </w:r>
          </w:p>
        </w:tc>
        <w:tc>
          <w:tcPr>
            <w:tcW w:w="3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2"/>
              </w:rPr>
              <w:t>0.00%</w:t>
            </w: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- 4.97% (1.81%)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20" w:type="dxa"/>
            <w:vAlign w:val="bottom"/>
          </w:tcPr>
          <w:p>
            <w:pPr>
              <w:spacing w:after="0"/>
              <w:rPr>
                <w:sz w:val="20"/>
                <w:szCs w:val="20"/>
                <w:color w:val="auto"/>
              </w:rPr>
            </w:pPr>
            <w:r>
              <w:rPr>
                <w:rFonts w:ascii="Arial" w:cs="Arial" w:eastAsia="Arial" w:hAnsi="Arial"/>
                <w:sz w:val="13"/>
                <w:szCs w:val="13"/>
                <w:color w:val="auto"/>
              </w:rPr>
              <w:t>Total financial liabilities at fair value</w:t>
            </w:r>
          </w:p>
        </w:tc>
        <w:tc>
          <w:tcPr>
            <w:tcW w:w="1240" w:type="dxa"/>
            <w:vAlign w:val="bottom"/>
            <w:tcBorders>
              <w:bottom w:val="single" w:sz="8" w:color="auto"/>
            </w:tcBorders>
          </w:tcPr>
          <w:p>
            <w:pPr>
              <w:jc w:val="right"/>
              <w:ind w:right="1094"/>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3,439</w:t>
            </w: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2" w:name="page23"/>
    <w:bookmarkEnd w:id="2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220" w:type="dxa"/>
            <w:vAlign w:val="bottom"/>
          </w:tcPr>
          <w:p>
            <w:pPr>
              <w:jc w:val="center"/>
              <w:ind w:left="357"/>
              <w:spacing w:after="0"/>
              <w:rPr>
                <w:sz w:val="20"/>
                <w:szCs w:val="20"/>
                <w:color w:val="auto"/>
              </w:rPr>
            </w:pPr>
            <w:r>
              <w:rPr>
                <w:rFonts w:ascii="Arial" w:cs="Arial" w:eastAsia="Arial" w:hAnsi="Arial"/>
                <w:sz w:val="12"/>
                <w:szCs w:val="12"/>
                <w:b w:val="1"/>
                <w:bCs w:val="1"/>
                <w:color w:val="auto"/>
                <w:w w:val="89"/>
              </w:rPr>
              <w:t>Fair Value at</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640" w:type="dxa"/>
            <w:vAlign w:val="bottom"/>
            <w:gridSpan w:val="2"/>
          </w:tcPr>
          <w:p>
            <w:pPr>
              <w:jc w:val="center"/>
              <w:spacing w:after="0"/>
              <w:rPr>
                <w:sz w:val="20"/>
                <w:szCs w:val="20"/>
                <w:color w:val="auto"/>
              </w:rPr>
            </w:pPr>
            <w:r>
              <w:rPr>
                <w:rFonts w:ascii="Arial" w:cs="Arial" w:eastAsia="Arial" w:hAnsi="Arial"/>
                <w:sz w:val="12"/>
                <w:szCs w:val="12"/>
                <w:b w:val="1"/>
                <w:bCs w:val="1"/>
                <w:color w:val="auto"/>
                <w:w w:val="88"/>
              </w:rPr>
              <w:t>December 31, 2020</w:t>
            </w: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2"/>
          </w:tcPr>
          <w:p>
            <w:pPr>
              <w:ind w:left="320"/>
              <w:spacing w:after="0"/>
              <w:rPr>
                <w:sz w:val="20"/>
                <w:szCs w:val="20"/>
                <w:color w:val="auto"/>
              </w:rPr>
            </w:pPr>
            <w:r>
              <w:rPr>
                <w:rFonts w:ascii="Arial" w:cs="Arial" w:eastAsia="Arial" w:hAnsi="Arial"/>
                <w:sz w:val="12"/>
                <w:szCs w:val="12"/>
                <w:b w:val="1"/>
                <w:bCs w:val="1"/>
                <w:color w:val="auto"/>
              </w:rPr>
              <w:t>Range (Weighted average)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220" w:type="dxa"/>
            <w:vAlign w:val="bottom"/>
          </w:tcPr>
          <w:p>
            <w:pPr>
              <w:jc w:val="center"/>
              <w:ind w:left="357"/>
              <w:spacing w:after="0"/>
              <w:rPr>
                <w:sz w:val="20"/>
                <w:szCs w:val="20"/>
                <w:color w:val="auto"/>
              </w:rPr>
            </w:pPr>
            <w:r>
              <w:rPr>
                <w:rFonts w:ascii="Arial" w:cs="Arial" w:eastAsia="Arial" w:hAnsi="Arial"/>
                <w:sz w:val="12"/>
                <w:szCs w:val="12"/>
                <w:b w:val="1"/>
                <w:bCs w:val="1"/>
                <w:color w:val="auto"/>
                <w:w w:val="89"/>
              </w:rPr>
              <w:t>(in millions)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2"/>
          </w:tcPr>
          <w:p>
            <w:pPr>
              <w:ind w:left="480"/>
              <w:spacing w:after="0"/>
              <w:rPr>
                <w:sz w:val="20"/>
                <w:szCs w:val="20"/>
                <w:color w:val="auto"/>
              </w:rPr>
            </w:pPr>
            <w:r>
              <w:rPr>
                <w:rFonts w:ascii="Arial" w:cs="Arial" w:eastAsia="Arial" w:hAnsi="Arial"/>
                <w:sz w:val="12"/>
                <w:szCs w:val="12"/>
                <w:b w:val="1"/>
                <w:bCs w:val="1"/>
                <w:color w:val="auto"/>
              </w:rPr>
              <w:t>Valuation Technique</w:t>
            </w:r>
          </w:p>
        </w:tc>
        <w:tc>
          <w:tcPr>
            <w:tcW w:w="1760" w:type="dxa"/>
            <w:vAlign w:val="bottom"/>
            <w:gridSpan w:val="2"/>
          </w:tcPr>
          <w:p>
            <w:pPr>
              <w:ind w:left="260"/>
              <w:spacing w:after="0"/>
              <w:rPr>
                <w:sz w:val="20"/>
                <w:szCs w:val="20"/>
                <w:color w:val="auto"/>
              </w:rPr>
            </w:pPr>
            <w:r>
              <w:rPr>
                <w:rFonts w:ascii="Arial" w:cs="Arial" w:eastAsia="Arial" w:hAnsi="Arial"/>
                <w:sz w:val="12"/>
                <w:szCs w:val="12"/>
                <w:b w:val="1"/>
                <w:bCs w:val="1"/>
                <w:color w:val="auto"/>
              </w:rPr>
              <w:t>Unobservable Input(s)</w:t>
            </w:r>
          </w:p>
        </w:tc>
        <w:tc>
          <w:tcPr>
            <w:tcW w:w="360" w:type="dxa"/>
            <w:vAlign w:val="bottom"/>
          </w:tcPr>
          <w:p>
            <w:pPr>
              <w:spacing w:after="0"/>
              <w:rPr>
                <w:sz w:val="15"/>
                <w:szCs w:val="15"/>
                <w:color w:val="auto"/>
              </w:rPr>
            </w:pPr>
          </w:p>
        </w:tc>
        <w:tc>
          <w:tcPr>
            <w:tcW w:w="1600" w:type="dxa"/>
            <w:vAlign w:val="bottom"/>
          </w:tcPr>
          <w:p>
            <w:pPr>
              <w:ind w:left="140"/>
              <w:spacing w:after="0"/>
              <w:rPr>
                <w:sz w:val="20"/>
                <w:szCs w:val="20"/>
                <w:color w:val="auto"/>
              </w:rPr>
            </w:pPr>
            <w:r>
              <w:rPr>
                <w:rFonts w:ascii="Arial" w:cs="Arial" w:eastAsia="Arial" w:hAnsi="Arial"/>
                <w:sz w:val="12"/>
                <w:szCs w:val="12"/>
                <w:b w:val="1"/>
                <w:bCs w:val="1"/>
                <w:color w:val="auto"/>
              </w:rPr>
              <w:t>December 31, 2020</w:t>
            </w:r>
          </w:p>
        </w:tc>
        <w:tc>
          <w:tcPr>
            <w:tcW w:w="0" w:type="dxa"/>
            <w:vAlign w:val="bottom"/>
          </w:tcPr>
          <w:p>
            <w:pPr>
              <w:spacing w:after="0"/>
              <w:rPr>
                <w:sz w:val="1"/>
                <w:szCs w:val="1"/>
                <w:color w:val="auto"/>
              </w:rPr>
            </w:pPr>
          </w:p>
        </w:tc>
      </w:tr>
      <w:tr>
        <w:trPr>
          <w:trHeight w:val="120"/>
        </w:trPr>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320" w:type="dxa"/>
            <w:vAlign w:val="bottom"/>
            <w:tcBorders>
              <w:top w:val="single" w:sz="8" w:color="CCEEFF"/>
              <w:bottom w:val="single" w:sz="8" w:color="auto"/>
            </w:tcBorders>
            <w:shd w:val="clear" w:color="auto" w:fill="CCEEFF"/>
          </w:tcPr>
          <w:p>
            <w:pPr>
              <w:spacing w:after="0" w:line="107" w:lineRule="exact"/>
              <w:rPr>
                <w:sz w:val="20"/>
                <w:szCs w:val="20"/>
                <w:color w:val="auto"/>
              </w:rPr>
            </w:pPr>
            <w:r>
              <w:rPr>
                <w:rFonts w:ascii="Arial" w:cs="Arial" w:eastAsia="Arial" w:hAnsi="Arial"/>
                <w:sz w:val="12"/>
                <w:szCs w:val="12"/>
                <w:b w:val="1"/>
                <w:bCs w:val="1"/>
                <w:color w:val="auto"/>
                <w:w w:val="76"/>
              </w:rPr>
              <w:t>Assets</w:t>
            </w:r>
          </w:p>
        </w:tc>
        <w:tc>
          <w:tcPr>
            <w:tcW w:w="3380" w:type="dxa"/>
            <w:vAlign w:val="bottom"/>
            <w:tcBorders>
              <w:top w:val="single" w:sz="8" w:color="CCEEFF"/>
              <w:bottom w:val="single" w:sz="8" w:color="CCEEFF"/>
            </w:tcBorders>
            <w:shd w:val="clear" w:color="auto" w:fill="CCEEFF"/>
          </w:tcPr>
          <w:p>
            <w:pPr>
              <w:spacing w:after="0"/>
              <w:rPr>
                <w:sz w:val="10"/>
                <w:szCs w:val="10"/>
                <w:color w:val="auto"/>
              </w:rPr>
            </w:pPr>
          </w:p>
        </w:tc>
        <w:tc>
          <w:tcPr>
            <w:tcW w:w="1220" w:type="dxa"/>
            <w:vAlign w:val="bottom"/>
            <w:tcBorders>
              <w:top w:val="single" w:sz="8" w:color="auto"/>
              <w:bottom w:val="single" w:sz="8" w:color="CCEEFF"/>
            </w:tcBorders>
            <w:shd w:val="clear" w:color="auto" w:fill="CCEEFF"/>
          </w:tcPr>
          <w:p>
            <w:pPr>
              <w:spacing w:after="0"/>
              <w:rPr>
                <w:sz w:val="10"/>
                <w:szCs w:val="10"/>
                <w:color w:val="auto"/>
              </w:rPr>
            </w:pPr>
          </w:p>
        </w:tc>
        <w:tc>
          <w:tcPr>
            <w:tcW w:w="42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00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66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360" w:type="dxa"/>
            <w:vAlign w:val="bottom"/>
            <w:tcBorders>
              <w:top w:val="single" w:sz="8" w:color="auto"/>
              <w:bottom w:val="single" w:sz="8" w:color="CCEEFF"/>
            </w:tcBorders>
            <w:shd w:val="clear" w:color="auto" w:fill="CCEEFF"/>
          </w:tcPr>
          <w:p>
            <w:pPr>
              <w:spacing w:after="0"/>
              <w:rPr>
                <w:sz w:val="10"/>
                <w:szCs w:val="10"/>
                <w:color w:val="auto"/>
              </w:rPr>
            </w:pPr>
          </w:p>
        </w:tc>
        <w:tc>
          <w:tcPr>
            <w:tcW w:w="1600" w:type="dxa"/>
            <w:vAlign w:val="bottom"/>
            <w:tcBorders>
              <w:top w:val="single" w:sz="8" w:color="auto"/>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00" w:type="dxa"/>
            <w:vAlign w:val="bottom"/>
            <w:gridSpan w:val="2"/>
          </w:tcPr>
          <w:p>
            <w:pPr>
              <w:spacing w:after="0"/>
              <w:rPr>
                <w:sz w:val="20"/>
                <w:szCs w:val="20"/>
                <w:color w:val="auto"/>
              </w:rPr>
            </w:pPr>
            <w:r>
              <w:rPr>
                <w:rFonts w:ascii="Arial" w:cs="Arial" w:eastAsia="Arial" w:hAnsi="Arial"/>
                <w:sz w:val="13"/>
                <w:szCs w:val="13"/>
                <w:color w:val="auto"/>
              </w:rPr>
              <w:t>Asset-backed securities</w:t>
            </w:r>
          </w:p>
        </w:tc>
        <w:tc>
          <w:tcPr>
            <w:tcW w:w="1220" w:type="dxa"/>
            <w:vAlign w:val="bottom"/>
          </w:tcPr>
          <w:p>
            <w:pPr>
              <w:jc w:val="right"/>
              <w:ind w:right="1077"/>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1,175</w:t>
            </w:r>
          </w:p>
        </w:tc>
        <w:tc>
          <w:tcPr>
            <w:tcW w:w="100" w:type="dxa"/>
            <w:vAlign w:val="bottom"/>
          </w:tcPr>
          <w:p>
            <w:pPr>
              <w:spacing w:after="0"/>
              <w:rPr>
                <w:sz w:val="15"/>
                <w:szCs w:val="15"/>
                <w:color w:val="auto"/>
              </w:rPr>
            </w:pPr>
          </w:p>
        </w:tc>
        <w:tc>
          <w:tcPr>
            <w:tcW w:w="2100" w:type="dxa"/>
            <w:vAlign w:val="bottom"/>
            <w:gridSpan w:val="2"/>
          </w:tcPr>
          <w:p>
            <w:pPr>
              <w:ind w:left="20"/>
              <w:spacing w:after="0"/>
              <w:rPr>
                <w:sz w:val="20"/>
                <w:szCs w:val="20"/>
                <w:color w:val="auto"/>
              </w:rPr>
            </w:pPr>
            <w:r>
              <w:rPr>
                <w:rFonts w:ascii="Arial" w:cs="Arial" w:eastAsia="Arial" w:hAnsi="Arial"/>
                <w:sz w:val="13"/>
                <w:szCs w:val="13"/>
                <w:color w:val="auto"/>
              </w:rPr>
              <w:t>Broker-quoted</w:t>
            </w:r>
          </w:p>
        </w:tc>
        <w:tc>
          <w:tcPr>
            <w:tcW w:w="1760" w:type="dxa"/>
            <w:vAlign w:val="bottom"/>
            <w:gridSpan w:val="2"/>
          </w:tcPr>
          <w:p>
            <w:pPr>
              <w:ind w:left="20"/>
              <w:spacing w:after="0"/>
              <w:rPr>
                <w:sz w:val="20"/>
                <w:szCs w:val="20"/>
                <w:color w:val="auto"/>
              </w:rPr>
            </w:pPr>
            <w:r>
              <w:rPr>
                <w:rFonts w:ascii="Arial" w:cs="Arial" w:eastAsia="Arial" w:hAnsi="Arial"/>
                <w:sz w:val="13"/>
                <w:szCs w:val="13"/>
                <w:color w:val="auto"/>
              </w:rPr>
              <w:t>Offered quotes</w:t>
            </w:r>
          </w:p>
        </w:tc>
        <w:tc>
          <w:tcPr>
            <w:tcW w:w="1960" w:type="dxa"/>
            <w:vAlign w:val="bottom"/>
            <w:gridSpan w:val="2"/>
          </w:tcPr>
          <w:p>
            <w:pPr>
              <w:spacing w:after="0"/>
              <w:rPr>
                <w:sz w:val="20"/>
                <w:szCs w:val="20"/>
                <w:color w:val="auto"/>
              </w:rPr>
            </w:pPr>
            <w:r>
              <w:rPr>
                <w:rFonts w:ascii="Arial" w:cs="Arial" w:eastAsia="Arial" w:hAnsi="Arial"/>
                <w:sz w:val="13"/>
                <w:szCs w:val="13"/>
                <w:color w:val="auto"/>
              </w:rPr>
              <w:t>85% - 126.15% (103.96%)</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Asset-backed securities</w:t>
            </w: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10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Third-Party Valuation</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Offered quotes</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w w:val="92"/>
              </w:rPr>
              <w:t>0.00%</w:t>
            </w:r>
          </w:p>
        </w:tc>
        <w:tc>
          <w:tcPr>
            <w:tcW w:w="1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- 107.25% (79.87%)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00" w:type="dxa"/>
            <w:vAlign w:val="bottom"/>
            <w:gridSpan w:val="2"/>
          </w:tcPr>
          <w:p>
            <w:pPr>
              <w:spacing w:after="0"/>
              <w:rPr>
                <w:sz w:val="20"/>
                <w:szCs w:val="20"/>
                <w:color w:val="auto"/>
              </w:rPr>
            </w:pPr>
            <w:r>
              <w:rPr>
                <w:rFonts w:ascii="Arial" w:cs="Arial" w:eastAsia="Arial" w:hAnsi="Arial"/>
                <w:sz w:val="13"/>
                <w:szCs w:val="13"/>
                <w:color w:val="auto"/>
              </w:rPr>
              <w:t>Commercial mortgage-backed securities</w:t>
            </w:r>
          </w:p>
        </w:tc>
        <w:tc>
          <w:tcPr>
            <w:tcW w:w="1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5"/>
                <w:szCs w:val="15"/>
                <w:color w:val="auto"/>
              </w:rPr>
            </w:pPr>
          </w:p>
        </w:tc>
        <w:tc>
          <w:tcPr>
            <w:tcW w:w="2100" w:type="dxa"/>
            <w:vAlign w:val="bottom"/>
            <w:gridSpan w:val="2"/>
          </w:tcPr>
          <w:p>
            <w:pPr>
              <w:ind w:left="20"/>
              <w:spacing w:after="0"/>
              <w:rPr>
                <w:sz w:val="20"/>
                <w:szCs w:val="20"/>
                <w:color w:val="auto"/>
              </w:rPr>
            </w:pPr>
            <w:r>
              <w:rPr>
                <w:rFonts w:ascii="Arial" w:cs="Arial" w:eastAsia="Arial" w:hAnsi="Arial"/>
                <w:sz w:val="13"/>
                <w:szCs w:val="13"/>
                <w:color w:val="auto"/>
              </w:rPr>
              <w:t>Broker-quoted</w:t>
            </w:r>
          </w:p>
        </w:tc>
        <w:tc>
          <w:tcPr>
            <w:tcW w:w="1760" w:type="dxa"/>
            <w:vAlign w:val="bottom"/>
            <w:gridSpan w:val="2"/>
          </w:tcPr>
          <w:p>
            <w:pPr>
              <w:ind w:left="20"/>
              <w:spacing w:after="0"/>
              <w:rPr>
                <w:sz w:val="20"/>
                <w:szCs w:val="20"/>
                <w:color w:val="auto"/>
              </w:rPr>
            </w:pPr>
            <w:r>
              <w:rPr>
                <w:rFonts w:ascii="Arial" w:cs="Arial" w:eastAsia="Arial" w:hAnsi="Arial"/>
                <w:sz w:val="13"/>
                <w:szCs w:val="13"/>
                <w:color w:val="auto"/>
              </w:rPr>
              <w:t>Offered quotes</w:t>
            </w:r>
          </w:p>
        </w:tc>
        <w:tc>
          <w:tcPr>
            <w:tcW w:w="1960" w:type="dxa"/>
            <w:vAlign w:val="bottom"/>
            <w:gridSpan w:val="2"/>
          </w:tcPr>
          <w:p>
            <w:pPr>
              <w:spacing w:after="0"/>
              <w:rPr>
                <w:sz w:val="20"/>
                <w:szCs w:val="20"/>
                <w:color w:val="auto"/>
              </w:rPr>
            </w:pPr>
            <w:r>
              <w:rPr>
                <w:rFonts w:ascii="Arial" w:cs="Arial" w:eastAsia="Arial" w:hAnsi="Arial"/>
                <w:sz w:val="13"/>
                <w:szCs w:val="13"/>
                <w:color w:val="auto"/>
              </w:rPr>
              <w:t>131.59% - 131.59% (131.59%)</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Corporates</w:t>
            </w: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w:t>
            </w:r>
          </w:p>
        </w:tc>
        <w:tc>
          <w:tcPr>
            <w:tcW w:w="10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Broker-quoted</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Offered quotes</w:t>
            </w:r>
          </w:p>
        </w:tc>
        <w:tc>
          <w:tcPr>
            <w:tcW w:w="1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75.20% - 114.68% ( 103.36%)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00" w:type="dxa"/>
            <w:vAlign w:val="bottom"/>
            <w:gridSpan w:val="2"/>
          </w:tcPr>
          <w:p>
            <w:pPr>
              <w:spacing w:after="0"/>
              <w:rPr>
                <w:sz w:val="20"/>
                <w:szCs w:val="20"/>
                <w:color w:val="auto"/>
              </w:rPr>
            </w:pPr>
            <w:r>
              <w:rPr>
                <w:rFonts w:ascii="Arial" w:cs="Arial" w:eastAsia="Arial" w:hAnsi="Arial"/>
                <w:sz w:val="13"/>
                <w:szCs w:val="13"/>
                <w:color w:val="auto"/>
              </w:rPr>
              <w:t>Corporates</w:t>
            </w:r>
          </w:p>
        </w:tc>
        <w:tc>
          <w:tcPr>
            <w:tcW w:w="1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901</w:t>
            </w:r>
          </w:p>
        </w:tc>
        <w:tc>
          <w:tcPr>
            <w:tcW w:w="100" w:type="dxa"/>
            <w:vAlign w:val="bottom"/>
          </w:tcPr>
          <w:p>
            <w:pPr>
              <w:spacing w:after="0"/>
              <w:rPr>
                <w:sz w:val="15"/>
                <w:szCs w:val="15"/>
                <w:color w:val="auto"/>
              </w:rPr>
            </w:pPr>
          </w:p>
        </w:tc>
        <w:tc>
          <w:tcPr>
            <w:tcW w:w="2100" w:type="dxa"/>
            <w:vAlign w:val="bottom"/>
            <w:gridSpan w:val="2"/>
          </w:tcPr>
          <w:p>
            <w:pPr>
              <w:ind w:left="20"/>
              <w:spacing w:after="0"/>
              <w:rPr>
                <w:sz w:val="20"/>
                <w:szCs w:val="20"/>
                <w:color w:val="auto"/>
              </w:rPr>
            </w:pPr>
            <w:r>
              <w:rPr>
                <w:rFonts w:ascii="Arial" w:cs="Arial" w:eastAsia="Arial" w:hAnsi="Arial"/>
                <w:sz w:val="13"/>
                <w:szCs w:val="13"/>
                <w:color w:val="auto"/>
              </w:rPr>
              <w:t>Third-Party Valuation</w:t>
            </w:r>
          </w:p>
        </w:tc>
        <w:tc>
          <w:tcPr>
            <w:tcW w:w="1760" w:type="dxa"/>
            <w:vAlign w:val="bottom"/>
            <w:gridSpan w:val="2"/>
          </w:tcPr>
          <w:p>
            <w:pPr>
              <w:ind w:left="20"/>
              <w:spacing w:after="0"/>
              <w:rPr>
                <w:sz w:val="20"/>
                <w:szCs w:val="20"/>
                <w:color w:val="auto"/>
              </w:rPr>
            </w:pPr>
            <w:r>
              <w:rPr>
                <w:rFonts w:ascii="Arial" w:cs="Arial" w:eastAsia="Arial" w:hAnsi="Arial"/>
                <w:sz w:val="13"/>
                <w:szCs w:val="13"/>
                <w:color w:val="auto"/>
              </w:rPr>
              <w:t>Offered quotes</w:t>
            </w:r>
          </w:p>
        </w:tc>
        <w:tc>
          <w:tcPr>
            <w:tcW w:w="1960" w:type="dxa"/>
            <w:vAlign w:val="bottom"/>
            <w:gridSpan w:val="2"/>
          </w:tcPr>
          <w:p>
            <w:pPr>
              <w:spacing w:after="0"/>
              <w:rPr>
                <w:sz w:val="20"/>
                <w:szCs w:val="20"/>
                <w:color w:val="auto"/>
              </w:rPr>
            </w:pPr>
            <w:r>
              <w:rPr>
                <w:rFonts w:ascii="Arial" w:cs="Arial" w:eastAsia="Arial" w:hAnsi="Arial"/>
                <w:sz w:val="13"/>
                <w:szCs w:val="13"/>
                <w:color w:val="auto"/>
              </w:rPr>
              <w:t>88.42% - 125.83% (109.47%)</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Hybrids</w:t>
            </w: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Third-Party Valuation</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Offered quotes</w:t>
            </w:r>
          </w:p>
        </w:tc>
        <w:tc>
          <w:tcPr>
            <w:tcW w:w="1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112.06% - 112.06% ( 112.06%)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00" w:type="dxa"/>
            <w:vAlign w:val="bottom"/>
            <w:gridSpan w:val="2"/>
          </w:tcPr>
          <w:p>
            <w:pPr>
              <w:spacing w:after="0"/>
              <w:rPr>
                <w:sz w:val="20"/>
                <w:szCs w:val="20"/>
                <w:color w:val="auto"/>
              </w:rPr>
            </w:pPr>
            <w:r>
              <w:rPr>
                <w:rFonts w:ascii="Arial" w:cs="Arial" w:eastAsia="Arial" w:hAnsi="Arial"/>
                <w:sz w:val="13"/>
                <w:szCs w:val="13"/>
                <w:color w:val="auto"/>
              </w:rPr>
              <w:t>Municipals</w:t>
            </w:r>
          </w:p>
        </w:tc>
        <w:tc>
          <w:tcPr>
            <w:tcW w:w="1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5"/>
                <w:szCs w:val="15"/>
                <w:color w:val="auto"/>
              </w:rPr>
            </w:pPr>
          </w:p>
        </w:tc>
        <w:tc>
          <w:tcPr>
            <w:tcW w:w="2100" w:type="dxa"/>
            <w:vAlign w:val="bottom"/>
            <w:gridSpan w:val="2"/>
          </w:tcPr>
          <w:p>
            <w:pPr>
              <w:ind w:left="20"/>
              <w:spacing w:after="0"/>
              <w:rPr>
                <w:sz w:val="20"/>
                <w:szCs w:val="20"/>
                <w:color w:val="auto"/>
              </w:rPr>
            </w:pPr>
            <w:r>
              <w:rPr>
                <w:rFonts w:ascii="Arial" w:cs="Arial" w:eastAsia="Arial" w:hAnsi="Arial"/>
                <w:sz w:val="13"/>
                <w:szCs w:val="13"/>
                <w:color w:val="auto"/>
              </w:rPr>
              <w:t>Third-Party Valuation</w:t>
            </w:r>
          </w:p>
        </w:tc>
        <w:tc>
          <w:tcPr>
            <w:tcW w:w="1760" w:type="dxa"/>
            <w:vAlign w:val="bottom"/>
            <w:gridSpan w:val="2"/>
          </w:tcPr>
          <w:p>
            <w:pPr>
              <w:ind w:left="20"/>
              <w:spacing w:after="0"/>
              <w:rPr>
                <w:sz w:val="20"/>
                <w:szCs w:val="20"/>
                <w:color w:val="auto"/>
              </w:rPr>
            </w:pPr>
            <w:r>
              <w:rPr>
                <w:rFonts w:ascii="Arial" w:cs="Arial" w:eastAsia="Arial" w:hAnsi="Arial"/>
                <w:sz w:val="13"/>
                <w:szCs w:val="13"/>
                <w:color w:val="auto"/>
              </w:rPr>
              <w:t>Offered quotes</w:t>
            </w:r>
          </w:p>
        </w:tc>
        <w:tc>
          <w:tcPr>
            <w:tcW w:w="1960" w:type="dxa"/>
            <w:vAlign w:val="bottom"/>
            <w:gridSpan w:val="2"/>
          </w:tcPr>
          <w:p>
            <w:pPr>
              <w:spacing w:after="0"/>
              <w:rPr>
                <w:sz w:val="20"/>
                <w:szCs w:val="20"/>
                <w:color w:val="auto"/>
              </w:rPr>
            </w:pPr>
            <w:r>
              <w:rPr>
                <w:rFonts w:ascii="Arial" w:cs="Arial" w:eastAsia="Arial" w:hAnsi="Arial"/>
                <w:sz w:val="13"/>
                <w:szCs w:val="13"/>
                <w:color w:val="auto"/>
              </w:rPr>
              <w:t>133.53% - 133.53% (133.53%)</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Residential mortgage-backed securities</w:t>
            </w: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w:t>
            </w:r>
          </w:p>
        </w:tc>
        <w:tc>
          <w:tcPr>
            <w:tcW w:w="10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Broker-quoted</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Offered quotes</w:t>
            </w:r>
          </w:p>
        </w:tc>
        <w:tc>
          <w:tcPr>
            <w:tcW w:w="1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112.58% - 112.58% (112.58%)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00" w:type="dxa"/>
            <w:vAlign w:val="bottom"/>
            <w:gridSpan w:val="2"/>
          </w:tcPr>
          <w:p>
            <w:pPr>
              <w:spacing w:after="0"/>
              <w:rPr>
                <w:sz w:val="20"/>
                <w:szCs w:val="20"/>
                <w:color w:val="auto"/>
              </w:rPr>
            </w:pPr>
            <w:r>
              <w:rPr>
                <w:rFonts w:ascii="Arial" w:cs="Arial" w:eastAsia="Arial" w:hAnsi="Arial"/>
                <w:sz w:val="13"/>
                <w:szCs w:val="13"/>
                <w:color w:val="auto"/>
              </w:rPr>
              <w:t>Foreign governments</w:t>
            </w:r>
          </w:p>
        </w:tc>
        <w:tc>
          <w:tcPr>
            <w:tcW w:w="1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5"/>
                <w:szCs w:val="15"/>
                <w:color w:val="auto"/>
              </w:rPr>
            </w:pPr>
          </w:p>
        </w:tc>
        <w:tc>
          <w:tcPr>
            <w:tcW w:w="2100" w:type="dxa"/>
            <w:vAlign w:val="bottom"/>
            <w:gridSpan w:val="2"/>
          </w:tcPr>
          <w:p>
            <w:pPr>
              <w:ind w:left="20"/>
              <w:spacing w:after="0"/>
              <w:rPr>
                <w:sz w:val="20"/>
                <w:szCs w:val="20"/>
                <w:color w:val="auto"/>
              </w:rPr>
            </w:pPr>
            <w:r>
              <w:rPr>
                <w:rFonts w:ascii="Arial" w:cs="Arial" w:eastAsia="Arial" w:hAnsi="Arial"/>
                <w:sz w:val="13"/>
                <w:szCs w:val="13"/>
                <w:color w:val="auto"/>
              </w:rPr>
              <w:t>Third-Party Valuation</w:t>
            </w:r>
          </w:p>
        </w:tc>
        <w:tc>
          <w:tcPr>
            <w:tcW w:w="1760" w:type="dxa"/>
            <w:vAlign w:val="bottom"/>
            <w:gridSpan w:val="2"/>
          </w:tcPr>
          <w:p>
            <w:pPr>
              <w:ind w:left="20"/>
              <w:spacing w:after="0"/>
              <w:rPr>
                <w:sz w:val="20"/>
                <w:szCs w:val="20"/>
                <w:color w:val="auto"/>
              </w:rPr>
            </w:pPr>
            <w:r>
              <w:rPr>
                <w:rFonts w:ascii="Arial" w:cs="Arial" w:eastAsia="Arial" w:hAnsi="Arial"/>
                <w:sz w:val="13"/>
                <w:szCs w:val="13"/>
                <w:color w:val="auto"/>
              </w:rPr>
              <w:t>Offered quotes</w:t>
            </w:r>
          </w:p>
        </w:tc>
        <w:tc>
          <w:tcPr>
            <w:tcW w:w="1960" w:type="dxa"/>
            <w:vAlign w:val="bottom"/>
            <w:gridSpan w:val="2"/>
          </w:tcPr>
          <w:p>
            <w:pPr>
              <w:spacing w:after="0"/>
              <w:rPr>
                <w:sz w:val="20"/>
                <w:szCs w:val="20"/>
                <w:color w:val="auto"/>
              </w:rPr>
            </w:pPr>
            <w:r>
              <w:rPr>
                <w:rFonts w:ascii="Arial" w:cs="Arial" w:eastAsia="Arial" w:hAnsi="Arial"/>
                <w:sz w:val="13"/>
                <w:szCs w:val="13"/>
                <w:color w:val="auto"/>
              </w:rPr>
              <w:t>107.87% - 113.80% (109.72%)</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securities</w:t>
            </w: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Income-Approach</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Yield</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w w:val="92"/>
              </w:rPr>
              <w:t>2.61%</w:t>
            </w: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00" w:type="dxa"/>
            <w:vAlign w:val="bottom"/>
            <w:gridSpan w:val="2"/>
          </w:tcPr>
          <w:p>
            <w:pPr>
              <w:spacing w:after="0"/>
              <w:rPr>
                <w:sz w:val="20"/>
                <w:szCs w:val="20"/>
                <w:color w:val="auto"/>
              </w:rPr>
            </w:pPr>
            <w:r>
              <w:rPr>
                <w:rFonts w:ascii="Arial" w:cs="Arial" w:eastAsia="Arial" w:hAnsi="Arial"/>
                <w:sz w:val="13"/>
                <w:szCs w:val="13"/>
                <w:color w:val="auto"/>
              </w:rPr>
              <w:t>Equity securities</w:t>
            </w:r>
          </w:p>
        </w:tc>
        <w:tc>
          <w:tcPr>
            <w:tcW w:w="1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2100" w:type="dxa"/>
            <w:vAlign w:val="bottom"/>
            <w:gridSpan w:val="2"/>
          </w:tcPr>
          <w:p>
            <w:pPr>
              <w:ind w:left="20"/>
              <w:spacing w:after="0"/>
              <w:rPr>
                <w:sz w:val="20"/>
                <w:szCs w:val="20"/>
                <w:color w:val="auto"/>
              </w:rPr>
            </w:pPr>
            <w:r>
              <w:rPr>
                <w:rFonts w:ascii="Arial" w:cs="Arial" w:eastAsia="Arial" w:hAnsi="Arial"/>
                <w:sz w:val="13"/>
                <w:szCs w:val="13"/>
                <w:color w:val="auto"/>
              </w:rPr>
              <w:t>Black Scholes model</w:t>
            </w:r>
          </w:p>
        </w:tc>
        <w:tc>
          <w:tcPr>
            <w:tcW w:w="1760" w:type="dxa"/>
            <w:vAlign w:val="bottom"/>
            <w:gridSpan w:val="2"/>
          </w:tcPr>
          <w:p>
            <w:pPr>
              <w:ind w:left="40"/>
              <w:spacing w:after="0"/>
              <w:rPr>
                <w:sz w:val="20"/>
                <w:szCs w:val="20"/>
                <w:color w:val="auto"/>
              </w:rPr>
            </w:pPr>
            <w:r>
              <w:rPr>
                <w:rFonts w:ascii="Arial" w:cs="Arial" w:eastAsia="Arial" w:hAnsi="Arial"/>
                <w:sz w:val="13"/>
                <w:szCs w:val="13"/>
                <w:color w:val="auto"/>
              </w:rPr>
              <w:t>Risk Free Rate</w:t>
            </w:r>
          </w:p>
        </w:tc>
        <w:tc>
          <w:tcPr>
            <w:tcW w:w="360" w:type="dxa"/>
            <w:vAlign w:val="bottom"/>
          </w:tcPr>
          <w:p>
            <w:pPr>
              <w:spacing w:after="0"/>
              <w:rPr>
                <w:sz w:val="20"/>
                <w:szCs w:val="20"/>
                <w:color w:val="auto"/>
              </w:rPr>
            </w:pPr>
            <w:r>
              <w:rPr>
                <w:rFonts w:ascii="Arial" w:cs="Arial" w:eastAsia="Arial" w:hAnsi="Arial"/>
                <w:sz w:val="13"/>
                <w:szCs w:val="13"/>
                <w:color w:val="auto"/>
                <w:w w:val="92"/>
              </w:rPr>
              <w:t>0.29%</w:t>
            </w:r>
          </w:p>
        </w:tc>
        <w:tc>
          <w:tcPr>
            <w:tcW w:w="1600" w:type="dxa"/>
            <w:vAlign w:val="bottom"/>
          </w:tcPr>
          <w:p>
            <w:pPr>
              <w:ind w:left="20"/>
              <w:spacing w:after="0"/>
              <w:rPr>
                <w:sz w:val="20"/>
                <w:szCs w:val="20"/>
                <w:color w:val="auto"/>
              </w:rPr>
            </w:pPr>
            <w:r>
              <w:rPr>
                <w:rFonts w:ascii="Arial" w:cs="Arial" w:eastAsia="Arial" w:hAnsi="Arial"/>
                <w:sz w:val="13"/>
                <w:szCs w:val="13"/>
                <w:color w:val="auto"/>
              </w:rPr>
              <w:t>- 0.29% (0.29%)</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Strike Price</w:t>
            </w:r>
          </w:p>
        </w:tc>
        <w:tc>
          <w:tcPr>
            <w:tcW w:w="1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$1.50 - $1.50 ($1.50)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ind w:left="40"/>
              <w:spacing w:after="0"/>
              <w:rPr>
                <w:sz w:val="20"/>
                <w:szCs w:val="20"/>
                <w:color w:val="auto"/>
              </w:rPr>
            </w:pPr>
            <w:r>
              <w:rPr>
                <w:rFonts w:ascii="Arial" w:cs="Arial" w:eastAsia="Arial" w:hAnsi="Arial"/>
                <w:sz w:val="13"/>
                <w:szCs w:val="13"/>
                <w:color w:val="auto"/>
              </w:rPr>
              <w:t>Volatility</w:t>
            </w:r>
          </w:p>
        </w:tc>
        <w:tc>
          <w:tcPr>
            <w:tcW w:w="360" w:type="dxa"/>
            <w:vAlign w:val="bottom"/>
          </w:tcPr>
          <w:p>
            <w:pPr>
              <w:spacing w:after="0"/>
              <w:rPr>
                <w:sz w:val="20"/>
                <w:szCs w:val="20"/>
                <w:color w:val="auto"/>
              </w:rPr>
            </w:pPr>
            <w:r>
              <w:rPr>
                <w:rFonts w:ascii="Arial" w:cs="Arial" w:eastAsia="Arial" w:hAnsi="Arial"/>
                <w:sz w:val="13"/>
                <w:szCs w:val="13"/>
                <w:color w:val="auto"/>
                <w:w w:val="92"/>
              </w:rPr>
              <w:t>1.00%</w:t>
            </w:r>
          </w:p>
        </w:tc>
        <w:tc>
          <w:tcPr>
            <w:tcW w:w="1600" w:type="dxa"/>
            <w:vAlign w:val="bottom"/>
          </w:tcPr>
          <w:p>
            <w:pPr>
              <w:ind w:left="20"/>
              <w:spacing w:after="0"/>
              <w:rPr>
                <w:sz w:val="20"/>
                <w:szCs w:val="20"/>
                <w:color w:val="auto"/>
              </w:rPr>
            </w:pPr>
            <w:r>
              <w:rPr>
                <w:rFonts w:ascii="Arial" w:cs="Arial" w:eastAsia="Arial" w:hAnsi="Arial"/>
                <w:sz w:val="13"/>
                <w:szCs w:val="13"/>
                <w:color w:val="auto"/>
              </w:rPr>
              <w:t>- 1.00% (1.00%)</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Dividend Yield</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w w:val="92"/>
              </w:rPr>
              <w:t>0.00%</w:t>
            </w:r>
          </w:p>
        </w:tc>
        <w:tc>
          <w:tcPr>
            <w:tcW w:w="1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- 0.00% (0.00%)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00" w:type="dxa"/>
            <w:vAlign w:val="bottom"/>
            <w:gridSpan w:val="2"/>
          </w:tcPr>
          <w:p>
            <w:pPr>
              <w:spacing w:after="0"/>
              <w:rPr>
                <w:sz w:val="20"/>
                <w:szCs w:val="20"/>
                <w:color w:val="auto"/>
              </w:rPr>
            </w:pPr>
            <w:r>
              <w:rPr>
                <w:rFonts w:ascii="Arial" w:cs="Arial" w:eastAsia="Arial" w:hAnsi="Arial"/>
                <w:sz w:val="13"/>
                <w:szCs w:val="13"/>
                <w:color w:val="auto"/>
              </w:rPr>
              <w:t>Equity securities</w:t>
            </w:r>
          </w:p>
        </w:tc>
        <w:tc>
          <w:tcPr>
            <w:tcW w:w="1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2100" w:type="dxa"/>
            <w:vAlign w:val="bottom"/>
            <w:gridSpan w:val="2"/>
          </w:tcPr>
          <w:p>
            <w:pPr>
              <w:ind w:left="20"/>
              <w:spacing w:after="0"/>
              <w:rPr>
                <w:sz w:val="20"/>
                <w:szCs w:val="20"/>
                <w:color w:val="auto"/>
              </w:rPr>
            </w:pPr>
            <w:r>
              <w:rPr>
                <w:rFonts w:ascii="Arial" w:cs="Arial" w:eastAsia="Arial" w:hAnsi="Arial"/>
                <w:sz w:val="13"/>
                <w:szCs w:val="13"/>
                <w:color w:val="auto"/>
              </w:rPr>
              <w:t>Discounted Cash Flow</w:t>
            </w:r>
          </w:p>
        </w:tc>
        <w:tc>
          <w:tcPr>
            <w:tcW w:w="1760" w:type="dxa"/>
            <w:vAlign w:val="bottom"/>
            <w:gridSpan w:val="2"/>
          </w:tcPr>
          <w:p>
            <w:pPr>
              <w:ind w:left="40"/>
              <w:spacing w:after="0"/>
              <w:rPr>
                <w:sz w:val="20"/>
                <w:szCs w:val="20"/>
                <w:color w:val="auto"/>
              </w:rPr>
            </w:pPr>
            <w:r>
              <w:rPr>
                <w:rFonts w:ascii="Arial" w:cs="Arial" w:eastAsia="Arial" w:hAnsi="Arial"/>
                <w:sz w:val="13"/>
                <w:szCs w:val="13"/>
                <w:color w:val="auto"/>
              </w:rPr>
              <w:t>Discount rate</w:t>
            </w:r>
          </w:p>
        </w:tc>
        <w:tc>
          <w:tcPr>
            <w:tcW w:w="1960" w:type="dxa"/>
            <w:vAlign w:val="bottom"/>
            <w:gridSpan w:val="2"/>
          </w:tcPr>
          <w:p>
            <w:pPr>
              <w:spacing w:after="0"/>
              <w:rPr>
                <w:sz w:val="20"/>
                <w:szCs w:val="20"/>
                <w:color w:val="auto"/>
              </w:rPr>
            </w:pPr>
            <w:r>
              <w:rPr>
                <w:rFonts w:ascii="Arial" w:cs="Arial" w:eastAsia="Arial" w:hAnsi="Arial"/>
                <w:sz w:val="13"/>
                <w:szCs w:val="13"/>
                <w:color w:val="auto"/>
              </w:rPr>
              <w:t>10.60% - 10.60% (10.60%)</w:t>
            </w: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3"/>
                <w:szCs w:val="13"/>
                <w:color w:val="auto"/>
              </w:rPr>
              <w:t>Market Comparable Company</w:t>
            </w:r>
          </w:p>
        </w:tc>
        <w:tc>
          <w:tcPr>
            <w:tcW w:w="1760" w:type="dxa"/>
            <w:vAlign w:val="bottom"/>
            <w:gridSpan w:val="2"/>
            <w:vMerge w:val="restart"/>
            <w:shd w:val="clear" w:color="auto" w:fill="CCEEFF"/>
          </w:tcPr>
          <w:p>
            <w:pPr>
              <w:ind w:left="40"/>
              <w:spacing w:after="0"/>
              <w:rPr>
                <w:sz w:val="20"/>
                <w:szCs w:val="20"/>
                <w:color w:val="auto"/>
              </w:rPr>
            </w:pPr>
            <w:r>
              <w:rPr>
                <w:rFonts w:ascii="Arial" w:cs="Arial" w:eastAsia="Arial" w:hAnsi="Arial"/>
                <w:sz w:val="13"/>
                <w:szCs w:val="13"/>
                <w:color w:val="auto"/>
              </w:rPr>
              <w:t>EBITDA multiple</w:t>
            </w:r>
          </w:p>
        </w:tc>
        <w:tc>
          <w:tcPr>
            <w:tcW w:w="196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6.6x - 6.6x (6.6x)</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Analysis</w:t>
            </w:r>
          </w:p>
        </w:tc>
        <w:tc>
          <w:tcPr>
            <w:tcW w:w="1760" w:type="dxa"/>
            <w:vAlign w:val="bottom"/>
            <w:gridSpan w:val="2"/>
            <w:vMerge w:val="continue"/>
            <w:shd w:val="clear" w:color="auto" w:fill="CCEEFF"/>
          </w:tcPr>
          <w:p>
            <w:pPr>
              <w:spacing w:after="0"/>
              <w:rPr>
                <w:sz w:val="14"/>
                <w:szCs w:val="14"/>
                <w:color w:val="auto"/>
              </w:rPr>
            </w:pPr>
          </w:p>
        </w:tc>
        <w:tc>
          <w:tcPr>
            <w:tcW w:w="19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00" w:type="dxa"/>
            <w:vAlign w:val="bottom"/>
            <w:gridSpan w:val="2"/>
          </w:tcPr>
          <w:p>
            <w:pPr>
              <w:spacing w:after="0"/>
              <w:rPr>
                <w:sz w:val="20"/>
                <w:szCs w:val="20"/>
                <w:color w:val="auto"/>
              </w:rPr>
            </w:pPr>
            <w:r>
              <w:rPr>
                <w:rFonts w:ascii="Arial" w:cs="Arial" w:eastAsia="Arial" w:hAnsi="Arial"/>
                <w:sz w:val="13"/>
                <w:szCs w:val="13"/>
                <w:color w:val="auto"/>
              </w:rPr>
              <w:t>Other long-term assets:</w:t>
            </w: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Available-for-sale embedded derivative</w:t>
            </w: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Third-Party Valuation</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Market value of fund</w:t>
            </w:r>
          </w:p>
        </w:tc>
        <w:tc>
          <w:tcPr>
            <w:tcW w:w="1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00" w:type="dxa"/>
            <w:vAlign w:val="bottom"/>
            <w:gridSpan w:val="2"/>
          </w:tcPr>
          <w:p>
            <w:pPr>
              <w:ind w:left="160"/>
              <w:spacing w:after="0"/>
              <w:rPr>
                <w:sz w:val="20"/>
                <w:szCs w:val="20"/>
                <w:color w:val="auto"/>
              </w:rPr>
            </w:pPr>
            <w:r>
              <w:rPr>
                <w:rFonts w:ascii="Arial" w:cs="Arial" w:eastAsia="Arial" w:hAnsi="Arial"/>
                <w:sz w:val="13"/>
                <w:szCs w:val="13"/>
                <w:color w:val="auto"/>
              </w:rPr>
              <w:t>Credit Linked Note</w:t>
            </w:r>
          </w:p>
        </w:tc>
        <w:tc>
          <w:tcPr>
            <w:tcW w:w="1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5"/>
                <w:szCs w:val="15"/>
                <w:color w:val="auto"/>
              </w:rPr>
            </w:pPr>
          </w:p>
        </w:tc>
        <w:tc>
          <w:tcPr>
            <w:tcW w:w="2100" w:type="dxa"/>
            <w:vAlign w:val="bottom"/>
            <w:gridSpan w:val="2"/>
          </w:tcPr>
          <w:p>
            <w:pPr>
              <w:ind w:left="20"/>
              <w:spacing w:after="0"/>
              <w:rPr>
                <w:sz w:val="20"/>
                <w:szCs w:val="20"/>
                <w:color w:val="auto"/>
              </w:rPr>
            </w:pPr>
            <w:r>
              <w:rPr>
                <w:rFonts w:ascii="Arial" w:cs="Arial" w:eastAsia="Arial" w:hAnsi="Arial"/>
                <w:sz w:val="13"/>
                <w:szCs w:val="13"/>
                <w:color w:val="auto"/>
              </w:rPr>
              <w:t>Broker-quoted</w:t>
            </w:r>
          </w:p>
        </w:tc>
        <w:tc>
          <w:tcPr>
            <w:tcW w:w="1760" w:type="dxa"/>
            <w:vAlign w:val="bottom"/>
            <w:gridSpan w:val="2"/>
          </w:tcPr>
          <w:p>
            <w:pPr>
              <w:ind w:left="20"/>
              <w:spacing w:after="0"/>
              <w:rPr>
                <w:sz w:val="20"/>
                <w:szCs w:val="20"/>
                <w:color w:val="auto"/>
              </w:rPr>
            </w:pPr>
            <w:r>
              <w:rPr>
                <w:rFonts w:ascii="Arial" w:cs="Arial" w:eastAsia="Arial" w:hAnsi="Arial"/>
                <w:sz w:val="13"/>
                <w:szCs w:val="13"/>
                <w:color w:val="auto"/>
              </w:rPr>
              <w:t>Offered quotes</w:t>
            </w:r>
          </w:p>
        </w:tc>
        <w:tc>
          <w:tcPr>
            <w:tcW w:w="1960" w:type="dxa"/>
            <w:vAlign w:val="bottom"/>
            <w:gridSpan w:val="2"/>
          </w:tcPr>
          <w:p>
            <w:pPr>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Total financial assets at fair value</w:t>
            </w:r>
          </w:p>
        </w:tc>
        <w:tc>
          <w:tcPr>
            <w:tcW w:w="1220" w:type="dxa"/>
            <w:vAlign w:val="bottom"/>
            <w:tcBorders>
              <w:bottom w:val="single" w:sz="8" w:color="auto"/>
            </w:tcBorders>
            <w:shd w:val="clear" w:color="auto" w:fill="CCEEFF"/>
          </w:tcPr>
          <w:p>
            <w:pPr>
              <w:jc w:val="right"/>
              <w:ind w:right="1077"/>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3,267</w:t>
            </w:r>
          </w:p>
        </w:tc>
        <w:tc>
          <w:tcPr>
            <w:tcW w:w="10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700" w:type="dxa"/>
            <w:vAlign w:val="bottom"/>
            <w:tcBorders>
              <w:top w:val="single" w:sz="8" w:color="CCEEFF"/>
              <w:bottom w:val="single" w:sz="8" w:color="CCEEFF"/>
            </w:tcBorders>
            <w:gridSpan w:val="2"/>
            <w:vMerge w:val="restart"/>
          </w:tcPr>
          <w:p>
            <w:pPr>
              <w:spacing w:after="0" w:line="135" w:lineRule="exact"/>
              <w:rPr>
                <w:sz w:val="20"/>
                <w:szCs w:val="20"/>
                <w:color w:val="auto"/>
              </w:rPr>
            </w:pPr>
            <w:r>
              <w:rPr>
                <w:rFonts w:ascii="Arial" w:cs="Arial" w:eastAsia="Arial" w:hAnsi="Arial"/>
                <w:sz w:val="12"/>
                <w:szCs w:val="12"/>
                <w:b w:val="1"/>
                <w:bCs w:val="1"/>
                <w:color w:val="auto"/>
              </w:rPr>
              <w:t>Liabilities</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vMerge w:val="continue"/>
          </w:tcPr>
          <w:p>
            <w:pPr>
              <w:spacing w:after="0"/>
              <w:rPr>
                <w:sz w:val="8"/>
                <w:szCs w:val="8"/>
                <w:color w:val="auto"/>
              </w:rPr>
            </w:pPr>
          </w:p>
        </w:tc>
        <w:tc>
          <w:tcPr>
            <w:tcW w:w="3700" w:type="dxa"/>
            <w:vAlign w:val="bottom"/>
            <w:gridSpan w:val="2"/>
            <w:vMerge w:val="continue"/>
          </w:tcPr>
          <w:p>
            <w:pPr>
              <w:spacing w:after="0"/>
              <w:rPr>
                <w:sz w:val="8"/>
                <w:szCs w:val="8"/>
                <w:color w:val="auto"/>
              </w:rPr>
            </w:pPr>
          </w:p>
        </w:tc>
        <w:tc>
          <w:tcPr>
            <w:tcW w:w="1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Future policy benefits</w:t>
            </w:r>
          </w:p>
        </w:tc>
        <w:tc>
          <w:tcPr>
            <w:tcW w:w="1220" w:type="dxa"/>
            <w:vAlign w:val="bottom"/>
            <w:shd w:val="clear" w:color="auto" w:fill="CCEEFF"/>
          </w:tcPr>
          <w:p>
            <w:pPr>
              <w:jc w:val="right"/>
              <w:ind w:right="1077"/>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Discounted cash flow</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Non-performance spread</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w w:val="92"/>
              </w:rPr>
              <w:t>0.00%</w:t>
            </w: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2"/>
          </w:tcPr>
          <w:p>
            <w:pPr>
              <w:ind w:left="20"/>
              <w:spacing w:after="0" w:line="137" w:lineRule="exact"/>
              <w:rPr>
                <w:sz w:val="20"/>
                <w:szCs w:val="20"/>
                <w:color w:val="auto"/>
              </w:rPr>
            </w:pPr>
            <w:r>
              <w:rPr>
                <w:rFonts w:ascii="Arial" w:cs="Arial" w:eastAsia="Arial" w:hAnsi="Arial"/>
                <w:sz w:val="13"/>
                <w:szCs w:val="13"/>
                <w:color w:val="auto"/>
              </w:rPr>
              <w:t>Risk margin to reflect</w:t>
            </w:r>
          </w:p>
        </w:tc>
        <w:tc>
          <w:tcPr>
            <w:tcW w:w="360" w:type="dxa"/>
            <w:vAlign w:val="bottom"/>
            <w:vMerge w:val="restart"/>
          </w:tcPr>
          <w:p>
            <w:pPr>
              <w:spacing w:after="0"/>
              <w:rPr>
                <w:sz w:val="20"/>
                <w:szCs w:val="20"/>
                <w:color w:val="auto"/>
              </w:rPr>
            </w:pPr>
            <w:r>
              <w:rPr>
                <w:rFonts w:ascii="Arial" w:cs="Arial" w:eastAsia="Arial" w:hAnsi="Arial"/>
                <w:sz w:val="13"/>
                <w:szCs w:val="13"/>
                <w:color w:val="auto"/>
                <w:w w:val="92"/>
              </w:rPr>
              <w:t>0.50%</w:t>
            </w: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ind w:left="20"/>
              <w:spacing w:after="0"/>
              <w:rPr>
                <w:sz w:val="20"/>
                <w:szCs w:val="20"/>
                <w:color w:val="auto"/>
              </w:rPr>
            </w:pPr>
            <w:r>
              <w:rPr>
                <w:rFonts w:ascii="Arial" w:cs="Arial" w:eastAsia="Arial" w:hAnsi="Arial"/>
                <w:sz w:val="13"/>
                <w:szCs w:val="13"/>
                <w:color w:val="auto"/>
              </w:rPr>
              <w:t>uncertainty</w:t>
            </w:r>
          </w:p>
        </w:tc>
        <w:tc>
          <w:tcPr>
            <w:tcW w:w="36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Derivatives:</w:t>
            </w: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00" w:type="dxa"/>
            <w:vAlign w:val="bottom"/>
            <w:gridSpan w:val="2"/>
          </w:tcPr>
          <w:p>
            <w:pPr>
              <w:ind w:left="160"/>
              <w:spacing w:after="0"/>
              <w:rPr>
                <w:sz w:val="20"/>
                <w:szCs w:val="20"/>
                <w:color w:val="auto"/>
              </w:rPr>
            </w:pPr>
            <w:r>
              <w:rPr>
                <w:rFonts w:ascii="Arial" w:cs="Arial" w:eastAsia="Arial" w:hAnsi="Arial"/>
                <w:sz w:val="13"/>
                <w:szCs w:val="13"/>
                <w:color w:val="auto"/>
              </w:rPr>
              <w:t>FIA embedded derivatives, included in contractholder funds</w:t>
            </w:r>
          </w:p>
        </w:tc>
        <w:tc>
          <w:tcPr>
            <w:tcW w:w="1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3,404</w:t>
            </w:r>
          </w:p>
        </w:tc>
        <w:tc>
          <w:tcPr>
            <w:tcW w:w="100" w:type="dxa"/>
            <w:vAlign w:val="bottom"/>
          </w:tcPr>
          <w:p>
            <w:pPr>
              <w:spacing w:after="0"/>
              <w:rPr>
                <w:sz w:val="15"/>
                <w:szCs w:val="15"/>
                <w:color w:val="auto"/>
              </w:rPr>
            </w:pPr>
          </w:p>
        </w:tc>
        <w:tc>
          <w:tcPr>
            <w:tcW w:w="2100" w:type="dxa"/>
            <w:vAlign w:val="bottom"/>
            <w:gridSpan w:val="2"/>
          </w:tcPr>
          <w:p>
            <w:pPr>
              <w:ind w:left="20"/>
              <w:spacing w:after="0"/>
              <w:rPr>
                <w:sz w:val="20"/>
                <w:szCs w:val="20"/>
                <w:color w:val="auto"/>
              </w:rPr>
            </w:pPr>
            <w:r>
              <w:rPr>
                <w:rFonts w:ascii="Arial" w:cs="Arial" w:eastAsia="Arial" w:hAnsi="Arial"/>
                <w:sz w:val="13"/>
                <w:szCs w:val="13"/>
                <w:color w:val="auto"/>
              </w:rPr>
              <w:t>Discounted cash flow</w:t>
            </w:r>
          </w:p>
        </w:tc>
        <w:tc>
          <w:tcPr>
            <w:tcW w:w="1760" w:type="dxa"/>
            <w:vAlign w:val="bottom"/>
            <w:gridSpan w:val="2"/>
          </w:tcPr>
          <w:p>
            <w:pPr>
              <w:ind w:left="20"/>
              <w:spacing w:after="0"/>
              <w:rPr>
                <w:sz w:val="20"/>
                <w:szCs w:val="20"/>
                <w:color w:val="auto"/>
              </w:rPr>
            </w:pPr>
            <w:r>
              <w:rPr>
                <w:rFonts w:ascii="Arial" w:cs="Arial" w:eastAsia="Arial" w:hAnsi="Arial"/>
                <w:sz w:val="13"/>
                <w:szCs w:val="13"/>
                <w:color w:val="auto"/>
              </w:rPr>
              <w:t>Market value of option</w:t>
            </w:r>
          </w:p>
        </w:tc>
        <w:tc>
          <w:tcPr>
            <w:tcW w:w="360" w:type="dxa"/>
            <w:vAlign w:val="bottom"/>
          </w:tcPr>
          <w:p>
            <w:pPr>
              <w:spacing w:after="0"/>
              <w:rPr>
                <w:sz w:val="20"/>
                <w:szCs w:val="20"/>
                <w:color w:val="auto"/>
              </w:rPr>
            </w:pPr>
            <w:r>
              <w:rPr>
                <w:rFonts w:ascii="Arial" w:cs="Arial" w:eastAsia="Arial" w:hAnsi="Arial"/>
                <w:sz w:val="13"/>
                <w:szCs w:val="13"/>
                <w:color w:val="auto"/>
                <w:w w:val="92"/>
              </w:rPr>
              <w:t>0.00%</w:t>
            </w:r>
          </w:p>
        </w:tc>
        <w:tc>
          <w:tcPr>
            <w:tcW w:w="1600" w:type="dxa"/>
            <w:vAlign w:val="bottom"/>
          </w:tcPr>
          <w:p>
            <w:pPr>
              <w:ind w:left="20"/>
              <w:spacing w:after="0"/>
              <w:rPr>
                <w:sz w:val="20"/>
                <w:szCs w:val="20"/>
                <w:color w:val="auto"/>
              </w:rPr>
            </w:pPr>
            <w:r>
              <w:rPr>
                <w:rFonts w:ascii="Arial" w:cs="Arial" w:eastAsia="Arial" w:hAnsi="Arial"/>
                <w:sz w:val="13"/>
                <w:szCs w:val="13"/>
                <w:color w:val="auto"/>
              </w:rPr>
              <w:t>- 67.65% (2.25%)</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Treasury rates</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w w:val="92"/>
              </w:rPr>
              <w:t>0.08%</w:t>
            </w:r>
          </w:p>
        </w:tc>
        <w:tc>
          <w:tcPr>
            <w:tcW w:w="1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- 1.65% (0.87%)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ind w:left="20"/>
              <w:spacing w:after="0"/>
              <w:rPr>
                <w:sz w:val="20"/>
                <w:szCs w:val="20"/>
                <w:color w:val="auto"/>
              </w:rPr>
            </w:pPr>
            <w:r>
              <w:rPr>
                <w:rFonts w:ascii="Arial" w:cs="Arial" w:eastAsia="Arial" w:hAnsi="Arial"/>
                <w:sz w:val="13"/>
                <w:szCs w:val="13"/>
                <w:color w:val="auto"/>
              </w:rPr>
              <w:t>Mortality multiplier</w:t>
            </w:r>
          </w:p>
        </w:tc>
        <w:tc>
          <w:tcPr>
            <w:tcW w:w="1960" w:type="dxa"/>
            <w:vAlign w:val="bottom"/>
            <w:gridSpan w:val="2"/>
          </w:tcPr>
          <w:p>
            <w:pPr>
              <w:spacing w:after="0"/>
              <w:rPr>
                <w:sz w:val="20"/>
                <w:szCs w:val="20"/>
                <w:color w:val="auto"/>
              </w:rPr>
            </w:pPr>
            <w:r>
              <w:rPr>
                <w:rFonts w:ascii="Arial" w:cs="Arial" w:eastAsia="Arial" w:hAnsi="Arial"/>
                <w:sz w:val="13"/>
                <w:szCs w:val="13"/>
                <w:color w:val="auto"/>
              </w:rPr>
              <w:t>100.00% - 100.00% (100.00%)</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Surrender rates</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w w:val="92"/>
              </w:rPr>
              <w:t>0.25%</w:t>
            </w:r>
          </w:p>
        </w:tc>
        <w:tc>
          <w:tcPr>
            <w:tcW w:w="1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- 55.00% (5.24%)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ind w:left="20"/>
              <w:spacing w:after="0"/>
              <w:rPr>
                <w:sz w:val="20"/>
                <w:szCs w:val="20"/>
                <w:color w:val="auto"/>
              </w:rPr>
            </w:pPr>
            <w:r>
              <w:rPr>
                <w:rFonts w:ascii="Arial" w:cs="Arial" w:eastAsia="Arial" w:hAnsi="Arial"/>
                <w:sz w:val="13"/>
                <w:szCs w:val="13"/>
                <w:color w:val="auto"/>
              </w:rPr>
              <w:t>Partial withdrawals</w:t>
            </w:r>
          </w:p>
        </w:tc>
        <w:tc>
          <w:tcPr>
            <w:tcW w:w="360" w:type="dxa"/>
            <w:vAlign w:val="bottom"/>
          </w:tcPr>
          <w:p>
            <w:pPr>
              <w:spacing w:after="0"/>
              <w:rPr>
                <w:sz w:val="20"/>
                <w:szCs w:val="20"/>
                <w:color w:val="auto"/>
              </w:rPr>
            </w:pPr>
            <w:r>
              <w:rPr>
                <w:rFonts w:ascii="Arial" w:cs="Arial" w:eastAsia="Arial" w:hAnsi="Arial"/>
                <w:sz w:val="13"/>
                <w:szCs w:val="13"/>
                <w:color w:val="auto"/>
                <w:w w:val="92"/>
              </w:rPr>
              <w:t>2.00%</w:t>
            </w:r>
          </w:p>
        </w:tc>
        <w:tc>
          <w:tcPr>
            <w:tcW w:w="1600" w:type="dxa"/>
            <w:vAlign w:val="bottom"/>
          </w:tcPr>
          <w:p>
            <w:pPr>
              <w:ind w:left="20"/>
              <w:spacing w:after="0"/>
              <w:rPr>
                <w:sz w:val="20"/>
                <w:szCs w:val="20"/>
                <w:color w:val="auto"/>
              </w:rPr>
            </w:pPr>
            <w:r>
              <w:rPr>
                <w:rFonts w:ascii="Arial" w:cs="Arial" w:eastAsia="Arial" w:hAnsi="Arial"/>
                <w:sz w:val="13"/>
                <w:szCs w:val="13"/>
                <w:color w:val="auto"/>
              </w:rPr>
              <w:t>- 3.50% (2.58%)</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Non-performance spread</w:t>
            </w: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w w:val="92"/>
              </w:rPr>
              <w:t>0.74%</w:t>
            </w:r>
          </w:p>
        </w:tc>
        <w:tc>
          <w:tcPr>
            <w:tcW w:w="1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- 0.74% (0.74%)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ind w:left="20"/>
              <w:spacing w:after="0"/>
              <w:rPr>
                <w:sz w:val="20"/>
                <w:szCs w:val="20"/>
                <w:color w:val="auto"/>
              </w:rPr>
            </w:pPr>
            <w:r>
              <w:rPr>
                <w:rFonts w:ascii="Arial" w:cs="Arial" w:eastAsia="Arial" w:hAnsi="Arial"/>
                <w:sz w:val="13"/>
                <w:szCs w:val="13"/>
                <w:color w:val="auto"/>
              </w:rPr>
              <w:t>Option cost</w:t>
            </w:r>
          </w:p>
        </w:tc>
        <w:tc>
          <w:tcPr>
            <w:tcW w:w="360" w:type="dxa"/>
            <w:vAlign w:val="bottom"/>
          </w:tcPr>
          <w:p>
            <w:pPr>
              <w:spacing w:after="0"/>
              <w:rPr>
                <w:sz w:val="20"/>
                <w:szCs w:val="20"/>
                <w:color w:val="auto"/>
              </w:rPr>
            </w:pPr>
            <w:r>
              <w:rPr>
                <w:rFonts w:ascii="Arial" w:cs="Arial" w:eastAsia="Arial" w:hAnsi="Arial"/>
                <w:sz w:val="13"/>
                <w:szCs w:val="13"/>
                <w:color w:val="auto"/>
                <w:w w:val="92"/>
              </w:rPr>
              <w:t>0.05%</w:t>
            </w:r>
          </w:p>
        </w:tc>
        <w:tc>
          <w:tcPr>
            <w:tcW w:w="1600" w:type="dxa"/>
            <w:vAlign w:val="bottom"/>
          </w:tcPr>
          <w:p>
            <w:pPr>
              <w:ind w:left="20"/>
              <w:spacing w:after="0"/>
              <w:rPr>
                <w:sz w:val="20"/>
                <w:szCs w:val="20"/>
                <w:color w:val="auto"/>
              </w:rPr>
            </w:pPr>
            <w:r>
              <w:rPr>
                <w:rFonts w:ascii="Arial" w:cs="Arial" w:eastAsia="Arial" w:hAnsi="Arial"/>
                <w:sz w:val="13"/>
                <w:szCs w:val="13"/>
                <w:color w:val="auto"/>
              </w:rPr>
              <w:t>- 16.61% (2.25%)</w:t>
            </w:r>
          </w:p>
        </w:tc>
        <w:tc>
          <w:tcPr>
            <w:tcW w:w="0" w:type="dxa"/>
            <w:vAlign w:val="bottom"/>
          </w:tcPr>
          <w:p>
            <w:pPr>
              <w:spacing w:after="0"/>
              <w:rPr>
                <w:sz w:val="1"/>
                <w:szCs w:val="1"/>
                <w:color w:val="auto"/>
              </w:rPr>
            </w:pPr>
          </w:p>
        </w:tc>
      </w:t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Total financial liabilities at fair value</w:t>
            </w:r>
          </w:p>
        </w:tc>
        <w:tc>
          <w:tcPr>
            <w:tcW w:w="1220" w:type="dxa"/>
            <w:vAlign w:val="bottom"/>
            <w:tcBorders>
              <w:bottom w:val="single" w:sz="8" w:color="auto"/>
            </w:tcBorders>
            <w:shd w:val="clear" w:color="auto" w:fill="CCEEFF"/>
          </w:tcPr>
          <w:p>
            <w:pPr>
              <w:jc w:val="right"/>
              <w:ind w:right="1077"/>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3,409</w:t>
            </w:r>
          </w:p>
        </w:tc>
        <w:tc>
          <w:tcPr>
            <w:tcW w:w="10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3" w:name="page24"/>
    <w:bookmarkEnd w:id="23"/>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both"/>
        <w:ind w:firstLine="331"/>
        <w:spacing w:after="0" w:line="313" w:lineRule="auto"/>
        <w:rPr>
          <w:sz w:val="20"/>
          <w:szCs w:val="20"/>
          <w:color w:val="auto"/>
        </w:rPr>
      </w:pPr>
      <w:r>
        <w:rPr>
          <w:rFonts w:ascii="Arial" w:cs="Arial" w:eastAsia="Arial" w:hAnsi="Arial"/>
          <w:sz w:val="13"/>
          <w:szCs w:val="13"/>
          <w:color w:val="auto"/>
        </w:rPr>
        <w:t>The following tables summarize changes to the Company’s financial instruments carried at fair value and classified within Level 3 of the fair value hierarchy for the three and nine months ended September 30, 2021 and 2020. This summary excludes any impact of amortization of value of business acquired (“VOBA”), deferred acquisition cost (“DAC”), and deferred sales inducements (“DSI”). The gains and losses below may include changes in fair value due in part to observable inputs that are a component of the valuation methodology.</w:t>
      </w:r>
    </w:p>
    <w:p>
      <w:pPr>
        <w:spacing w:after="0" w:line="82" w:lineRule="exact"/>
        <w:rPr>
          <w:sz w:val="20"/>
          <w:szCs w:val="20"/>
          <w:color w:val="auto"/>
        </w:rPr>
      </w:pPr>
    </w:p>
    <w:p>
      <w:pPr>
        <w:jc w:val="center"/>
        <w:ind w:left="1120"/>
        <w:spacing w:after="0"/>
        <w:rPr>
          <w:sz w:val="20"/>
          <w:szCs w:val="20"/>
          <w:color w:val="auto"/>
        </w:rPr>
      </w:pPr>
      <w:r>
        <w:rPr>
          <w:rFonts w:ascii="Arial" w:cs="Arial" w:eastAsia="Arial" w:hAnsi="Arial"/>
          <w:sz w:val="12"/>
          <w:szCs w:val="12"/>
          <w:b w:val="1"/>
          <w:bCs w:val="1"/>
          <w:color w:val="auto"/>
        </w:rPr>
        <w:t>Three months ended September 30, 2021</w:t>
      </w:r>
    </w:p>
    <w:p>
      <w:pPr>
        <w:spacing w:after="0" w:line="17" w:lineRule="exact"/>
        <w:rPr>
          <w:sz w:val="20"/>
          <w:szCs w:val="20"/>
          <w:color w:val="auto"/>
        </w:rPr>
      </w:pPr>
    </w:p>
    <w:p>
      <w:pPr>
        <w:jc w:val="center"/>
        <w:ind w:left="1120"/>
        <w:spacing w:after="0"/>
        <w:rPr>
          <w:sz w:val="20"/>
          <w:szCs w:val="20"/>
          <w:color w:val="auto"/>
        </w:rPr>
      </w:pPr>
      <w:r>
        <w:rPr>
          <w:rFonts w:ascii="Arial" w:cs="Arial" w:eastAsia="Arial" w:hAnsi="Arial"/>
          <w:sz w:val="12"/>
          <w:szCs w:val="12"/>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1519555</wp:posOffset>
            </wp:positionH>
            <wp:positionV relativeFrom="paragraph">
              <wp:posOffset>14605</wp:posOffset>
            </wp:positionV>
            <wp:extent cx="552386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23865" cy="6985"/>
                    </a:xfrm>
                    <a:prstGeom prst="rect">
                      <a:avLst/>
                    </a:prstGeom>
                    <a:noFill/>
                  </pic:spPr>
                </pic:pic>
              </a:graphicData>
            </a:graphic>
          </wp:anchor>
        </w:drawing>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51"/>
        </w:trPr>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5"/>
          </w:tcPr>
          <w:p>
            <w:pPr>
              <w:ind w:left="260"/>
              <w:spacing w:after="0"/>
              <w:rPr>
                <w:sz w:val="20"/>
                <w:szCs w:val="20"/>
                <w:color w:val="auto"/>
              </w:rPr>
            </w:pPr>
            <w:r>
              <w:rPr>
                <w:rFonts w:ascii="Arial" w:cs="Arial" w:eastAsia="Arial" w:hAnsi="Arial"/>
                <w:sz w:val="12"/>
                <w:szCs w:val="12"/>
                <w:b w:val="1"/>
                <w:bCs w:val="1"/>
                <w:color w:val="auto"/>
              </w:rPr>
              <w:t>Total Gains (Losses)</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restart"/>
          </w:tcPr>
          <w:p>
            <w:pPr>
              <w:jc w:val="center"/>
              <w:ind w:right="41"/>
              <w:spacing w:after="0"/>
              <w:rPr>
                <w:sz w:val="20"/>
                <w:szCs w:val="20"/>
                <w:color w:val="auto"/>
              </w:rPr>
            </w:pPr>
            <w:r>
              <w:rPr>
                <w:rFonts w:ascii="Arial" w:cs="Arial" w:eastAsia="Arial" w:hAnsi="Arial"/>
                <w:sz w:val="12"/>
                <w:szCs w:val="12"/>
                <w:b w:val="1"/>
                <w:bCs w:val="1"/>
                <w:color w:val="auto"/>
                <w:w w:val="89"/>
              </w:rPr>
              <w:t>Change in</w:t>
            </w:r>
          </w:p>
        </w:tc>
        <w:tc>
          <w:tcPr>
            <w:tcW w:w="0" w:type="dxa"/>
            <w:vAlign w:val="bottom"/>
          </w:tcPr>
          <w:p>
            <w:pPr>
              <w:spacing w:after="0"/>
              <w:rPr>
                <w:sz w:val="1"/>
                <w:szCs w:val="1"/>
                <w:color w:val="auto"/>
              </w:rPr>
            </w:pPr>
          </w:p>
        </w:tc>
      </w:tr>
      <w:tr>
        <w:trPr>
          <w:trHeight w:val="65"/>
        </w:trPr>
        <w:tc>
          <w:tcPr>
            <w:tcW w:w="2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86"/>
              </w:rPr>
              <w:t>Balance at</w:t>
            </w: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93"/>
              </w:rPr>
              <w:t>Net transfer In</w:t>
            </w: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2"/>
                <w:szCs w:val="12"/>
                <w:b w:val="1"/>
                <w:bCs w:val="1"/>
                <w:color w:val="auto"/>
                <w:w w:val="88"/>
              </w:rPr>
              <w:t>Balance at End</w:t>
            </w:r>
          </w:p>
        </w:tc>
        <w:tc>
          <w:tcPr>
            <w:tcW w:w="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1"/>
              </w:rPr>
              <w:t>Included in</w:t>
            </w:r>
          </w:p>
        </w:tc>
        <w:tc>
          <w:tcPr>
            <w:tcW w:w="100" w:type="dxa"/>
            <w:vAlign w:val="bottom"/>
          </w:tcPr>
          <w:p>
            <w:pPr>
              <w:spacing w:after="0"/>
              <w:rPr>
                <w:sz w:val="9"/>
                <w:szCs w:val="9"/>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1"/>
              </w:rPr>
              <w:t>Included in</w:t>
            </w: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980" w:type="dxa"/>
            <w:vAlign w:val="bottom"/>
            <w:gridSpan w:val="2"/>
          </w:tcPr>
          <w:p>
            <w:pPr>
              <w:jc w:val="center"/>
              <w:spacing w:after="0" w:line="111" w:lineRule="exact"/>
              <w:rPr>
                <w:sz w:val="20"/>
                <w:szCs w:val="20"/>
                <w:color w:val="auto"/>
              </w:rPr>
            </w:pPr>
            <w:r>
              <w:rPr>
                <w:rFonts w:ascii="Arial" w:cs="Arial" w:eastAsia="Arial" w:hAnsi="Arial"/>
                <w:sz w:val="12"/>
                <w:szCs w:val="12"/>
                <w:b w:val="1"/>
                <w:bCs w:val="1"/>
                <w:color w:val="auto"/>
                <w:w w:val="90"/>
              </w:rPr>
              <w:t>Unrealized Gains</w:t>
            </w:r>
          </w:p>
        </w:tc>
        <w:tc>
          <w:tcPr>
            <w:tcW w:w="0" w:type="dxa"/>
            <w:vAlign w:val="bottom"/>
          </w:tcPr>
          <w:p>
            <w:pPr>
              <w:spacing w:after="0"/>
              <w:rPr>
                <w:sz w:val="1"/>
                <w:szCs w:val="1"/>
                <w:color w:val="auto"/>
              </w:rPr>
            </w:pPr>
          </w:p>
        </w:tc>
      </w:tr>
      <w:tr>
        <w:trPr>
          <w:trHeight w:val="110"/>
        </w:trPr>
        <w:tc>
          <w:tcPr>
            <w:tcW w:w="2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220"/>
              <w:spacing w:after="0" w:line="111" w:lineRule="exact"/>
              <w:rPr>
                <w:sz w:val="20"/>
                <w:szCs w:val="20"/>
                <w:color w:val="auto"/>
              </w:rPr>
            </w:pPr>
            <w:r>
              <w:rPr>
                <w:rFonts w:ascii="Arial" w:cs="Arial" w:eastAsia="Arial" w:hAnsi="Arial"/>
                <w:sz w:val="12"/>
                <w:szCs w:val="12"/>
                <w:b w:val="1"/>
                <w:bCs w:val="1"/>
                <w:color w:val="auto"/>
                <w:w w:val="88"/>
              </w:rPr>
              <w:t>Beginning</w:t>
            </w: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Purchases</w:t>
            </w:r>
          </w:p>
        </w:tc>
        <w:tc>
          <w:tcPr>
            <w:tcW w:w="160" w:type="dxa"/>
            <w:vAlign w:val="bottom"/>
          </w:tcPr>
          <w:p>
            <w:pPr>
              <w:spacing w:after="0"/>
              <w:rPr>
                <w:sz w:val="9"/>
                <w:szCs w:val="9"/>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Sales</w:t>
            </w:r>
          </w:p>
        </w:tc>
        <w:tc>
          <w:tcPr>
            <w:tcW w:w="160" w:type="dxa"/>
            <w:vAlign w:val="bottom"/>
          </w:tcPr>
          <w:p>
            <w:pPr>
              <w:spacing w:after="0"/>
              <w:rPr>
                <w:sz w:val="9"/>
                <w:szCs w:val="9"/>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Settlements</w:t>
            </w:r>
          </w:p>
        </w:tc>
        <w:tc>
          <w:tcPr>
            <w:tcW w:w="120" w:type="dxa"/>
            <w:vAlign w:val="bottom"/>
          </w:tcPr>
          <w:p>
            <w:pPr>
              <w:spacing w:after="0"/>
              <w:rPr>
                <w:sz w:val="9"/>
                <w:szCs w:val="9"/>
                <w:color w:val="auto"/>
              </w:rPr>
            </w:pPr>
          </w:p>
        </w:tc>
        <w:tc>
          <w:tcPr>
            <w:tcW w:w="820" w:type="dxa"/>
            <w:vAlign w:val="bottom"/>
            <w:gridSpan w:val="2"/>
          </w:tcPr>
          <w:p>
            <w:pPr>
              <w:jc w:val="center"/>
              <w:ind w:right="220"/>
              <w:spacing w:after="0" w:line="111" w:lineRule="exact"/>
              <w:rPr>
                <w:sz w:val="20"/>
                <w:szCs w:val="20"/>
                <w:color w:val="auto"/>
              </w:rPr>
            </w:pPr>
            <w:r>
              <w:rPr>
                <w:rFonts w:ascii="Arial" w:cs="Arial" w:eastAsia="Arial" w:hAnsi="Arial"/>
                <w:sz w:val="12"/>
                <w:szCs w:val="12"/>
                <w:b w:val="1"/>
                <w:bCs w:val="1"/>
                <w:color w:val="auto"/>
                <w:w w:val="92"/>
              </w:rPr>
              <w:t>(Out) of</w:t>
            </w:r>
          </w:p>
        </w:tc>
        <w:tc>
          <w:tcPr>
            <w:tcW w:w="160" w:type="dxa"/>
            <w:vAlign w:val="bottom"/>
          </w:tcPr>
          <w:p>
            <w:pPr>
              <w:spacing w:after="0"/>
              <w:rPr>
                <w:sz w:val="9"/>
                <w:szCs w:val="9"/>
                <w:color w:val="auto"/>
              </w:rPr>
            </w:pPr>
          </w:p>
        </w:tc>
        <w:tc>
          <w:tcPr>
            <w:tcW w:w="760" w:type="dxa"/>
            <w:vAlign w:val="bottom"/>
            <w:gridSpan w:val="2"/>
          </w:tcPr>
          <w:p>
            <w:pPr>
              <w:jc w:val="center"/>
              <w:ind w:right="260"/>
              <w:spacing w:after="0" w:line="111" w:lineRule="exact"/>
              <w:rPr>
                <w:sz w:val="20"/>
                <w:szCs w:val="20"/>
                <w:color w:val="auto"/>
              </w:rPr>
            </w:pPr>
            <w:r>
              <w:rPr>
                <w:rFonts w:ascii="Arial" w:cs="Arial" w:eastAsia="Arial" w:hAnsi="Arial"/>
                <w:sz w:val="12"/>
                <w:szCs w:val="12"/>
                <w:b w:val="1"/>
                <w:bCs w:val="1"/>
                <w:color w:val="auto"/>
                <w:w w:val="87"/>
              </w:rPr>
              <w:t>of</w:t>
            </w:r>
          </w:p>
        </w:tc>
        <w:tc>
          <w:tcPr>
            <w:tcW w:w="80" w:type="dxa"/>
            <w:vAlign w:val="bottom"/>
          </w:tcPr>
          <w:p>
            <w:pPr>
              <w:spacing w:after="0"/>
              <w:rPr>
                <w:sz w:val="9"/>
                <w:szCs w:val="9"/>
                <w:color w:val="auto"/>
              </w:rPr>
            </w:pPr>
          </w:p>
        </w:tc>
        <w:tc>
          <w:tcPr>
            <w:tcW w:w="900" w:type="dxa"/>
            <w:vAlign w:val="bottom"/>
          </w:tcPr>
          <w:p>
            <w:pPr>
              <w:jc w:val="center"/>
              <w:ind w:right="41"/>
              <w:spacing w:after="0" w:line="111" w:lineRule="exact"/>
              <w:rPr>
                <w:sz w:val="20"/>
                <w:szCs w:val="20"/>
                <w:color w:val="auto"/>
              </w:rPr>
            </w:pPr>
            <w:r>
              <w:rPr>
                <w:rFonts w:ascii="Arial" w:cs="Arial" w:eastAsia="Arial" w:hAnsi="Arial"/>
                <w:sz w:val="12"/>
                <w:szCs w:val="12"/>
                <w:b w:val="1"/>
                <w:bCs w:val="1"/>
                <w:color w:val="auto"/>
                <w:w w:val="86"/>
              </w:rPr>
              <w:t>(Losses) Incl in</w:t>
            </w:r>
          </w:p>
        </w:tc>
        <w:tc>
          <w:tcPr>
            <w:tcW w:w="0" w:type="dxa"/>
            <w:vAlign w:val="bottom"/>
          </w:tcPr>
          <w:p>
            <w:pPr>
              <w:spacing w:after="0"/>
              <w:rPr>
                <w:sz w:val="1"/>
                <w:szCs w:val="1"/>
                <w:color w:val="auto"/>
              </w:rPr>
            </w:pPr>
          </w:p>
        </w:tc>
      </w:tr>
      <w:tr>
        <w:trPr>
          <w:trHeight w:val="151"/>
        </w:trPr>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of Period</w:t>
            </w:r>
          </w:p>
        </w:tc>
        <w:tc>
          <w:tcPr>
            <w:tcW w:w="10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Earnings</w:t>
            </w:r>
          </w:p>
        </w:tc>
        <w:tc>
          <w:tcPr>
            <w:tcW w:w="10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AOCI</w:t>
            </w: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Level 3 (a)</w:t>
            </w:r>
          </w:p>
        </w:tc>
        <w:tc>
          <w:tcPr>
            <w:tcW w:w="16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Period</w:t>
            </w:r>
          </w:p>
        </w:tc>
        <w:tc>
          <w:tcPr>
            <w:tcW w:w="80" w:type="dxa"/>
            <w:vAlign w:val="bottom"/>
          </w:tcPr>
          <w:p>
            <w:pPr>
              <w:spacing w:after="0"/>
              <w:rPr>
                <w:sz w:val="13"/>
                <w:szCs w:val="13"/>
                <w:color w:val="auto"/>
              </w:rPr>
            </w:pPr>
          </w:p>
        </w:tc>
        <w:tc>
          <w:tcPr>
            <w:tcW w:w="900" w:type="dxa"/>
            <w:vAlign w:val="bottom"/>
          </w:tcPr>
          <w:p>
            <w:pPr>
              <w:jc w:val="center"/>
              <w:ind w:right="41"/>
              <w:spacing w:after="0"/>
              <w:rPr>
                <w:sz w:val="20"/>
                <w:szCs w:val="20"/>
                <w:color w:val="auto"/>
              </w:rPr>
            </w:pPr>
            <w:r>
              <w:rPr>
                <w:rFonts w:ascii="Arial" w:cs="Arial" w:eastAsia="Arial" w:hAnsi="Arial"/>
                <w:sz w:val="12"/>
                <w:szCs w:val="12"/>
                <w:b w:val="1"/>
                <w:bCs w:val="1"/>
                <w:color w:val="auto"/>
              </w:rPr>
              <w:t>OCI</w:t>
            </w:r>
          </w:p>
        </w:tc>
        <w:tc>
          <w:tcPr>
            <w:tcW w:w="0" w:type="dxa"/>
            <w:vAlign w:val="bottom"/>
          </w:tcPr>
          <w:p>
            <w:pPr>
              <w:spacing w:after="0"/>
              <w:rPr>
                <w:sz w:val="1"/>
                <w:szCs w:val="1"/>
                <w:color w:val="auto"/>
              </w:rPr>
            </w:pPr>
          </w:p>
        </w:tc>
      </w:tr>
      <w:tr>
        <w:trPr>
          <w:trHeight w:val="135"/>
        </w:trPr>
        <w:tc>
          <w:tcPr>
            <w:tcW w:w="22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Assets</w:t>
            </w: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200" w:type="dxa"/>
            <w:vAlign w:val="bottom"/>
            <w:shd w:val="clear" w:color="auto" w:fill="CCEEFF"/>
          </w:tcPr>
          <w:p>
            <w:pPr>
              <w:ind w:left="20"/>
              <w:spacing w:after="0"/>
              <w:rPr>
                <w:sz w:val="20"/>
                <w:szCs w:val="20"/>
                <w:color w:val="auto"/>
              </w:rPr>
            </w:pPr>
            <w:r>
              <w:rPr>
                <w:rFonts w:ascii="Arial" w:cs="Arial" w:eastAsia="Arial" w:hAnsi="Arial"/>
                <w:sz w:val="12"/>
                <w:szCs w:val="12"/>
                <w:color w:val="auto"/>
                <w:w w:val="94"/>
              </w:rPr>
              <w:t>Fixed maturity securities available-for-sale:</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00" w:type="dxa"/>
            <w:vAlign w:val="bottom"/>
          </w:tcPr>
          <w:p>
            <w:pPr>
              <w:ind w:left="180"/>
              <w:spacing w:after="0"/>
              <w:rPr>
                <w:sz w:val="20"/>
                <w:szCs w:val="20"/>
                <w:color w:val="auto"/>
              </w:rPr>
            </w:pPr>
            <w:r>
              <w:rPr>
                <w:rFonts w:ascii="Arial" w:cs="Arial" w:eastAsia="Arial" w:hAnsi="Arial"/>
                <w:sz w:val="12"/>
                <w:szCs w:val="12"/>
                <w:color w:val="auto"/>
              </w:rPr>
              <w:t>Asset-backed securities</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2,309</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1,188</w:t>
            </w:r>
          </w:p>
        </w:tc>
        <w:tc>
          <w:tcPr>
            <w:tcW w:w="100" w:type="dxa"/>
            <w:vAlign w:val="bottom"/>
          </w:tcPr>
          <w:p>
            <w:pPr>
              <w:spacing w:after="0"/>
              <w:rPr>
                <w:sz w:val="13"/>
                <w:szCs w:val="13"/>
                <w:color w:val="auto"/>
              </w:rPr>
            </w:pP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(97)</w:t>
            </w:r>
          </w:p>
        </w:tc>
        <w:tc>
          <w:tcPr>
            <w:tcW w:w="100" w:type="dxa"/>
            <w:vAlign w:val="bottom"/>
          </w:tcPr>
          <w:p>
            <w:pPr>
              <w:spacing w:after="0"/>
              <w:rPr>
                <w:sz w:val="13"/>
                <w:szCs w:val="13"/>
                <w:color w:val="auto"/>
              </w:rPr>
            </w:pP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(125)</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Pr>
          <w:p>
            <w:pPr>
              <w:jc w:val="center"/>
              <w:ind w:left="421"/>
              <w:spacing w:after="0"/>
              <w:rPr>
                <w:sz w:val="20"/>
                <w:szCs w:val="20"/>
                <w:color w:val="auto"/>
              </w:rPr>
            </w:pPr>
            <w:r>
              <w:rPr>
                <w:rFonts w:ascii="Arial" w:cs="Arial" w:eastAsia="Arial" w:hAnsi="Arial"/>
                <w:sz w:val="12"/>
                <w:szCs w:val="12"/>
                <w:color w:val="auto"/>
                <w:w w:val="93"/>
              </w:rPr>
              <w:t>(44)</w:t>
            </w:r>
          </w:p>
        </w:tc>
        <w:tc>
          <w:tcPr>
            <w:tcW w:w="100" w:type="dxa"/>
            <w:vAlign w:val="bottom"/>
          </w:tcPr>
          <w:p>
            <w:pPr>
              <w:spacing w:after="0"/>
              <w:rPr>
                <w:sz w:val="13"/>
                <w:szCs w:val="13"/>
                <w:color w:val="auto"/>
              </w:rPr>
            </w:pP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3,244</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57"/>
        </w:trPr>
        <w:tc>
          <w:tcPr>
            <w:tcW w:w="2200" w:type="dxa"/>
            <w:vAlign w:val="bottom"/>
            <w:shd w:val="clear" w:color="auto" w:fill="CCEEFF"/>
          </w:tcPr>
          <w:p>
            <w:pPr>
              <w:ind w:left="180"/>
              <w:spacing w:after="0"/>
              <w:rPr>
                <w:sz w:val="20"/>
                <w:szCs w:val="20"/>
                <w:color w:val="auto"/>
              </w:rPr>
            </w:pPr>
            <w:r>
              <w:rPr>
                <w:rFonts w:ascii="Arial" w:cs="Arial" w:eastAsia="Arial" w:hAnsi="Arial"/>
                <w:sz w:val="12"/>
                <w:szCs w:val="12"/>
                <w:color w:val="auto"/>
                <w:w w:val="93"/>
              </w:rPr>
              <w:t>Commercial mortgage-backed securities</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center"/>
              <w:ind w:left="341"/>
              <w:spacing w:after="0"/>
              <w:rPr>
                <w:sz w:val="20"/>
                <w:szCs w:val="20"/>
                <w:color w:val="auto"/>
              </w:rPr>
            </w:pPr>
            <w:r>
              <w:rPr>
                <w:rFonts w:ascii="Arial" w:cs="Arial" w:eastAsia="Arial" w:hAnsi="Arial"/>
                <w:sz w:val="12"/>
                <w:szCs w:val="12"/>
                <w:color w:val="auto"/>
                <w:w w:val="82"/>
              </w:rPr>
              <w:t>—</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2200" w:type="dxa"/>
            <w:vAlign w:val="bottom"/>
          </w:tcPr>
          <w:p>
            <w:pPr>
              <w:ind w:left="180"/>
              <w:spacing w:after="0"/>
              <w:rPr>
                <w:sz w:val="20"/>
                <w:szCs w:val="20"/>
                <w:color w:val="auto"/>
              </w:rPr>
            </w:pPr>
            <w:r>
              <w:rPr>
                <w:rFonts w:ascii="Arial" w:cs="Arial" w:eastAsia="Arial" w:hAnsi="Arial"/>
                <w:sz w:val="12"/>
                <w:szCs w:val="12"/>
                <w:color w:val="auto"/>
              </w:rPr>
              <w:t>Corporates</w:t>
            </w:r>
          </w:p>
        </w:tc>
        <w:tc>
          <w:tcPr>
            <w:tcW w:w="120" w:type="dxa"/>
            <w:vAlign w:val="bottom"/>
          </w:tcPr>
          <w:p>
            <w:pPr>
              <w:spacing w:after="0"/>
              <w:rPr>
                <w:sz w:val="13"/>
                <w:szCs w:val="13"/>
                <w:color w:val="auto"/>
              </w:rPr>
            </w:pP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1,201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left="341"/>
              <w:spacing w:after="0"/>
              <w:rPr>
                <w:sz w:val="20"/>
                <w:szCs w:val="20"/>
                <w:color w:val="auto"/>
              </w:rPr>
            </w:pPr>
            <w:r>
              <w:rPr>
                <w:rFonts w:ascii="Arial" w:cs="Arial" w:eastAsia="Arial" w:hAnsi="Arial"/>
                <w:sz w:val="12"/>
                <w:szCs w:val="12"/>
                <w:color w:val="auto"/>
                <w:w w:val="82"/>
              </w:rPr>
              <w:t>—</w:t>
            </w:r>
          </w:p>
        </w:tc>
        <w:tc>
          <w:tcPr>
            <w:tcW w:w="160" w:type="dxa"/>
            <w:vAlign w:val="bottom"/>
          </w:tcPr>
          <w:p>
            <w:pPr>
              <w:spacing w:after="0"/>
              <w:rPr>
                <w:sz w:val="13"/>
                <w:szCs w:val="13"/>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1,113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57"/>
        </w:trPr>
        <w:tc>
          <w:tcPr>
            <w:tcW w:w="22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Municipals</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center"/>
              <w:ind w:left="341"/>
              <w:spacing w:after="0"/>
              <w:rPr>
                <w:sz w:val="20"/>
                <w:szCs w:val="20"/>
                <w:color w:val="auto"/>
              </w:rPr>
            </w:pPr>
            <w:r>
              <w:rPr>
                <w:rFonts w:ascii="Arial" w:cs="Arial" w:eastAsia="Arial" w:hAnsi="Arial"/>
                <w:sz w:val="12"/>
                <w:szCs w:val="12"/>
                <w:color w:val="auto"/>
                <w:w w:val="82"/>
              </w:rPr>
              <w:t>—</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2200" w:type="dxa"/>
            <w:vAlign w:val="bottom"/>
          </w:tcPr>
          <w:p>
            <w:pPr>
              <w:ind w:left="180"/>
              <w:spacing w:after="0"/>
              <w:rPr>
                <w:sz w:val="20"/>
                <w:szCs w:val="20"/>
                <w:color w:val="auto"/>
              </w:rPr>
            </w:pPr>
            <w:r>
              <w:rPr>
                <w:rFonts w:ascii="Arial" w:cs="Arial" w:eastAsia="Arial" w:hAnsi="Arial"/>
                <w:sz w:val="12"/>
                <w:szCs w:val="12"/>
                <w:color w:val="auto"/>
                <w:w w:val="95"/>
              </w:rPr>
              <w:t>Residential mortgage-backed securities</w:t>
            </w:r>
          </w:p>
        </w:tc>
        <w:tc>
          <w:tcPr>
            <w:tcW w:w="120" w:type="dxa"/>
            <w:vAlign w:val="bottom"/>
          </w:tcPr>
          <w:p>
            <w:pPr>
              <w:spacing w:after="0"/>
              <w:rPr>
                <w:sz w:val="13"/>
                <w:szCs w:val="13"/>
                <w:color w:val="auto"/>
              </w:rPr>
            </w:pP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443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left="341"/>
              <w:spacing w:after="0"/>
              <w:rPr>
                <w:sz w:val="20"/>
                <w:szCs w:val="20"/>
                <w:color w:val="auto"/>
              </w:rPr>
            </w:pPr>
            <w:r>
              <w:rPr>
                <w:rFonts w:ascii="Arial" w:cs="Arial" w:eastAsia="Arial" w:hAnsi="Arial"/>
                <w:sz w:val="12"/>
                <w:szCs w:val="12"/>
                <w:color w:val="auto"/>
                <w:w w:val="82"/>
              </w:rPr>
              <w:t>—</w:t>
            </w:r>
          </w:p>
        </w:tc>
        <w:tc>
          <w:tcPr>
            <w:tcW w:w="160" w:type="dxa"/>
            <w:vAlign w:val="bottom"/>
          </w:tcPr>
          <w:p>
            <w:pPr>
              <w:spacing w:after="0"/>
              <w:rPr>
                <w:sz w:val="13"/>
                <w:szCs w:val="13"/>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394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7"/>
        </w:trPr>
        <w:tc>
          <w:tcPr>
            <w:tcW w:w="22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Foreign Governments</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center"/>
              <w:ind w:left="341"/>
              <w:spacing w:after="0"/>
              <w:rPr>
                <w:sz w:val="20"/>
                <w:szCs w:val="20"/>
                <w:color w:val="auto"/>
              </w:rPr>
            </w:pPr>
            <w:r>
              <w:rPr>
                <w:rFonts w:ascii="Arial" w:cs="Arial" w:eastAsia="Arial" w:hAnsi="Arial"/>
                <w:sz w:val="12"/>
                <w:szCs w:val="12"/>
                <w:color w:val="auto"/>
                <w:w w:val="82"/>
              </w:rPr>
              <w:t>—</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2200" w:type="dxa"/>
            <w:vAlign w:val="bottom"/>
          </w:tcPr>
          <w:p>
            <w:pPr>
              <w:ind w:left="180"/>
              <w:spacing w:after="0"/>
              <w:rPr>
                <w:sz w:val="20"/>
                <w:szCs w:val="20"/>
                <w:color w:val="auto"/>
              </w:rPr>
            </w:pPr>
            <w:r>
              <w:rPr>
                <w:rFonts w:ascii="Arial" w:cs="Arial" w:eastAsia="Arial" w:hAnsi="Arial"/>
                <w:sz w:val="12"/>
                <w:szCs w:val="12"/>
                <w:color w:val="auto"/>
              </w:rPr>
              <w:t>Short-Term</w:t>
            </w:r>
          </w:p>
        </w:tc>
        <w:tc>
          <w:tcPr>
            <w:tcW w:w="120" w:type="dxa"/>
            <w:vAlign w:val="bottom"/>
          </w:tcPr>
          <w:p>
            <w:pPr>
              <w:spacing w:after="0"/>
              <w:rPr>
                <w:sz w:val="13"/>
                <w:szCs w:val="13"/>
                <w:color w:val="auto"/>
              </w:rPr>
            </w:pP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303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192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(304)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left="341"/>
              <w:spacing w:after="0"/>
              <w:rPr>
                <w:sz w:val="20"/>
                <w:szCs w:val="20"/>
                <w:color w:val="auto"/>
              </w:rPr>
            </w:pPr>
            <w:r>
              <w:rPr>
                <w:rFonts w:ascii="Arial" w:cs="Arial" w:eastAsia="Arial" w:hAnsi="Arial"/>
                <w:sz w:val="12"/>
                <w:szCs w:val="12"/>
                <w:color w:val="auto"/>
                <w:w w:val="82"/>
              </w:rPr>
              <w:t>—</w:t>
            </w:r>
          </w:p>
        </w:tc>
        <w:tc>
          <w:tcPr>
            <w:tcW w:w="160" w:type="dxa"/>
            <w:vAlign w:val="bottom"/>
          </w:tcPr>
          <w:p>
            <w:pPr>
              <w:spacing w:after="0"/>
              <w:rPr>
                <w:sz w:val="13"/>
                <w:szCs w:val="13"/>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192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7"/>
        </w:trPr>
        <w:tc>
          <w:tcPr>
            <w:tcW w:w="2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 and preferred securities</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center"/>
              <w:ind w:left="341"/>
              <w:spacing w:after="0"/>
              <w:rPr>
                <w:sz w:val="20"/>
                <w:szCs w:val="20"/>
                <w:color w:val="auto"/>
              </w:rPr>
            </w:pPr>
            <w:r>
              <w:rPr>
                <w:rFonts w:ascii="Arial" w:cs="Arial" w:eastAsia="Arial" w:hAnsi="Arial"/>
                <w:sz w:val="12"/>
                <w:szCs w:val="12"/>
                <w:color w:val="auto"/>
                <w:w w:val="82"/>
              </w:rPr>
              <w:t>—</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2200" w:type="dxa"/>
            <w:vAlign w:val="bottom"/>
          </w:tcPr>
          <w:p>
            <w:pPr>
              <w:ind w:left="20"/>
              <w:spacing w:after="0"/>
              <w:rPr>
                <w:sz w:val="20"/>
                <w:szCs w:val="20"/>
                <w:color w:val="auto"/>
              </w:rPr>
            </w:pPr>
            <w:r>
              <w:rPr>
                <w:rFonts w:ascii="Arial" w:cs="Arial" w:eastAsia="Arial" w:hAnsi="Arial"/>
                <w:sz w:val="12"/>
                <w:szCs w:val="12"/>
                <w:color w:val="auto"/>
              </w:rPr>
              <w:t>Other long-term assets:</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0" w:type="dxa"/>
            <w:vAlign w:val="bottom"/>
            <w:shd w:val="clear" w:color="auto" w:fill="CCEEFF"/>
          </w:tcPr>
          <w:p>
            <w:pPr>
              <w:ind w:left="180"/>
              <w:spacing w:after="0"/>
              <w:rPr>
                <w:sz w:val="20"/>
                <w:szCs w:val="20"/>
                <w:color w:val="auto"/>
              </w:rPr>
            </w:pPr>
            <w:r>
              <w:rPr>
                <w:rFonts w:ascii="Arial" w:cs="Arial" w:eastAsia="Arial" w:hAnsi="Arial"/>
                <w:sz w:val="12"/>
                <w:szCs w:val="12"/>
                <w:color w:val="auto"/>
                <w:w w:val="96"/>
              </w:rPr>
              <w:t>Available-for-sale embedded derivative</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center"/>
              <w:ind w:left="341"/>
              <w:spacing w:after="0"/>
              <w:rPr>
                <w:sz w:val="20"/>
                <w:szCs w:val="20"/>
                <w:color w:val="auto"/>
              </w:rPr>
            </w:pPr>
            <w:r>
              <w:rPr>
                <w:rFonts w:ascii="Arial" w:cs="Arial" w:eastAsia="Arial" w:hAnsi="Arial"/>
                <w:sz w:val="12"/>
                <w:szCs w:val="12"/>
                <w:color w:val="auto"/>
                <w:w w:val="82"/>
              </w:rPr>
              <w:t>—</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2200" w:type="dxa"/>
            <w:vAlign w:val="bottom"/>
          </w:tcPr>
          <w:p>
            <w:pPr>
              <w:ind w:left="180"/>
              <w:spacing w:after="0"/>
              <w:rPr>
                <w:sz w:val="20"/>
                <w:szCs w:val="20"/>
                <w:color w:val="auto"/>
              </w:rPr>
            </w:pPr>
            <w:r>
              <w:rPr>
                <w:rFonts w:ascii="Arial" w:cs="Arial" w:eastAsia="Arial" w:hAnsi="Arial"/>
                <w:sz w:val="12"/>
                <w:szCs w:val="12"/>
                <w:color w:val="auto"/>
              </w:rPr>
              <w:t>Credit linked note</w:t>
            </w:r>
          </w:p>
        </w:tc>
        <w:tc>
          <w:tcPr>
            <w:tcW w:w="120" w:type="dxa"/>
            <w:vAlign w:val="bottom"/>
          </w:tcPr>
          <w:p>
            <w:pPr>
              <w:spacing w:after="0"/>
              <w:rPr>
                <w:sz w:val="13"/>
                <w:szCs w:val="13"/>
                <w:color w:val="auto"/>
              </w:rPr>
            </w:pP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20" w:type="dxa"/>
            <w:vAlign w:val="bottom"/>
            <w:gridSpan w:val="2"/>
          </w:tcPr>
          <w:p>
            <w:pPr>
              <w:jc w:val="center"/>
              <w:ind w:left="341"/>
              <w:spacing w:after="0"/>
              <w:rPr>
                <w:sz w:val="20"/>
                <w:szCs w:val="20"/>
                <w:color w:val="auto"/>
              </w:rPr>
            </w:pPr>
            <w:r>
              <w:rPr>
                <w:rFonts w:ascii="Arial" w:cs="Arial" w:eastAsia="Arial" w:hAnsi="Arial"/>
                <w:sz w:val="12"/>
                <w:szCs w:val="12"/>
                <w:color w:val="auto"/>
                <w:w w:val="82"/>
              </w:rPr>
              <w:t>—</w:t>
            </w:r>
          </w:p>
        </w:tc>
        <w:tc>
          <w:tcPr>
            <w:tcW w:w="160" w:type="dxa"/>
            <w:vAlign w:val="bottom"/>
          </w:tcPr>
          <w:p>
            <w:pPr>
              <w:spacing w:after="0"/>
              <w:rPr>
                <w:sz w:val="13"/>
                <w:szCs w:val="13"/>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20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22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2"/>
                <w:szCs w:val="12"/>
                <w:b w:val="1"/>
                <w:bCs w:val="1"/>
                <w:color w:val="auto"/>
              </w:rPr>
              <w:t>Total assets at Level 3 fair value</w:t>
            </w: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4,400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1,417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shd w:val="clear" w:color="auto" w:fill="CCEEFF"/>
          </w:tcPr>
          <w:p>
            <w:pPr>
              <w:jc w:val="center"/>
              <w:ind w:left="421"/>
              <w:spacing w:after="0"/>
              <w:rPr>
                <w:sz w:val="20"/>
                <w:szCs w:val="20"/>
                <w:color w:val="auto"/>
              </w:rPr>
            </w:pPr>
            <w:r>
              <w:rPr>
                <w:rFonts w:ascii="Arial" w:cs="Arial" w:eastAsia="Arial" w:hAnsi="Arial"/>
                <w:sz w:val="12"/>
                <w:szCs w:val="12"/>
                <w:color w:val="auto"/>
                <w:w w:val="93"/>
              </w:rPr>
              <w:t>(44)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5,103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bottom w:val="single" w:sz="8" w:color="CCEEFF"/>
            </w:tcBorders>
            <w:vMerge w:val="restart"/>
          </w:tcPr>
          <w:p>
            <w:pPr>
              <w:ind w:left="20"/>
              <w:spacing w:after="0" w:line="135" w:lineRule="exact"/>
              <w:rPr>
                <w:sz w:val="20"/>
                <w:szCs w:val="20"/>
                <w:color w:val="auto"/>
              </w:rPr>
            </w:pPr>
            <w:r>
              <w:rPr>
                <w:rFonts w:ascii="Arial" w:cs="Arial" w:eastAsia="Arial" w:hAnsi="Arial"/>
                <w:sz w:val="12"/>
                <w:szCs w:val="12"/>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200" w:type="dxa"/>
            <w:vAlign w:val="bottom"/>
            <w:shd w:val="clear" w:color="auto" w:fill="CCEEFF"/>
          </w:tcPr>
          <w:p>
            <w:pPr>
              <w:ind w:left="20"/>
              <w:spacing w:after="0" w:line="113" w:lineRule="exact"/>
              <w:rPr>
                <w:sz w:val="20"/>
                <w:szCs w:val="20"/>
                <w:color w:val="auto"/>
              </w:rPr>
            </w:pPr>
            <w:r>
              <w:rPr>
                <w:rFonts w:ascii="Arial" w:cs="Arial" w:eastAsia="Arial" w:hAnsi="Arial"/>
                <w:sz w:val="12"/>
                <w:szCs w:val="12"/>
                <w:color w:val="auto"/>
              </w:rPr>
              <w:t>FIA embedded derivatives, included in</w:t>
            </w:r>
          </w:p>
        </w:tc>
        <w:tc>
          <w:tcPr>
            <w:tcW w:w="12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3,759</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(320)</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center"/>
              <w:ind w:left="341"/>
              <w:spacing w:after="0"/>
              <w:rPr>
                <w:sz w:val="20"/>
                <w:szCs w:val="20"/>
                <w:color w:val="auto"/>
              </w:rPr>
            </w:pPr>
            <w:r>
              <w:rPr>
                <w:rFonts w:ascii="Arial" w:cs="Arial" w:eastAsia="Arial" w:hAnsi="Arial"/>
                <w:sz w:val="12"/>
                <w:szCs w:val="12"/>
                <w:color w:val="auto"/>
                <w:w w:val="82"/>
              </w:rPr>
              <w:t>—</w:t>
            </w:r>
          </w:p>
        </w:tc>
        <w:tc>
          <w:tcPr>
            <w:tcW w:w="16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3,439</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2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contractholder funds</w:t>
            </w:r>
          </w:p>
        </w:tc>
        <w:tc>
          <w:tcPr>
            <w:tcW w:w="12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200" w:type="dxa"/>
            <w:vAlign w:val="bottom"/>
          </w:tcPr>
          <w:p>
            <w:pPr>
              <w:ind w:left="280"/>
              <w:spacing w:after="0"/>
              <w:rPr>
                <w:sz w:val="20"/>
                <w:szCs w:val="20"/>
                <w:color w:val="auto"/>
              </w:rPr>
            </w:pPr>
            <w:r>
              <w:rPr>
                <w:rFonts w:ascii="Arial" w:cs="Arial" w:eastAsia="Arial" w:hAnsi="Arial"/>
                <w:sz w:val="12"/>
                <w:szCs w:val="12"/>
                <w:b w:val="1"/>
                <w:bCs w:val="1"/>
                <w:color w:val="auto"/>
                <w:w w:val="96"/>
              </w:rPr>
              <w:t>Total liabilities at Level 3 fair value</w:t>
            </w: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3,759</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(320)</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center"/>
              <w:ind w:left="441"/>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3,439</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140"/>
        <w:spacing w:after="0"/>
        <w:rPr>
          <w:sz w:val="20"/>
          <w:szCs w:val="20"/>
          <w:color w:val="auto"/>
        </w:rPr>
      </w:pPr>
      <w:r>
        <w:rPr>
          <w:rFonts w:ascii="Arial" w:cs="Arial" w:eastAsia="Arial" w:hAnsi="Arial"/>
          <w:sz w:val="12"/>
          <w:szCs w:val="12"/>
          <w:color w:val="auto"/>
        </w:rPr>
        <w:t>(a) The net transfers out of Level 3 during the three months ended September 30, 2021 were exclusively to Level 2.</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4" w:name="page25"/>
    <w:bookmarkEnd w:id="24"/>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left="1080"/>
        <w:spacing w:after="0"/>
        <w:rPr>
          <w:sz w:val="20"/>
          <w:szCs w:val="20"/>
          <w:color w:val="auto"/>
        </w:rPr>
      </w:pPr>
      <w:r>
        <w:rPr>
          <w:rFonts w:ascii="Arial" w:cs="Arial" w:eastAsia="Arial" w:hAnsi="Arial"/>
          <w:sz w:val="12"/>
          <w:szCs w:val="12"/>
          <w:b w:val="1"/>
          <w:bCs w:val="1"/>
          <w:color w:val="auto"/>
        </w:rPr>
        <w:t>Three months ended September 30, 2020</w:t>
      </w:r>
    </w:p>
    <w:p>
      <w:pPr>
        <w:spacing w:after="0" w:line="17" w:lineRule="exact"/>
        <w:rPr>
          <w:sz w:val="20"/>
          <w:szCs w:val="20"/>
          <w:color w:val="auto"/>
        </w:rPr>
      </w:pPr>
    </w:p>
    <w:p>
      <w:pPr>
        <w:jc w:val="center"/>
        <w:ind w:left="1060"/>
        <w:spacing w:after="0"/>
        <w:rPr>
          <w:sz w:val="20"/>
          <w:szCs w:val="20"/>
          <w:color w:val="auto"/>
        </w:rPr>
      </w:pPr>
      <w:r>
        <w:rPr>
          <w:rFonts w:ascii="Arial" w:cs="Arial" w:eastAsia="Arial" w:hAnsi="Arial"/>
          <w:sz w:val="12"/>
          <w:szCs w:val="12"/>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14605</wp:posOffset>
            </wp:positionV>
            <wp:extent cx="572706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27065" cy="6985"/>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5"/>
          </w:tcPr>
          <w:p>
            <w:pPr>
              <w:ind w:left="300"/>
              <w:spacing w:after="0"/>
              <w:rPr>
                <w:sz w:val="20"/>
                <w:szCs w:val="20"/>
                <w:color w:val="auto"/>
              </w:rPr>
            </w:pPr>
            <w:r>
              <w:rPr>
                <w:rFonts w:ascii="Arial" w:cs="Arial" w:eastAsia="Arial" w:hAnsi="Arial"/>
                <w:sz w:val="10"/>
                <w:szCs w:val="10"/>
                <w:b w:val="1"/>
                <w:bCs w:val="1"/>
                <w:color w:val="auto"/>
              </w:rPr>
              <w:t>Total Gains (Losses)</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1"/>
              </w:rPr>
              <w:t>Balance at</w:t>
            </w:r>
          </w:p>
        </w:tc>
        <w:tc>
          <w:tcPr>
            <w:tcW w:w="120" w:type="dxa"/>
            <w:vAlign w:val="bottom"/>
          </w:tcPr>
          <w:p>
            <w:pPr>
              <w:spacing w:after="0"/>
              <w:rPr>
                <w:sz w:val="13"/>
                <w:szCs w:val="13"/>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4"/>
              </w:rPr>
              <w:t>Included in</w:t>
            </w:r>
          </w:p>
        </w:tc>
        <w:tc>
          <w:tcPr>
            <w:tcW w:w="120" w:type="dxa"/>
            <w:vAlign w:val="bottom"/>
          </w:tcPr>
          <w:p>
            <w:pPr>
              <w:spacing w:after="0"/>
              <w:rPr>
                <w:sz w:val="13"/>
                <w:szCs w:val="13"/>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4"/>
              </w:rPr>
              <w:t>Included in</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97"/>
              </w:rPr>
              <w:t>Net transfer In (Out)</w:t>
            </w:r>
          </w:p>
        </w:tc>
        <w:tc>
          <w:tcPr>
            <w:tcW w:w="90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Balance at End of</w:t>
            </w:r>
          </w:p>
        </w:tc>
        <w:tc>
          <w:tcPr>
            <w:tcW w:w="1100" w:type="dxa"/>
            <w:vAlign w:val="bottom"/>
            <w:gridSpan w:val="2"/>
          </w:tcPr>
          <w:p>
            <w:pPr>
              <w:jc w:val="center"/>
              <w:spacing w:after="0"/>
              <w:rPr>
                <w:sz w:val="20"/>
                <w:szCs w:val="20"/>
                <w:color w:val="auto"/>
              </w:rPr>
            </w:pPr>
            <w:r>
              <w:rPr>
                <w:rFonts w:ascii="Arial" w:cs="Arial" w:eastAsia="Arial" w:hAnsi="Arial"/>
                <w:sz w:val="10"/>
                <w:szCs w:val="10"/>
                <w:b w:val="1"/>
                <w:bCs w:val="1"/>
                <w:color w:val="auto"/>
                <w:w w:val="94"/>
              </w:rPr>
              <w:t>Change in Unrealized</w:t>
            </w:r>
          </w:p>
        </w:tc>
        <w:tc>
          <w:tcPr>
            <w:tcW w:w="0" w:type="dxa"/>
            <w:vAlign w:val="bottom"/>
          </w:tcPr>
          <w:p>
            <w:pPr>
              <w:spacing w:after="0"/>
              <w:rPr>
                <w:sz w:val="1"/>
                <w:szCs w:val="1"/>
                <w:color w:val="auto"/>
              </w:rPr>
            </w:pPr>
          </w:p>
        </w:tc>
      </w:tr>
      <w:tr>
        <w:trPr>
          <w:trHeight w:val="99"/>
        </w:trPr>
        <w:tc>
          <w:tcPr>
            <w:tcW w:w="2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gridSpan w:val="2"/>
          </w:tcPr>
          <w:p>
            <w:pPr>
              <w:jc w:val="center"/>
              <w:ind w:right="240"/>
              <w:spacing w:after="0" w:line="100" w:lineRule="exact"/>
              <w:rPr>
                <w:sz w:val="20"/>
                <w:szCs w:val="20"/>
                <w:color w:val="auto"/>
              </w:rPr>
            </w:pPr>
            <w:r>
              <w:rPr>
                <w:rFonts w:ascii="Arial" w:cs="Arial" w:eastAsia="Arial" w:hAnsi="Arial"/>
                <w:sz w:val="10"/>
                <w:szCs w:val="10"/>
                <w:b w:val="1"/>
                <w:bCs w:val="1"/>
                <w:color w:val="auto"/>
                <w:w w:val="89"/>
              </w:rPr>
              <w:t>Beginning</w:t>
            </w: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Purchases</w:t>
            </w:r>
          </w:p>
        </w:tc>
        <w:tc>
          <w:tcPr>
            <w:tcW w:w="180" w:type="dxa"/>
            <w:vAlign w:val="bottom"/>
          </w:tcPr>
          <w:p>
            <w:pPr>
              <w:spacing w:after="0"/>
              <w:rPr>
                <w:sz w:val="8"/>
                <w:szCs w:val="8"/>
                <w:color w:val="auto"/>
              </w:rPr>
            </w:pPr>
          </w:p>
        </w:tc>
        <w:tc>
          <w:tcPr>
            <w:tcW w:w="72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Sales</w:t>
            </w:r>
          </w:p>
        </w:tc>
        <w:tc>
          <w:tcPr>
            <w:tcW w:w="160" w:type="dxa"/>
            <w:vAlign w:val="bottom"/>
          </w:tcPr>
          <w:p>
            <w:pPr>
              <w:spacing w:after="0"/>
              <w:rPr>
                <w:sz w:val="8"/>
                <w:szCs w:val="8"/>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Settlements</w:t>
            </w:r>
          </w:p>
        </w:tc>
        <w:tc>
          <w:tcPr>
            <w:tcW w:w="180" w:type="dxa"/>
            <w:vAlign w:val="bottom"/>
          </w:tcPr>
          <w:p>
            <w:pPr>
              <w:spacing w:after="0"/>
              <w:rPr>
                <w:sz w:val="8"/>
                <w:szCs w:val="8"/>
                <w:color w:val="auto"/>
              </w:rPr>
            </w:pPr>
          </w:p>
        </w:tc>
        <w:tc>
          <w:tcPr>
            <w:tcW w:w="980" w:type="dxa"/>
            <w:vAlign w:val="bottom"/>
            <w:gridSpan w:val="2"/>
          </w:tcPr>
          <w:p>
            <w:pPr>
              <w:jc w:val="center"/>
              <w:ind w:right="300"/>
              <w:spacing w:after="0" w:line="100" w:lineRule="exact"/>
              <w:rPr>
                <w:sz w:val="20"/>
                <w:szCs w:val="20"/>
                <w:color w:val="auto"/>
              </w:rPr>
            </w:pPr>
            <w:r>
              <w:rPr>
                <w:rFonts w:ascii="Arial" w:cs="Arial" w:eastAsia="Arial" w:hAnsi="Arial"/>
                <w:sz w:val="10"/>
                <w:szCs w:val="10"/>
                <w:b w:val="1"/>
                <w:bCs w:val="1"/>
                <w:color w:val="auto"/>
                <w:w w:val="84"/>
              </w:rPr>
              <w:t>of</w:t>
            </w:r>
          </w:p>
        </w:tc>
        <w:tc>
          <w:tcPr>
            <w:tcW w:w="9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jc w:val="center"/>
              <w:ind w:right="22"/>
              <w:spacing w:after="0" w:line="100" w:lineRule="exact"/>
              <w:rPr>
                <w:sz w:val="20"/>
                <w:szCs w:val="20"/>
                <w:color w:val="auto"/>
              </w:rPr>
            </w:pPr>
            <w:r>
              <w:rPr>
                <w:rFonts w:ascii="Arial" w:cs="Arial" w:eastAsia="Arial" w:hAnsi="Arial"/>
                <w:sz w:val="10"/>
                <w:szCs w:val="10"/>
                <w:b w:val="1"/>
                <w:bCs w:val="1"/>
                <w:color w:val="auto"/>
                <w:w w:val="90"/>
              </w:rPr>
              <w:t>Gains (Losses) Incl in</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2"/>
              </w:rPr>
              <w:t>of Period</w:t>
            </w:r>
          </w:p>
        </w:tc>
        <w:tc>
          <w:tcPr>
            <w:tcW w:w="120" w:type="dxa"/>
            <w:vAlign w:val="bottom"/>
          </w:tcPr>
          <w:p>
            <w:pPr>
              <w:spacing w:after="0"/>
              <w:rPr>
                <w:sz w:val="11"/>
                <w:szCs w:val="11"/>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3"/>
              </w:rPr>
              <w:t>Earnings</w:t>
            </w:r>
          </w:p>
        </w:tc>
        <w:tc>
          <w:tcPr>
            <w:tcW w:w="120" w:type="dxa"/>
            <w:vAlign w:val="bottom"/>
          </w:tcPr>
          <w:p>
            <w:pPr>
              <w:spacing w:after="0"/>
              <w:rPr>
                <w:sz w:val="11"/>
                <w:szCs w:val="11"/>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AOCI</w:t>
            </w:r>
          </w:p>
        </w:tc>
        <w:tc>
          <w:tcPr>
            <w:tcW w:w="1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8"/>
              </w:rPr>
              <w:t>Level 3 (a)</w:t>
            </w:r>
          </w:p>
        </w:tc>
        <w:tc>
          <w:tcPr>
            <w:tcW w:w="16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Arial" w:cs="Arial" w:eastAsia="Arial" w:hAnsi="Arial"/>
                <w:sz w:val="10"/>
                <w:szCs w:val="10"/>
                <w:b w:val="1"/>
                <w:bCs w:val="1"/>
                <w:color w:val="auto"/>
              </w:rPr>
              <w:t>Period</w:t>
            </w:r>
          </w:p>
        </w:tc>
        <w:tc>
          <w:tcPr>
            <w:tcW w:w="80" w:type="dxa"/>
            <w:vAlign w:val="bottom"/>
          </w:tcPr>
          <w:p>
            <w:pPr>
              <w:spacing w:after="0"/>
              <w:rPr>
                <w:sz w:val="11"/>
                <w:szCs w:val="11"/>
                <w:color w:val="auto"/>
              </w:rPr>
            </w:pPr>
          </w:p>
        </w:tc>
        <w:tc>
          <w:tcPr>
            <w:tcW w:w="1020" w:type="dxa"/>
            <w:vAlign w:val="bottom"/>
          </w:tcPr>
          <w:p>
            <w:pPr>
              <w:jc w:val="center"/>
              <w:ind w:right="2"/>
              <w:spacing w:after="0"/>
              <w:rPr>
                <w:sz w:val="20"/>
                <w:szCs w:val="20"/>
                <w:color w:val="auto"/>
              </w:rPr>
            </w:pPr>
            <w:r>
              <w:rPr>
                <w:rFonts w:ascii="Arial" w:cs="Arial" w:eastAsia="Arial" w:hAnsi="Arial"/>
                <w:sz w:val="10"/>
                <w:szCs w:val="10"/>
                <w:b w:val="1"/>
                <w:bCs w:val="1"/>
                <w:color w:val="auto"/>
              </w:rPr>
              <w:t>OCI</w:t>
            </w:r>
          </w:p>
        </w:tc>
        <w:tc>
          <w:tcPr>
            <w:tcW w:w="0" w:type="dxa"/>
            <w:vAlign w:val="bottom"/>
          </w:tcPr>
          <w:p>
            <w:pPr>
              <w:spacing w:after="0"/>
              <w:rPr>
                <w:sz w:val="1"/>
                <w:szCs w:val="1"/>
                <w:color w:val="auto"/>
              </w:rPr>
            </w:pPr>
          </w:p>
        </w:tc>
      </w:tr>
      <w:tr>
        <w:trPr>
          <w:trHeight w:val="138"/>
        </w:trPr>
        <w:tc>
          <w:tcPr>
            <w:tcW w:w="22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Assets</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260" w:type="dxa"/>
            <w:vAlign w:val="bottom"/>
            <w:shd w:val="clear" w:color="auto" w:fill="CCEEFF"/>
          </w:tcPr>
          <w:p>
            <w:pPr>
              <w:ind w:left="20"/>
              <w:spacing w:after="0"/>
              <w:rPr>
                <w:sz w:val="20"/>
                <w:szCs w:val="20"/>
                <w:color w:val="auto"/>
              </w:rPr>
            </w:pPr>
            <w:r>
              <w:rPr>
                <w:rFonts w:ascii="Arial" w:cs="Arial" w:eastAsia="Arial" w:hAnsi="Arial"/>
                <w:sz w:val="12"/>
                <w:szCs w:val="12"/>
                <w:color w:val="auto"/>
                <w:w w:val="97"/>
              </w:rPr>
              <w:t>Fixed maturity securities available-for-sale:</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60" w:type="dxa"/>
            <w:vAlign w:val="bottom"/>
          </w:tcPr>
          <w:p>
            <w:pPr>
              <w:ind w:left="180"/>
              <w:spacing w:after="0"/>
              <w:rPr>
                <w:sz w:val="20"/>
                <w:szCs w:val="20"/>
                <w:color w:val="auto"/>
              </w:rPr>
            </w:pPr>
            <w:r>
              <w:rPr>
                <w:rFonts w:ascii="Arial" w:cs="Arial" w:eastAsia="Arial" w:hAnsi="Arial"/>
                <w:sz w:val="12"/>
                <w:szCs w:val="12"/>
                <w:color w:val="auto"/>
              </w:rPr>
              <w:t>Asset-backed securities</w:t>
            </w: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1,016</w:t>
            </w:r>
          </w:p>
        </w:tc>
        <w:tc>
          <w:tcPr>
            <w:tcW w:w="80" w:type="dxa"/>
            <w:vAlign w:val="bottom"/>
          </w:tcPr>
          <w:p>
            <w:pPr>
              <w:spacing w:after="0"/>
              <w:rPr>
                <w:sz w:val="13"/>
                <w:szCs w:val="13"/>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3"/>
                <w:szCs w:val="13"/>
                <w:color w:val="auto"/>
              </w:rPr>
            </w:pP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118</w:t>
            </w:r>
          </w:p>
        </w:tc>
        <w:tc>
          <w:tcPr>
            <w:tcW w:w="100" w:type="dxa"/>
            <w:vAlign w:val="bottom"/>
          </w:tcPr>
          <w:p>
            <w:pPr>
              <w:spacing w:after="0"/>
              <w:rPr>
                <w:sz w:val="13"/>
                <w:szCs w:val="13"/>
                <w:color w:val="auto"/>
              </w:rPr>
            </w:pPr>
          </w:p>
        </w:tc>
        <w:tc>
          <w:tcPr>
            <w:tcW w:w="180" w:type="dxa"/>
            <w:vAlign w:val="bottom"/>
          </w:tcPr>
          <w:p>
            <w:pPr>
              <w:jc w:val="right"/>
              <w:ind w:right="41"/>
              <w:spacing w:after="0"/>
              <w:rPr>
                <w:sz w:val="20"/>
                <w:szCs w:val="20"/>
                <w:color w:val="auto"/>
              </w:rPr>
            </w:pPr>
            <w:r>
              <w:rPr>
                <w:rFonts w:ascii="Arial" w:cs="Arial" w:eastAsia="Arial" w:hAnsi="Arial"/>
                <w:sz w:val="12"/>
                <w:szCs w:val="12"/>
                <w:color w:val="auto"/>
                <w:w w:val="89"/>
              </w:rPr>
              <w:t>$</w:t>
            </w:r>
          </w:p>
        </w:tc>
        <w:tc>
          <w:tcPr>
            <w:tcW w:w="620" w:type="dxa"/>
            <w:vAlign w:val="bottom"/>
          </w:tcPr>
          <w:p>
            <w:pPr>
              <w:ind w:left="460"/>
              <w:spacing w:after="0"/>
              <w:rPr>
                <w:sz w:val="20"/>
                <w:szCs w:val="20"/>
                <w:color w:val="auto"/>
              </w:rPr>
            </w:pPr>
            <w:r>
              <w:rPr>
                <w:rFonts w:ascii="Arial" w:cs="Arial" w:eastAsia="Arial" w:hAnsi="Arial"/>
                <w:sz w:val="12"/>
                <w:szCs w:val="12"/>
                <w:color w:val="auto"/>
                <w:w w:val="95"/>
              </w:rPr>
              <w:t>(1)</w:t>
            </w:r>
          </w:p>
        </w:tc>
        <w:tc>
          <w:tcPr>
            <w:tcW w:w="100" w:type="dxa"/>
            <w:vAlign w:val="bottom"/>
          </w:tcPr>
          <w:p>
            <w:pPr>
              <w:spacing w:after="0"/>
              <w:rPr>
                <w:sz w:val="13"/>
                <w:szCs w:val="13"/>
                <w:color w:val="auto"/>
              </w:rPr>
            </w:pP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(109)</w:t>
            </w:r>
          </w:p>
        </w:tc>
        <w:tc>
          <w:tcPr>
            <w:tcW w:w="100" w:type="dxa"/>
            <w:vAlign w:val="bottom"/>
          </w:tcPr>
          <w:p>
            <w:pPr>
              <w:spacing w:after="0"/>
              <w:rPr>
                <w:sz w:val="13"/>
                <w:szCs w:val="13"/>
                <w:color w:val="auto"/>
              </w:rPr>
            </w:pPr>
          </w:p>
        </w:tc>
        <w:tc>
          <w:tcPr>
            <w:tcW w:w="180" w:type="dxa"/>
            <w:vAlign w:val="bottom"/>
          </w:tcPr>
          <w:p>
            <w:pPr>
              <w:jc w:val="right"/>
              <w:ind w:right="72"/>
              <w:spacing w:after="0"/>
              <w:rPr>
                <w:sz w:val="20"/>
                <w:szCs w:val="20"/>
                <w:color w:val="auto"/>
              </w:rPr>
            </w:pPr>
            <w:r>
              <w:rPr>
                <w:rFonts w:ascii="Arial" w:cs="Arial" w:eastAsia="Arial" w:hAnsi="Arial"/>
                <w:sz w:val="9"/>
                <w:szCs w:val="9"/>
                <w:color w:val="auto"/>
                <w:w w:val="78"/>
              </w:rPr>
              <w:t>$</w:t>
            </w:r>
          </w:p>
        </w:tc>
        <w:tc>
          <w:tcPr>
            <w:tcW w:w="880" w:type="dxa"/>
            <w:vAlign w:val="bottom"/>
          </w:tcPr>
          <w:p>
            <w:pPr>
              <w:jc w:val="center"/>
              <w:ind w:left="562"/>
              <w:spacing w:after="0"/>
              <w:rPr>
                <w:sz w:val="20"/>
                <w:szCs w:val="20"/>
                <w:color w:val="auto"/>
              </w:rPr>
            </w:pPr>
            <w:r>
              <w:rPr>
                <w:rFonts w:ascii="Arial" w:cs="Arial" w:eastAsia="Arial" w:hAnsi="Arial"/>
                <w:sz w:val="12"/>
                <w:szCs w:val="12"/>
                <w:color w:val="auto"/>
                <w:w w:val="84"/>
              </w:rPr>
              <w:t>(90)</w:t>
            </w:r>
          </w:p>
        </w:tc>
        <w:tc>
          <w:tcPr>
            <w:tcW w:w="10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944</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2"/>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57"/>
        </w:trPr>
        <w:tc>
          <w:tcPr>
            <w:tcW w:w="2260" w:type="dxa"/>
            <w:vAlign w:val="bottom"/>
            <w:shd w:val="clear" w:color="auto" w:fill="CCEEFF"/>
          </w:tcPr>
          <w:p>
            <w:pPr>
              <w:ind w:left="180"/>
              <w:spacing w:after="0"/>
              <w:rPr>
                <w:sz w:val="20"/>
                <w:szCs w:val="20"/>
                <w:color w:val="auto"/>
              </w:rPr>
            </w:pPr>
            <w:r>
              <w:rPr>
                <w:rFonts w:ascii="Arial" w:cs="Arial" w:eastAsia="Arial" w:hAnsi="Arial"/>
                <w:sz w:val="12"/>
                <w:szCs w:val="12"/>
                <w:color w:val="auto"/>
                <w:w w:val="95"/>
              </w:rPr>
              <w:t>Commercial mortgage-backed securities</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center"/>
              <w:ind w:left="482"/>
              <w:spacing w:after="0"/>
              <w:rPr>
                <w:sz w:val="20"/>
                <w:szCs w:val="20"/>
                <w:color w:val="auto"/>
              </w:rPr>
            </w:pPr>
            <w:r>
              <w:rPr>
                <w:rFonts w:ascii="Arial" w:cs="Arial" w:eastAsia="Arial" w:hAnsi="Arial"/>
                <w:sz w:val="12"/>
                <w:szCs w:val="12"/>
                <w:color w:val="auto"/>
                <w:w w:val="99"/>
              </w:rPr>
              <w:t>—</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2"/>
        </w:trPr>
        <w:tc>
          <w:tcPr>
            <w:tcW w:w="2260" w:type="dxa"/>
            <w:vAlign w:val="bottom"/>
          </w:tcPr>
          <w:p>
            <w:pPr>
              <w:ind w:left="180"/>
              <w:spacing w:after="0"/>
              <w:rPr>
                <w:sz w:val="20"/>
                <w:szCs w:val="20"/>
                <w:color w:val="auto"/>
              </w:rPr>
            </w:pPr>
            <w:r>
              <w:rPr>
                <w:rFonts w:ascii="Arial" w:cs="Arial" w:eastAsia="Arial" w:hAnsi="Arial"/>
                <w:sz w:val="12"/>
                <w:szCs w:val="12"/>
                <w:color w:val="auto"/>
              </w:rPr>
              <w:t>Corporates</w:t>
            </w:r>
          </w:p>
        </w:tc>
        <w:tc>
          <w:tcPr>
            <w:tcW w:w="160" w:type="dxa"/>
            <w:vAlign w:val="bottom"/>
          </w:tcPr>
          <w:p>
            <w:pPr>
              <w:spacing w:after="0"/>
              <w:rPr>
                <w:sz w:val="13"/>
                <w:szCs w:val="13"/>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1,264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center"/>
              <w:ind w:left="482"/>
              <w:spacing w:after="0"/>
              <w:rPr>
                <w:sz w:val="20"/>
                <w:szCs w:val="20"/>
                <w:color w:val="auto"/>
              </w:rPr>
            </w:pPr>
            <w:r>
              <w:rPr>
                <w:rFonts w:ascii="Arial" w:cs="Arial" w:eastAsia="Arial" w:hAnsi="Arial"/>
                <w:sz w:val="12"/>
                <w:szCs w:val="12"/>
                <w:color w:val="auto"/>
                <w:w w:val="99"/>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1,267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2"/>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57"/>
        </w:trPr>
        <w:tc>
          <w:tcPr>
            <w:tcW w:w="22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Hybrids</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center"/>
              <w:ind w:left="482"/>
              <w:spacing w:after="0"/>
              <w:rPr>
                <w:sz w:val="20"/>
                <w:szCs w:val="20"/>
                <w:color w:val="auto"/>
              </w:rPr>
            </w:pPr>
            <w:r>
              <w:rPr>
                <w:rFonts w:ascii="Arial" w:cs="Arial" w:eastAsia="Arial" w:hAnsi="Arial"/>
                <w:sz w:val="12"/>
                <w:szCs w:val="12"/>
                <w:color w:val="auto"/>
                <w:w w:val="99"/>
              </w:rPr>
              <w:t>—</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2260" w:type="dxa"/>
            <w:vAlign w:val="bottom"/>
          </w:tcPr>
          <w:p>
            <w:pPr>
              <w:ind w:left="180"/>
              <w:spacing w:after="0"/>
              <w:rPr>
                <w:sz w:val="20"/>
                <w:szCs w:val="20"/>
                <w:color w:val="auto"/>
              </w:rPr>
            </w:pPr>
            <w:r>
              <w:rPr>
                <w:rFonts w:ascii="Arial" w:cs="Arial" w:eastAsia="Arial" w:hAnsi="Arial"/>
                <w:sz w:val="12"/>
                <w:szCs w:val="12"/>
                <w:color w:val="auto"/>
              </w:rPr>
              <w:t>Municipals</w:t>
            </w:r>
          </w:p>
        </w:tc>
        <w:tc>
          <w:tcPr>
            <w:tcW w:w="160" w:type="dxa"/>
            <w:vAlign w:val="bottom"/>
          </w:tcPr>
          <w:p>
            <w:pPr>
              <w:spacing w:after="0"/>
              <w:rPr>
                <w:sz w:val="13"/>
                <w:szCs w:val="13"/>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40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940" w:type="dxa"/>
            <w:vAlign w:val="bottom"/>
            <w:gridSpan w:val="2"/>
          </w:tcPr>
          <w:p>
            <w:pPr>
              <w:ind w:left="6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80" w:type="dxa"/>
            <w:vAlign w:val="bottom"/>
            <w:gridSpan w:val="2"/>
          </w:tcPr>
          <w:p>
            <w:pPr>
              <w:jc w:val="center"/>
              <w:ind w:left="482"/>
              <w:spacing w:after="0"/>
              <w:rPr>
                <w:sz w:val="20"/>
                <w:szCs w:val="20"/>
                <w:color w:val="auto"/>
              </w:rPr>
            </w:pPr>
            <w:r>
              <w:rPr>
                <w:rFonts w:ascii="Arial" w:cs="Arial" w:eastAsia="Arial" w:hAnsi="Arial"/>
                <w:sz w:val="12"/>
                <w:szCs w:val="12"/>
                <w:color w:val="auto"/>
                <w:w w:val="99"/>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2"/>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57"/>
        </w:trPr>
        <w:tc>
          <w:tcPr>
            <w:tcW w:w="2260" w:type="dxa"/>
            <w:vAlign w:val="bottom"/>
            <w:shd w:val="clear" w:color="auto" w:fill="CCEEFF"/>
          </w:tcPr>
          <w:p>
            <w:pPr>
              <w:ind w:left="180"/>
              <w:spacing w:after="0"/>
              <w:rPr>
                <w:sz w:val="20"/>
                <w:szCs w:val="20"/>
                <w:color w:val="auto"/>
              </w:rPr>
            </w:pPr>
            <w:r>
              <w:rPr>
                <w:rFonts w:ascii="Arial" w:cs="Arial" w:eastAsia="Arial" w:hAnsi="Arial"/>
                <w:sz w:val="12"/>
                <w:szCs w:val="12"/>
                <w:color w:val="auto"/>
                <w:w w:val="98"/>
              </w:rPr>
              <w:t>Residential mortgage-backed securities</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509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center"/>
              <w:ind w:left="482"/>
              <w:spacing w:after="0"/>
              <w:rPr>
                <w:sz w:val="20"/>
                <w:szCs w:val="20"/>
                <w:color w:val="auto"/>
              </w:rPr>
            </w:pPr>
            <w:r>
              <w:rPr>
                <w:rFonts w:ascii="Arial" w:cs="Arial" w:eastAsia="Arial" w:hAnsi="Arial"/>
                <w:sz w:val="12"/>
                <w:szCs w:val="12"/>
                <w:color w:val="auto"/>
                <w:w w:val="99"/>
              </w:rPr>
              <w:t>—</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52"/>
        </w:trPr>
        <w:tc>
          <w:tcPr>
            <w:tcW w:w="2260" w:type="dxa"/>
            <w:vAlign w:val="bottom"/>
          </w:tcPr>
          <w:p>
            <w:pPr>
              <w:ind w:left="180"/>
              <w:spacing w:after="0"/>
              <w:rPr>
                <w:sz w:val="20"/>
                <w:szCs w:val="20"/>
                <w:color w:val="auto"/>
              </w:rPr>
            </w:pPr>
            <w:r>
              <w:rPr>
                <w:rFonts w:ascii="Arial" w:cs="Arial" w:eastAsia="Arial" w:hAnsi="Arial"/>
                <w:sz w:val="12"/>
                <w:szCs w:val="12"/>
                <w:color w:val="auto"/>
              </w:rPr>
              <w:t>Foreign Governments</w:t>
            </w:r>
          </w:p>
        </w:tc>
        <w:tc>
          <w:tcPr>
            <w:tcW w:w="160" w:type="dxa"/>
            <w:vAlign w:val="bottom"/>
          </w:tcPr>
          <w:p>
            <w:pPr>
              <w:spacing w:after="0"/>
              <w:rPr>
                <w:sz w:val="13"/>
                <w:szCs w:val="13"/>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16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940" w:type="dxa"/>
            <w:vAlign w:val="bottom"/>
            <w:gridSpan w:val="2"/>
          </w:tcPr>
          <w:p>
            <w:pPr>
              <w:ind w:left="6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80" w:type="dxa"/>
            <w:vAlign w:val="bottom"/>
            <w:gridSpan w:val="2"/>
          </w:tcPr>
          <w:p>
            <w:pPr>
              <w:jc w:val="center"/>
              <w:ind w:left="482"/>
              <w:spacing w:after="0"/>
              <w:rPr>
                <w:sz w:val="20"/>
                <w:szCs w:val="20"/>
                <w:color w:val="auto"/>
              </w:rPr>
            </w:pPr>
            <w:r>
              <w:rPr>
                <w:rFonts w:ascii="Arial" w:cs="Arial" w:eastAsia="Arial" w:hAnsi="Arial"/>
                <w:sz w:val="12"/>
                <w:szCs w:val="12"/>
                <w:color w:val="auto"/>
                <w:w w:val="99"/>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7"/>
        </w:trPr>
        <w:tc>
          <w:tcPr>
            <w:tcW w:w="2260" w:type="dxa"/>
            <w:vAlign w:val="bottom"/>
            <w:shd w:val="clear" w:color="auto" w:fill="CCEEFF"/>
          </w:tcPr>
          <w:p>
            <w:pPr>
              <w:ind w:left="60"/>
              <w:spacing w:after="0"/>
              <w:rPr>
                <w:sz w:val="20"/>
                <w:szCs w:val="20"/>
                <w:color w:val="auto"/>
              </w:rPr>
            </w:pPr>
            <w:r>
              <w:rPr>
                <w:rFonts w:ascii="Arial" w:cs="Arial" w:eastAsia="Arial" w:hAnsi="Arial"/>
                <w:sz w:val="12"/>
                <w:szCs w:val="12"/>
                <w:color w:val="auto"/>
              </w:rPr>
              <w:t>Equity securities</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center"/>
              <w:ind w:left="482"/>
              <w:spacing w:after="0"/>
              <w:rPr>
                <w:sz w:val="20"/>
                <w:szCs w:val="20"/>
                <w:color w:val="auto"/>
              </w:rPr>
            </w:pPr>
            <w:r>
              <w:rPr>
                <w:rFonts w:ascii="Arial" w:cs="Arial" w:eastAsia="Arial" w:hAnsi="Arial"/>
                <w:sz w:val="12"/>
                <w:szCs w:val="12"/>
                <w:color w:val="auto"/>
                <w:w w:val="99"/>
              </w:rPr>
              <w:t>—</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2260" w:type="dxa"/>
            <w:vAlign w:val="bottom"/>
          </w:tcPr>
          <w:p>
            <w:pPr>
              <w:ind w:left="20"/>
              <w:spacing w:after="0"/>
              <w:rPr>
                <w:sz w:val="20"/>
                <w:szCs w:val="20"/>
                <w:color w:val="auto"/>
              </w:rPr>
            </w:pPr>
            <w:r>
              <w:rPr>
                <w:rFonts w:ascii="Arial" w:cs="Arial" w:eastAsia="Arial" w:hAnsi="Arial"/>
                <w:sz w:val="12"/>
                <w:szCs w:val="12"/>
                <w:color w:val="auto"/>
              </w:rPr>
              <w:t>Other long-term assets: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60" w:type="dxa"/>
            <w:vAlign w:val="bottom"/>
            <w:shd w:val="clear" w:color="auto" w:fill="CCEEFF"/>
          </w:tcPr>
          <w:p>
            <w:pPr>
              <w:ind w:left="180"/>
              <w:spacing w:after="0"/>
              <w:rPr>
                <w:sz w:val="20"/>
                <w:szCs w:val="20"/>
                <w:color w:val="auto"/>
              </w:rPr>
            </w:pPr>
            <w:r>
              <w:rPr>
                <w:rFonts w:ascii="Arial" w:cs="Arial" w:eastAsia="Arial" w:hAnsi="Arial"/>
                <w:sz w:val="12"/>
                <w:szCs w:val="12"/>
                <w:color w:val="auto"/>
                <w:w w:val="99"/>
              </w:rPr>
              <w:t>Available-for-sale embedded derivative</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center"/>
              <w:ind w:left="482"/>
              <w:spacing w:after="0"/>
              <w:rPr>
                <w:sz w:val="20"/>
                <w:szCs w:val="20"/>
                <w:color w:val="auto"/>
              </w:rPr>
            </w:pPr>
            <w:r>
              <w:rPr>
                <w:rFonts w:ascii="Arial" w:cs="Arial" w:eastAsia="Arial" w:hAnsi="Arial"/>
                <w:sz w:val="12"/>
                <w:szCs w:val="12"/>
                <w:color w:val="auto"/>
                <w:w w:val="99"/>
              </w:rPr>
              <w:t>—</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2260" w:type="dxa"/>
            <w:vAlign w:val="bottom"/>
          </w:tcPr>
          <w:p>
            <w:pPr>
              <w:ind w:left="180"/>
              <w:spacing w:after="0"/>
              <w:rPr>
                <w:sz w:val="20"/>
                <w:szCs w:val="20"/>
                <w:color w:val="auto"/>
              </w:rPr>
            </w:pPr>
            <w:r>
              <w:rPr>
                <w:rFonts w:ascii="Arial" w:cs="Arial" w:eastAsia="Arial" w:hAnsi="Arial"/>
                <w:sz w:val="12"/>
                <w:szCs w:val="12"/>
                <w:color w:val="auto"/>
              </w:rPr>
              <w:t>Credit linked note</w:t>
            </w:r>
          </w:p>
        </w:tc>
        <w:tc>
          <w:tcPr>
            <w:tcW w:w="160" w:type="dxa"/>
            <w:vAlign w:val="bottom"/>
          </w:tcPr>
          <w:p>
            <w:pPr>
              <w:spacing w:after="0"/>
              <w:rPr>
                <w:sz w:val="13"/>
                <w:szCs w:val="13"/>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23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940" w:type="dxa"/>
            <w:vAlign w:val="bottom"/>
            <w:gridSpan w:val="2"/>
          </w:tcPr>
          <w:p>
            <w:pPr>
              <w:ind w:left="6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80" w:type="dxa"/>
            <w:vAlign w:val="bottom"/>
            <w:gridSpan w:val="2"/>
          </w:tcPr>
          <w:p>
            <w:pPr>
              <w:jc w:val="center"/>
              <w:ind w:left="482"/>
              <w:spacing w:after="0"/>
              <w:rPr>
                <w:sz w:val="20"/>
                <w:szCs w:val="20"/>
                <w:color w:val="auto"/>
              </w:rPr>
            </w:pPr>
            <w:r>
              <w:rPr>
                <w:rFonts w:ascii="Arial" w:cs="Arial" w:eastAsia="Arial" w:hAnsi="Arial"/>
                <w:sz w:val="12"/>
                <w:szCs w:val="12"/>
                <w:color w:val="auto"/>
                <w:w w:val="99"/>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22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2"/>
                <w:szCs w:val="12"/>
                <w:b w:val="1"/>
                <w:bCs w:val="1"/>
                <w:color w:val="auto"/>
              </w:rPr>
              <w:t>Total assets at Level 3 fair value</w:t>
            </w:r>
          </w:p>
        </w:tc>
        <w:tc>
          <w:tcPr>
            <w:tcW w:w="16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2,920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2"/>
                <w:szCs w:val="12"/>
                <w:color w:val="auto"/>
                <w:w w:val="95"/>
              </w:rPr>
              <w:t>(1)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9"/>
                <w:szCs w:val="9"/>
                <w:color w:val="auto"/>
                <w:w w:val="78"/>
              </w:rPr>
              <w:t>$</w:t>
            </w:r>
          </w:p>
        </w:tc>
        <w:tc>
          <w:tcPr>
            <w:tcW w:w="880" w:type="dxa"/>
            <w:vAlign w:val="bottom"/>
            <w:tcBorders>
              <w:top w:val="single" w:sz="8" w:color="auto"/>
              <w:bottom w:val="single" w:sz="8" w:color="auto"/>
            </w:tcBorders>
            <w:shd w:val="clear" w:color="auto" w:fill="CCEEFF"/>
          </w:tcPr>
          <w:p>
            <w:pPr>
              <w:jc w:val="center"/>
              <w:ind w:left="562"/>
              <w:spacing w:after="0"/>
              <w:rPr>
                <w:sz w:val="20"/>
                <w:szCs w:val="20"/>
                <w:color w:val="auto"/>
              </w:rPr>
            </w:pPr>
            <w:r>
              <w:rPr>
                <w:rFonts w:ascii="Arial" w:cs="Arial" w:eastAsia="Arial" w:hAnsi="Arial"/>
                <w:sz w:val="12"/>
                <w:szCs w:val="12"/>
                <w:color w:val="auto"/>
                <w:w w:val="84"/>
              </w:rPr>
              <w:t>(90)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2,850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bottom w:val="single" w:sz="8" w:color="CCEEFF"/>
            </w:tcBorders>
            <w:vMerge w:val="restart"/>
          </w:tcPr>
          <w:p>
            <w:pPr>
              <w:ind w:left="20"/>
              <w:spacing w:after="0" w:line="135" w:lineRule="exact"/>
              <w:rPr>
                <w:sz w:val="20"/>
                <w:szCs w:val="20"/>
                <w:color w:val="auto"/>
              </w:rPr>
            </w:pPr>
            <w:r>
              <w:rPr>
                <w:rFonts w:ascii="Arial" w:cs="Arial" w:eastAsia="Arial" w:hAnsi="Arial"/>
                <w:sz w:val="12"/>
                <w:szCs w:val="12"/>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Future policy benefits</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center"/>
              <w:ind w:left="482"/>
              <w:spacing w:after="0"/>
              <w:rPr>
                <w:sz w:val="20"/>
                <w:szCs w:val="20"/>
                <w:color w:val="auto"/>
              </w:rPr>
            </w:pPr>
            <w:r>
              <w:rPr>
                <w:rFonts w:ascii="Arial" w:cs="Arial" w:eastAsia="Arial" w:hAnsi="Arial"/>
                <w:sz w:val="12"/>
                <w:szCs w:val="12"/>
                <w:color w:val="auto"/>
                <w:w w:val="99"/>
              </w:rPr>
              <w:t>—</w:t>
            </w:r>
          </w:p>
        </w:tc>
        <w:tc>
          <w:tcPr>
            <w:tcW w:w="1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0"/>
        </w:trPr>
        <w:tc>
          <w:tcPr>
            <w:tcW w:w="2260" w:type="dxa"/>
            <w:vAlign w:val="bottom"/>
          </w:tcPr>
          <w:p>
            <w:pPr>
              <w:ind w:left="20"/>
              <w:spacing w:after="0" w:line="111" w:lineRule="exact"/>
              <w:rPr>
                <w:sz w:val="20"/>
                <w:szCs w:val="20"/>
                <w:color w:val="auto"/>
              </w:rPr>
            </w:pPr>
            <w:r>
              <w:rPr>
                <w:rFonts w:ascii="Arial" w:cs="Arial" w:eastAsia="Arial" w:hAnsi="Arial"/>
                <w:sz w:val="12"/>
                <w:szCs w:val="12"/>
                <w:color w:val="auto"/>
              </w:rPr>
              <w:t>FIA embedded derivatives, included in</w:t>
            </w:r>
          </w:p>
        </w:tc>
        <w:tc>
          <w:tcPr>
            <w:tcW w:w="160" w:type="dxa"/>
            <w:vAlign w:val="bottom"/>
          </w:tcPr>
          <w:p>
            <w:pPr>
              <w:spacing w:after="0"/>
              <w:rPr>
                <w:sz w:val="9"/>
                <w:szCs w:val="9"/>
                <w:color w:val="auto"/>
              </w:rPr>
            </w:pP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2,952</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209</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9"/>
                <w:szCs w:val="9"/>
                <w:color w:val="auto"/>
              </w:rPr>
            </w:pPr>
          </w:p>
        </w:tc>
        <w:tc>
          <w:tcPr>
            <w:tcW w:w="720" w:type="dxa"/>
            <w:vAlign w:val="bottom"/>
            <w:gridSpan w:val="2"/>
            <w:vMerge w:val="restart"/>
          </w:tcPr>
          <w:p>
            <w:pPr>
              <w:ind w:left="4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940" w:type="dxa"/>
            <w:vAlign w:val="bottom"/>
            <w:gridSpan w:val="2"/>
            <w:vMerge w:val="restart"/>
          </w:tcPr>
          <w:p>
            <w:pPr>
              <w:ind w:left="6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9"/>
                <w:szCs w:val="9"/>
                <w:color w:val="auto"/>
              </w:rPr>
            </w:pPr>
          </w:p>
        </w:tc>
        <w:tc>
          <w:tcPr>
            <w:tcW w:w="980" w:type="dxa"/>
            <w:vAlign w:val="bottom"/>
            <w:gridSpan w:val="2"/>
            <w:vMerge w:val="restart"/>
          </w:tcPr>
          <w:p>
            <w:pPr>
              <w:jc w:val="center"/>
              <w:ind w:left="482"/>
              <w:spacing w:after="0"/>
              <w:rPr>
                <w:sz w:val="20"/>
                <w:szCs w:val="20"/>
                <w:color w:val="auto"/>
              </w:rPr>
            </w:pPr>
            <w:r>
              <w:rPr>
                <w:rFonts w:ascii="Arial" w:cs="Arial" w:eastAsia="Arial" w:hAnsi="Arial"/>
                <w:sz w:val="12"/>
                <w:szCs w:val="12"/>
                <w:color w:val="auto"/>
                <w:w w:val="99"/>
              </w:rPr>
              <w:t>—</w:t>
            </w:r>
          </w:p>
        </w:tc>
        <w:tc>
          <w:tcPr>
            <w:tcW w:w="16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3,161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2260" w:type="dxa"/>
            <w:vAlign w:val="bottom"/>
          </w:tcPr>
          <w:p>
            <w:pPr>
              <w:ind w:left="20"/>
              <w:spacing w:after="0"/>
              <w:rPr>
                <w:sz w:val="20"/>
                <w:szCs w:val="20"/>
                <w:color w:val="auto"/>
              </w:rPr>
            </w:pPr>
            <w:r>
              <w:rPr>
                <w:rFonts w:ascii="Arial" w:cs="Arial" w:eastAsia="Arial" w:hAnsi="Arial"/>
                <w:sz w:val="12"/>
                <w:szCs w:val="12"/>
                <w:color w:val="auto"/>
              </w:rPr>
              <w:t>contractholder funds</w:t>
            </w:r>
          </w:p>
        </w:tc>
        <w:tc>
          <w:tcPr>
            <w:tcW w:w="1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2"/>
                <w:szCs w:val="12"/>
                <w:b w:val="1"/>
                <w:bCs w:val="1"/>
                <w:color w:val="auto"/>
                <w:w w:val="99"/>
              </w:rPr>
              <w:t>Total liabilities at Level 3 fair value</w:t>
            </w:r>
          </w:p>
        </w:tc>
        <w:tc>
          <w:tcPr>
            <w:tcW w:w="16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2,957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9"/>
                <w:szCs w:val="9"/>
                <w:color w:val="auto"/>
                <w:w w:val="78"/>
              </w:rPr>
              <w:t>$</w:t>
            </w:r>
          </w:p>
        </w:tc>
        <w:tc>
          <w:tcPr>
            <w:tcW w:w="880" w:type="dxa"/>
            <w:vAlign w:val="bottom"/>
            <w:tcBorders>
              <w:top w:val="single" w:sz="8" w:color="auto"/>
              <w:bottom w:val="single" w:sz="8" w:color="auto"/>
            </w:tcBorders>
            <w:shd w:val="clear" w:color="auto" w:fill="CCEEFF"/>
          </w:tcPr>
          <w:p>
            <w:pPr>
              <w:jc w:val="center"/>
              <w:ind w:left="582"/>
              <w:spacing w:after="0"/>
              <w:rPr>
                <w:sz w:val="20"/>
                <w:szCs w:val="20"/>
                <w:color w:val="auto"/>
              </w:rPr>
            </w:pPr>
            <w:r>
              <w:rPr>
                <w:rFonts w:ascii="Arial" w:cs="Arial" w:eastAsia="Arial" w:hAnsi="Arial"/>
                <w:sz w:val="12"/>
                <w:szCs w:val="12"/>
                <w:color w:val="auto"/>
                <w:w w:val="99"/>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3,166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5" w:name="page26"/>
    <w:bookmarkEnd w:id="25"/>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ind w:left="5260"/>
        <w:spacing w:after="0"/>
        <w:rPr>
          <w:sz w:val="20"/>
          <w:szCs w:val="20"/>
          <w:color w:val="auto"/>
        </w:rPr>
      </w:pPr>
      <w:r>
        <w:rPr>
          <w:rFonts w:ascii="Arial" w:cs="Arial" w:eastAsia="Arial" w:hAnsi="Arial"/>
          <w:sz w:val="12"/>
          <w:szCs w:val="12"/>
          <w:b w:val="1"/>
          <w:bCs w:val="1"/>
          <w:color w:val="auto"/>
        </w:rPr>
        <w:t>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14605</wp:posOffset>
            </wp:positionV>
            <wp:extent cx="544004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40045" cy="6985"/>
                    </a:xfrm>
                    <a:prstGeom prst="rect">
                      <a:avLst/>
                    </a:prstGeom>
                    <a:noFill/>
                  </pic:spPr>
                </pic:pic>
              </a:graphicData>
            </a:graphic>
          </wp:anchor>
        </w:drawing>
      </w:r>
    </w:p>
    <w:p>
      <w:pPr>
        <w:spacing w:after="0" w:line="32" w:lineRule="exact"/>
        <w:rPr>
          <w:sz w:val="20"/>
          <w:szCs w:val="20"/>
          <w:color w:val="auto"/>
        </w:rPr>
      </w:pPr>
    </w:p>
    <w:tbl>
      <w:tblPr>
        <w:tblLayout w:type="fixed"/>
        <w:tblInd w:w="280" w:type="dxa"/>
        <w:tblCellMar>
          <w:top w:w="0" w:type="dxa"/>
          <w:left w:w="0" w:type="dxa"/>
          <w:bottom w:w="0" w:type="dxa"/>
          <w:right w:w="0" w:type="dxa"/>
        </w:tblCellMar>
      </w:tblPr>
      <w:tr>
        <w:trPr>
          <w:trHeight w:val="134"/>
        </w:trPr>
        <w:tc>
          <w:tcPr>
            <w:tcW w:w="2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5"/>
          </w:tcPr>
          <w:p>
            <w:pPr>
              <w:ind w:left="300"/>
              <w:spacing w:after="0"/>
              <w:rPr>
                <w:sz w:val="20"/>
                <w:szCs w:val="20"/>
                <w:color w:val="auto"/>
              </w:rPr>
            </w:pPr>
            <w:r>
              <w:rPr>
                <w:rFonts w:ascii="Arial" w:cs="Arial" w:eastAsia="Arial" w:hAnsi="Arial"/>
                <w:sz w:val="10"/>
                <w:szCs w:val="10"/>
                <w:b w:val="1"/>
                <w:bCs w:val="1"/>
                <w:color w:val="auto"/>
              </w:rPr>
              <w:t>Total Gains (Losses)</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1"/>
              </w:rPr>
              <w:t>Balance at</w:t>
            </w:r>
          </w:p>
        </w:tc>
        <w:tc>
          <w:tcPr>
            <w:tcW w:w="120" w:type="dxa"/>
            <w:vAlign w:val="bottom"/>
          </w:tcPr>
          <w:p>
            <w:pPr>
              <w:spacing w:after="0"/>
              <w:rPr>
                <w:sz w:val="13"/>
                <w:szCs w:val="13"/>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4"/>
              </w:rPr>
              <w:t>Included in</w:t>
            </w:r>
          </w:p>
        </w:tc>
        <w:tc>
          <w:tcPr>
            <w:tcW w:w="120" w:type="dxa"/>
            <w:vAlign w:val="bottom"/>
          </w:tcPr>
          <w:p>
            <w:pPr>
              <w:spacing w:after="0"/>
              <w:rPr>
                <w:sz w:val="13"/>
                <w:szCs w:val="13"/>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4"/>
              </w:rPr>
              <w:t>Included in</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7"/>
              </w:rPr>
              <w:t>Net transfer In</w:t>
            </w:r>
          </w:p>
        </w:tc>
        <w:tc>
          <w:tcPr>
            <w:tcW w:w="96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Balance at End of</w:t>
            </w:r>
          </w:p>
        </w:tc>
        <w:tc>
          <w:tcPr>
            <w:tcW w:w="120" w:type="dxa"/>
            <w:vAlign w:val="bottom"/>
          </w:tcPr>
          <w:p>
            <w:pPr>
              <w:spacing w:after="0"/>
              <w:rPr>
                <w:sz w:val="13"/>
                <w:szCs w:val="13"/>
                <w:color w:val="auto"/>
              </w:rPr>
            </w:pPr>
          </w:p>
        </w:tc>
        <w:tc>
          <w:tcPr>
            <w:tcW w:w="720" w:type="dxa"/>
            <w:vAlign w:val="bottom"/>
          </w:tcPr>
          <w:p>
            <w:pPr>
              <w:jc w:val="right"/>
              <w:ind w:right="142"/>
              <w:spacing w:after="0"/>
              <w:rPr>
                <w:sz w:val="20"/>
                <w:szCs w:val="20"/>
                <w:color w:val="auto"/>
              </w:rPr>
            </w:pPr>
            <w:r>
              <w:rPr>
                <w:rFonts w:ascii="Arial" w:cs="Arial" w:eastAsia="Arial" w:hAnsi="Arial"/>
                <w:sz w:val="10"/>
                <w:szCs w:val="10"/>
                <w:b w:val="1"/>
                <w:bCs w:val="1"/>
                <w:color w:val="auto"/>
              </w:rPr>
              <w:t>Change in</w:t>
            </w:r>
          </w:p>
        </w:tc>
        <w:tc>
          <w:tcPr>
            <w:tcW w:w="0" w:type="dxa"/>
            <w:vAlign w:val="bottom"/>
          </w:tcPr>
          <w:p>
            <w:pPr>
              <w:spacing w:after="0"/>
              <w:rPr>
                <w:sz w:val="1"/>
                <w:szCs w:val="1"/>
                <w:color w:val="auto"/>
              </w:rPr>
            </w:pPr>
          </w:p>
        </w:tc>
      </w:tr>
      <w:tr>
        <w:trPr>
          <w:trHeight w:val="99"/>
        </w:trPr>
        <w:tc>
          <w:tcPr>
            <w:tcW w:w="2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gridSpan w:val="2"/>
          </w:tcPr>
          <w:p>
            <w:pPr>
              <w:jc w:val="center"/>
              <w:ind w:right="240"/>
              <w:spacing w:after="0" w:line="100" w:lineRule="exact"/>
              <w:rPr>
                <w:sz w:val="20"/>
                <w:szCs w:val="20"/>
                <w:color w:val="auto"/>
              </w:rPr>
            </w:pPr>
            <w:r>
              <w:rPr>
                <w:rFonts w:ascii="Arial" w:cs="Arial" w:eastAsia="Arial" w:hAnsi="Arial"/>
                <w:sz w:val="10"/>
                <w:szCs w:val="10"/>
                <w:b w:val="1"/>
                <w:bCs w:val="1"/>
                <w:color w:val="auto"/>
                <w:w w:val="89"/>
              </w:rPr>
              <w:t>Beginning</w:t>
            </w: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Purchases</w:t>
            </w:r>
          </w:p>
        </w:tc>
        <w:tc>
          <w:tcPr>
            <w:tcW w:w="200" w:type="dxa"/>
            <w:vAlign w:val="bottom"/>
          </w:tcPr>
          <w:p>
            <w:pPr>
              <w:spacing w:after="0"/>
              <w:rPr>
                <w:sz w:val="8"/>
                <w:szCs w:val="8"/>
                <w:color w:val="auto"/>
              </w:rPr>
            </w:pPr>
          </w:p>
        </w:tc>
        <w:tc>
          <w:tcPr>
            <w:tcW w:w="72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Sales</w:t>
            </w:r>
          </w:p>
        </w:tc>
        <w:tc>
          <w:tcPr>
            <w:tcW w:w="180" w:type="dxa"/>
            <w:vAlign w:val="bottom"/>
          </w:tcPr>
          <w:p>
            <w:pPr>
              <w:spacing w:after="0"/>
              <w:rPr>
                <w:sz w:val="8"/>
                <w:szCs w:val="8"/>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Settlements</w:t>
            </w:r>
          </w:p>
        </w:tc>
        <w:tc>
          <w:tcPr>
            <w:tcW w:w="80" w:type="dxa"/>
            <w:vAlign w:val="bottom"/>
          </w:tcPr>
          <w:p>
            <w:pPr>
              <w:spacing w:after="0"/>
              <w:rPr>
                <w:sz w:val="8"/>
                <w:szCs w:val="8"/>
                <w:color w:val="auto"/>
              </w:rPr>
            </w:pPr>
          </w:p>
        </w:tc>
        <w:tc>
          <w:tcPr>
            <w:tcW w:w="840" w:type="dxa"/>
            <w:vAlign w:val="bottom"/>
            <w:gridSpan w:val="2"/>
          </w:tcPr>
          <w:p>
            <w:pPr>
              <w:jc w:val="center"/>
              <w:ind w:right="180"/>
              <w:spacing w:after="0" w:line="100" w:lineRule="exact"/>
              <w:rPr>
                <w:sz w:val="20"/>
                <w:szCs w:val="20"/>
                <w:color w:val="auto"/>
              </w:rPr>
            </w:pPr>
            <w:r>
              <w:rPr>
                <w:rFonts w:ascii="Arial" w:cs="Arial" w:eastAsia="Arial" w:hAnsi="Arial"/>
                <w:sz w:val="10"/>
                <w:szCs w:val="10"/>
                <w:b w:val="1"/>
                <w:bCs w:val="1"/>
                <w:color w:val="auto"/>
                <w:w w:val="94"/>
              </w:rPr>
              <w:t>(Out) of</w:t>
            </w:r>
          </w:p>
        </w:tc>
        <w:tc>
          <w:tcPr>
            <w:tcW w:w="960" w:type="dxa"/>
            <w:vAlign w:val="bottom"/>
            <w:gridSpan w:val="3"/>
            <w:vMerge w:val="continue"/>
          </w:tcPr>
          <w:p>
            <w:pPr>
              <w:spacing w:after="0"/>
              <w:rPr>
                <w:sz w:val="8"/>
                <w:szCs w:val="8"/>
                <w:color w:val="auto"/>
              </w:rPr>
            </w:pPr>
          </w:p>
        </w:tc>
        <w:tc>
          <w:tcPr>
            <w:tcW w:w="840" w:type="dxa"/>
            <w:vAlign w:val="bottom"/>
            <w:gridSpan w:val="2"/>
          </w:tcPr>
          <w:p>
            <w:pPr>
              <w:ind w:left="20"/>
              <w:spacing w:after="0" w:line="100" w:lineRule="exact"/>
              <w:rPr>
                <w:sz w:val="20"/>
                <w:szCs w:val="20"/>
                <w:color w:val="auto"/>
              </w:rPr>
            </w:pPr>
            <w:r>
              <w:rPr>
                <w:rFonts w:ascii="Arial" w:cs="Arial" w:eastAsia="Arial" w:hAnsi="Arial"/>
                <w:sz w:val="10"/>
                <w:szCs w:val="10"/>
                <w:b w:val="1"/>
                <w:bCs w:val="1"/>
                <w:color w:val="auto"/>
                <w:w w:val="97"/>
              </w:rPr>
              <w:t>Unrealized Incl in</w:t>
            </w: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2"/>
              </w:rPr>
              <w:t>of Period</w:t>
            </w:r>
          </w:p>
        </w:tc>
        <w:tc>
          <w:tcPr>
            <w:tcW w:w="120" w:type="dxa"/>
            <w:vAlign w:val="bottom"/>
          </w:tcPr>
          <w:p>
            <w:pPr>
              <w:spacing w:after="0"/>
              <w:rPr>
                <w:sz w:val="11"/>
                <w:szCs w:val="11"/>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Earnings</w:t>
            </w:r>
          </w:p>
        </w:tc>
        <w:tc>
          <w:tcPr>
            <w:tcW w:w="120" w:type="dxa"/>
            <w:vAlign w:val="bottom"/>
          </w:tcPr>
          <w:p>
            <w:pPr>
              <w:spacing w:after="0"/>
              <w:rPr>
                <w:sz w:val="11"/>
                <w:szCs w:val="11"/>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AOCI</w:t>
            </w: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3"/>
              </w:rPr>
              <w:t>Level 3 (a)</w:t>
            </w:r>
          </w:p>
        </w:tc>
        <w:tc>
          <w:tcPr>
            <w:tcW w:w="160" w:type="dxa"/>
            <w:vAlign w:val="bottom"/>
          </w:tcPr>
          <w:p>
            <w:pPr>
              <w:spacing w:after="0"/>
              <w:rPr>
                <w:sz w:val="11"/>
                <w:szCs w:val="11"/>
                <w:color w:val="auto"/>
              </w:rPr>
            </w:pPr>
          </w:p>
        </w:tc>
        <w:tc>
          <w:tcPr>
            <w:tcW w:w="800" w:type="dxa"/>
            <w:vAlign w:val="bottom"/>
            <w:gridSpan w:val="2"/>
          </w:tcPr>
          <w:p>
            <w:pPr>
              <w:ind w:left="100"/>
              <w:spacing w:after="0"/>
              <w:rPr>
                <w:sz w:val="20"/>
                <w:szCs w:val="20"/>
                <w:color w:val="auto"/>
              </w:rPr>
            </w:pPr>
            <w:r>
              <w:rPr>
                <w:rFonts w:ascii="Arial" w:cs="Arial" w:eastAsia="Arial" w:hAnsi="Arial"/>
                <w:sz w:val="10"/>
                <w:szCs w:val="10"/>
                <w:b w:val="1"/>
                <w:bCs w:val="1"/>
                <w:color w:val="auto"/>
              </w:rPr>
              <w:t>Period</w:t>
            </w:r>
          </w:p>
        </w:tc>
        <w:tc>
          <w:tcPr>
            <w:tcW w:w="120" w:type="dxa"/>
            <w:vAlign w:val="bottom"/>
          </w:tcPr>
          <w:p>
            <w:pPr>
              <w:spacing w:after="0"/>
              <w:rPr>
                <w:sz w:val="11"/>
                <w:szCs w:val="11"/>
                <w:color w:val="auto"/>
              </w:rPr>
            </w:pPr>
          </w:p>
        </w:tc>
        <w:tc>
          <w:tcPr>
            <w:tcW w:w="720" w:type="dxa"/>
            <w:vAlign w:val="bottom"/>
          </w:tcPr>
          <w:p>
            <w:pPr>
              <w:jc w:val="right"/>
              <w:ind w:right="262"/>
              <w:spacing w:after="0"/>
              <w:rPr>
                <w:sz w:val="20"/>
                <w:szCs w:val="20"/>
                <w:color w:val="auto"/>
              </w:rPr>
            </w:pPr>
            <w:r>
              <w:rPr>
                <w:rFonts w:ascii="Arial" w:cs="Arial" w:eastAsia="Arial" w:hAnsi="Arial"/>
                <w:sz w:val="10"/>
                <w:szCs w:val="10"/>
                <w:b w:val="1"/>
                <w:bCs w:val="1"/>
                <w:color w:val="auto"/>
              </w:rPr>
              <w:t>OCI</w:t>
            </w:r>
          </w:p>
        </w:tc>
        <w:tc>
          <w:tcPr>
            <w:tcW w:w="0" w:type="dxa"/>
            <w:vAlign w:val="bottom"/>
          </w:tcPr>
          <w:p>
            <w:pPr>
              <w:spacing w:after="0"/>
              <w:rPr>
                <w:sz w:val="1"/>
                <w:szCs w:val="1"/>
                <w:color w:val="auto"/>
              </w:rPr>
            </w:pPr>
          </w:p>
        </w:tc>
      </w:tr>
      <w:tr>
        <w:trPr>
          <w:trHeight w:val="138"/>
        </w:trPr>
        <w:tc>
          <w:tcPr>
            <w:tcW w:w="2160" w:type="dxa"/>
            <w:vAlign w:val="bottom"/>
          </w:tcPr>
          <w:p>
            <w:pPr>
              <w:spacing w:after="0" w:line="133" w:lineRule="exact"/>
              <w:rPr>
                <w:sz w:val="20"/>
                <w:szCs w:val="20"/>
                <w:color w:val="auto"/>
              </w:rPr>
            </w:pPr>
            <w:r>
              <w:rPr>
                <w:rFonts w:ascii="Arial" w:cs="Arial" w:eastAsia="Arial" w:hAnsi="Arial"/>
                <w:sz w:val="12"/>
                <w:szCs w:val="12"/>
                <w:b w:val="1"/>
                <w:bCs w:val="1"/>
                <w:color w:val="auto"/>
              </w:rPr>
              <w:t>Assets</w:t>
            </w: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160" w:type="dxa"/>
            <w:vAlign w:val="bottom"/>
            <w:shd w:val="clear" w:color="auto" w:fill="CCEEFF"/>
          </w:tcPr>
          <w:p>
            <w:pPr>
              <w:spacing w:after="0"/>
              <w:rPr>
                <w:sz w:val="20"/>
                <w:szCs w:val="20"/>
                <w:color w:val="auto"/>
              </w:rPr>
            </w:pPr>
            <w:r>
              <w:rPr>
                <w:rFonts w:ascii="Arial" w:cs="Arial" w:eastAsia="Arial" w:hAnsi="Arial"/>
                <w:sz w:val="12"/>
                <w:szCs w:val="12"/>
                <w:color w:val="auto"/>
                <w:w w:val="94"/>
              </w:rPr>
              <w:t>Fixed maturity securities available-for-sale:</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160" w:type="dxa"/>
            <w:vAlign w:val="bottom"/>
          </w:tcPr>
          <w:p>
            <w:pPr>
              <w:ind w:left="180"/>
              <w:spacing w:after="0"/>
              <w:rPr>
                <w:sz w:val="20"/>
                <w:szCs w:val="20"/>
                <w:color w:val="auto"/>
              </w:rPr>
            </w:pPr>
            <w:r>
              <w:rPr>
                <w:rFonts w:ascii="Arial" w:cs="Arial" w:eastAsia="Arial" w:hAnsi="Arial"/>
                <w:sz w:val="12"/>
                <w:szCs w:val="12"/>
                <w:color w:val="auto"/>
              </w:rPr>
              <w:t>Asset-backed securities</w:t>
            </w: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1,350</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3"/>
                <w:szCs w:val="13"/>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2,359</w:t>
            </w:r>
          </w:p>
        </w:tc>
        <w:tc>
          <w:tcPr>
            <w:tcW w:w="80" w:type="dxa"/>
            <w:vAlign w:val="bottom"/>
          </w:tcPr>
          <w:p>
            <w:pPr>
              <w:spacing w:after="0"/>
              <w:rPr>
                <w:sz w:val="13"/>
                <w:szCs w:val="13"/>
                <w:color w:val="auto"/>
              </w:rPr>
            </w:pPr>
          </w:p>
        </w:tc>
        <w:tc>
          <w:tcPr>
            <w:tcW w:w="200" w:type="dxa"/>
            <w:vAlign w:val="bottom"/>
          </w:tcPr>
          <w:p>
            <w:pPr>
              <w:jc w:val="right"/>
              <w:ind w:right="61"/>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(97)</w:t>
            </w:r>
          </w:p>
        </w:tc>
        <w:tc>
          <w:tcPr>
            <w:tcW w:w="80" w:type="dxa"/>
            <w:vAlign w:val="bottom"/>
          </w:tcPr>
          <w:p>
            <w:pPr>
              <w:spacing w:after="0"/>
              <w:rPr>
                <w:sz w:val="13"/>
                <w:szCs w:val="13"/>
                <w:color w:val="auto"/>
              </w:rPr>
            </w:pPr>
          </w:p>
        </w:tc>
        <w:tc>
          <w:tcPr>
            <w:tcW w:w="180" w:type="dxa"/>
            <w:vAlign w:val="bottom"/>
          </w:tcPr>
          <w:p>
            <w:pPr>
              <w:jc w:val="right"/>
              <w:ind w:right="41"/>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(307)</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Pr>
          <w:p>
            <w:pPr>
              <w:jc w:val="center"/>
              <w:ind w:left="442"/>
              <w:spacing w:after="0"/>
              <w:rPr>
                <w:sz w:val="20"/>
                <w:szCs w:val="20"/>
                <w:color w:val="auto"/>
              </w:rPr>
            </w:pPr>
            <w:r>
              <w:rPr>
                <w:rFonts w:ascii="Arial" w:cs="Arial" w:eastAsia="Arial" w:hAnsi="Arial"/>
                <w:sz w:val="12"/>
                <w:szCs w:val="12"/>
                <w:color w:val="auto"/>
                <w:w w:val="93"/>
              </w:rPr>
              <w:t>(71)</w:t>
            </w:r>
          </w:p>
        </w:tc>
        <w:tc>
          <w:tcPr>
            <w:tcW w:w="10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3,244</w:t>
            </w:r>
          </w:p>
        </w:tc>
        <w:tc>
          <w:tcPr>
            <w:tcW w:w="140" w:type="dxa"/>
            <w:vAlign w:val="bottom"/>
          </w:tcPr>
          <w:p>
            <w:pPr>
              <w:spacing w:after="0"/>
              <w:rPr>
                <w:sz w:val="13"/>
                <w:szCs w:val="13"/>
                <w:color w:val="auto"/>
              </w:rPr>
            </w:pP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57"/>
        </w:trPr>
        <w:tc>
          <w:tcPr>
            <w:tcW w:w="2160" w:type="dxa"/>
            <w:vAlign w:val="bottom"/>
            <w:shd w:val="clear" w:color="auto" w:fill="CCEEFF"/>
          </w:tcPr>
          <w:p>
            <w:pPr>
              <w:ind w:left="180"/>
              <w:spacing w:after="0"/>
              <w:rPr>
                <w:sz w:val="20"/>
                <w:szCs w:val="20"/>
                <w:color w:val="auto"/>
              </w:rPr>
            </w:pPr>
            <w:r>
              <w:rPr>
                <w:rFonts w:ascii="Arial" w:cs="Arial" w:eastAsia="Arial" w:hAnsi="Arial"/>
                <w:sz w:val="12"/>
                <w:szCs w:val="12"/>
                <w:color w:val="auto"/>
                <w:w w:val="91"/>
              </w:rPr>
              <w:t>Commercial mortgage-backed securities</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left="382"/>
              <w:spacing w:after="0"/>
              <w:rPr>
                <w:sz w:val="20"/>
                <w:szCs w:val="20"/>
                <w:color w:val="auto"/>
              </w:rPr>
            </w:pPr>
            <w:r>
              <w:rPr>
                <w:rFonts w:ascii="Arial" w:cs="Arial" w:eastAsia="Arial" w:hAnsi="Arial"/>
                <w:sz w:val="12"/>
                <w:szCs w:val="12"/>
                <w:color w:val="auto"/>
                <w:w w:val="99"/>
              </w:rPr>
              <w:t>—</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2"/>
        </w:trPr>
        <w:tc>
          <w:tcPr>
            <w:tcW w:w="2160" w:type="dxa"/>
            <w:vAlign w:val="bottom"/>
          </w:tcPr>
          <w:p>
            <w:pPr>
              <w:ind w:left="180"/>
              <w:spacing w:after="0"/>
              <w:rPr>
                <w:sz w:val="20"/>
                <w:szCs w:val="20"/>
                <w:color w:val="auto"/>
              </w:rPr>
            </w:pPr>
            <w:r>
              <w:rPr>
                <w:rFonts w:ascii="Arial" w:cs="Arial" w:eastAsia="Arial" w:hAnsi="Arial"/>
                <w:sz w:val="12"/>
                <w:szCs w:val="12"/>
                <w:color w:val="auto"/>
              </w:rPr>
              <w:t>Corporates</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1,289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76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(196)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left="442"/>
              <w:spacing w:after="0"/>
              <w:rPr>
                <w:sz w:val="20"/>
                <w:szCs w:val="20"/>
                <w:color w:val="auto"/>
              </w:rPr>
            </w:pPr>
            <w:r>
              <w:rPr>
                <w:rFonts w:ascii="Arial" w:cs="Arial" w:eastAsia="Arial" w:hAnsi="Arial"/>
                <w:sz w:val="12"/>
                <w:szCs w:val="12"/>
                <w:color w:val="auto"/>
                <w:w w:val="93"/>
              </w:rPr>
              <w:t>(13)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1,113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57"/>
        </w:trPr>
        <w:tc>
          <w:tcPr>
            <w:tcW w:w="21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Hybrids</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left="382"/>
              <w:spacing w:after="0"/>
              <w:rPr>
                <w:sz w:val="20"/>
                <w:szCs w:val="20"/>
                <w:color w:val="auto"/>
              </w:rPr>
            </w:pPr>
            <w:r>
              <w:rPr>
                <w:rFonts w:ascii="Arial" w:cs="Arial" w:eastAsia="Arial" w:hAnsi="Arial"/>
                <w:sz w:val="12"/>
                <w:szCs w:val="12"/>
                <w:color w:val="auto"/>
                <w:w w:val="99"/>
              </w:rPr>
              <w:t>—</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2160" w:type="dxa"/>
            <w:vAlign w:val="bottom"/>
          </w:tcPr>
          <w:p>
            <w:pPr>
              <w:ind w:left="180"/>
              <w:spacing w:after="0"/>
              <w:rPr>
                <w:sz w:val="20"/>
                <w:szCs w:val="20"/>
                <w:color w:val="auto"/>
              </w:rPr>
            </w:pPr>
            <w:r>
              <w:rPr>
                <w:rFonts w:ascii="Arial" w:cs="Arial" w:eastAsia="Arial" w:hAnsi="Arial"/>
                <w:sz w:val="12"/>
                <w:szCs w:val="12"/>
                <w:color w:val="auto"/>
              </w:rPr>
              <w:t>Municipals</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4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40" w:type="dxa"/>
            <w:vAlign w:val="bottom"/>
            <w:gridSpan w:val="2"/>
          </w:tcPr>
          <w:p>
            <w:pPr>
              <w:jc w:val="center"/>
              <w:ind w:left="382"/>
              <w:spacing w:after="0"/>
              <w:rPr>
                <w:sz w:val="20"/>
                <w:szCs w:val="20"/>
                <w:color w:val="auto"/>
              </w:rPr>
            </w:pPr>
            <w:r>
              <w:rPr>
                <w:rFonts w:ascii="Arial" w:cs="Arial" w:eastAsia="Arial" w:hAnsi="Arial"/>
                <w:sz w:val="12"/>
                <w:szCs w:val="12"/>
                <w:color w:val="auto"/>
                <w:w w:val="99"/>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57"/>
        </w:trPr>
        <w:tc>
          <w:tcPr>
            <w:tcW w:w="2160" w:type="dxa"/>
            <w:vAlign w:val="bottom"/>
            <w:shd w:val="clear" w:color="auto" w:fill="CCEEFF"/>
          </w:tcPr>
          <w:p>
            <w:pPr>
              <w:ind w:left="180"/>
              <w:spacing w:after="0"/>
              <w:rPr>
                <w:sz w:val="20"/>
                <w:szCs w:val="20"/>
                <w:color w:val="auto"/>
              </w:rPr>
            </w:pPr>
            <w:r>
              <w:rPr>
                <w:rFonts w:ascii="Arial" w:cs="Arial" w:eastAsia="Arial" w:hAnsi="Arial"/>
                <w:sz w:val="12"/>
                <w:szCs w:val="12"/>
                <w:color w:val="auto"/>
                <w:w w:val="93"/>
              </w:rPr>
              <w:t>Residential mortgage-backed securities</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left="382"/>
              <w:spacing w:after="0"/>
              <w:rPr>
                <w:sz w:val="20"/>
                <w:szCs w:val="20"/>
                <w:color w:val="auto"/>
              </w:rPr>
            </w:pPr>
            <w:r>
              <w:rPr>
                <w:rFonts w:ascii="Arial" w:cs="Arial" w:eastAsia="Arial" w:hAnsi="Arial"/>
                <w:sz w:val="12"/>
                <w:szCs w:val="12"/>
                <w:color w:val="auto"/>
                <w:w w:val="99"/>
              </w:rPr>
              <w:t>—</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394</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52"/>
        </w:trPr>
        <w:tc>
          <w:tcPr>
            <w:tcW w:w="2160" w:type="dxa"/>
            <w:vAlign w:val="bottom"/>
          </w:tcPr>
          <w:p>
            <w:pPr>
              <w:ind w:left="180"/>
              <w:spacing w:after="0"/>
              <w:rPr>
                <w:sz w:val="20"/>
                <w:szCs w:val="20"/>
                <w:color w:val="auto"/>
              </w:rPr>
            </w:pPr>
            <w:r>
              <w:rPr>
                <w:rFonts w:ascii="Arial" w:cs="Arial" w:eastAsia="Arial" w:hAnsi="Arial"/>
                <w:sz w:val="12"/>
                <w:szCs w:val="12"/>
                <w:color w:val="auto"/>
              </w:rPr>
              <w:t>Foreign Governments</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4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40" w:type="dxa"/>
            <w:vAlign w:val="bottom"/>
            <w:gridSpan w:val="2"/>
          </w:tcPr>
          <w:p>
            <w:pPr>
              <w:jc w:val="center"/>
              <w:ind w:left="382"/>
              <w:spacing w:after="0"/>
              <w:rPr>
                <w:sz w:val="20"/>
                <w:szCs w:val="20"/>
                <w:color w:val="auto"/>
              </w:rPr>
            </w:pPr>
            <w:r>
              <w:rPr>
                <w:rFonts w:ascii="Arial" w:cs="Arial" w:eastAsia="Arial" w:hAnsi="Arial"/>
                <w:sz w:val="12"/>
                <w:szCs w:val="12"/>
                <w:color w:val="auto"/>
                <w:w w:val="99"/>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57"/>
        </w:trPr>
        <w:tc>
          <w:tcPr>
            <w:tcW w:w="2160" w:type="dxa"/>
            <w:vAlign w:val="bottom"/>
            <w:shd w:val="clear" w:color="auto" w:fill="CCEEFF"/>
          </w:tcPr>
          <w:p>
            <w:pPr>
              <w:spacing w:after="0"/>
              <w:rPr>
                <w:sz w:val="20"/>
                <w:szCs w:val="20"/>
                <w:color w:val="auto"/>
              </w:rPr>
            </w:pPr>
            <w:r>
              <w:rPr>
                <w:rFonts w:ascii="Arial" w:cs="Arial" w:eastAsia="Arial" w:hAnsi="Arial"/>
                <w:sz w:val="12"/>
                <w:szCs w:val="12"/>
                <w:color w:val="auto"/>
              </w:rPr>
              <w:t>Short-Term</w:t>
            </w: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494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left="382"/>
              <w:spacing w:after="0"/>
              <w:rPr>
                <w:sz w:val="20"/>
                <w:szCs w:val="20"/>
                <w:color w:val="auto"/>
              </w:rPr>
            </w:pPr>
            <w:r>
              <w:rPr>
                <w:rFonts w:ascii="Arial" w:cs="Arial" w:eastAsia="Arial" w:hAnsi="Arial"/>
                <w:sz w:val="12"/>
                <w:szCs w:val="12"/>
                <w:color w:val="auto"/>
                <w:w w:val="99"/>
              </w:rPr>
              <w:t>—</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2"/>
        </w:trPr>
        <w:tc>
          <w:tcPr>
            <w:tcW w:w="2160" w:type="dxa"/>
            <w:vAlign w:val="bottom"/>
          </w:tcPr>
          <w:p>
            <w:pPr>
              <w:spacing w:after="0"/>
              <w:rPr>
                <w:sz w:val="20"/>
                <w:szCs w:val="20"/>
                <w:color w:val="auto"/>
              </w:rPr>
            </w:pPr>
            <w:r>
              <w:rPr>
                <w:rFonts w:ascii="Arial" w:cs="Arial" w:eastAsia="Arial" w:hAnsi="Arial"/>
                <w:sz w:val="12"/>
                <w:szCs w:val="12"/>
                <w:color w:val="auto"/>
              </w:rPr>
              <w:t>Equity and preferred securities</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4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40" w:type="dxa"/>
            <w:vAlign w:val="bottom"/>
            <w:gridSpan w:val="2"/>
          </w:tcPr>
          <w:p>
            <w:pPr>
              <w:jc w:val="center"/>
              <w:ind w:left="382"/>
              <w:spacing w:after="0"/>
              <w:rPr>
                <w:sz w:val="20"/>
                <w:szCs w:val="20"/>
                <w:color w:val="auto"/>
              </w:rPr>
            </w:pPr>
            <w:r>
              <w:rPr>
                <w:rFonts w:ascii="Arial" w:cs="Arial" w:eastAsia="Arial" w:hAnsi="Arial"/>
                <w:sz w:val="12"/>
                <w:szCs w:val="12"/>
                <w:color w:val="auto"/>
                <w:w w:val="99"/>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7"/>
        </w:trPr>
        <w:tc>
          <w:tcPr>
            <w:tcW w:w="2160" w:type="dxa"/>
            <w:vAlign w:val="bottom"/>
            <w:shd w:val="clear" w:color="auto" w:fill="CCEEFF"/>
          </w:tcPr>
          <w:p>
            <w:pPr>
              <w:spacing w:after="0"/>
              <w:rPr>
                <w:sz w:val="20"/>
                <w:szCs w:val="20"/>
                <w:color w:val="auto"/>
              </w:rPr>
            </w:pPr>
            <w:r>
              <w:rPr>
                <w:rFonts w:ascii="Arial" w:cs="Arial" w:eastAsia="Arial" w:hAnsi="Arial"/>
                <w:sz w:val="12"/>
                <w:szCs w:val="12"/>
                <w:color w:val="auto"/>
              </w:rPr>
              <w:t>Other invested assets:</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160" w:type="dxa"/>
            <w:vAlign w:val="bottom"/>
          </w:tcPr>
          <w:p>
            <w:pPr>
              <w:ind w:left="180"/>
              <w:spacing w:after="0"/>
              <w:rPr>
                <w:sz w:val="20"/>
                <w:szCs w:val="20"/>
                <w:color w:val="auto"/>
              </w:rPr>
            </w:pPr>
            <w:r>
              <w:rPr>
                <w:rFonts w:ascii="Arial" w:cs="Arial" w:eastAsia="Arial" w:hAnsi="Arial"/>
                <w:sz w:val="12"/>
                <w:szCs w:val="12"/>
                <w:color w:val="auto"/>
                <w:w w:val="94"/>
              </w:rPr>
              <w:t>Available-for-sale embedded derivative</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4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40" w:type="dxa"/>
            <w:vAlign w:val="bottom"/>
            <w:gridSpan w:val="2"/>
          </w:tcPr>
          <w:p>
            <w:pPr>
              <w:jc w:val="center"/>
              <w:ind w:left="382"/>
              <w:spacing w:after="0"/>
              <w:rPr>
                <w:sz w:val="20"/>
                <w:szCs w:val="20"/>
                <w:color w:val="auto"/>
              </w:rPr>
            </w:pPr>
            <w:r>
              <w:rPr>
                <w:rFonts w:ascii="Arial" w:cs="Arial" w:eastAsia="Arial" w:hAnsi="Arial"/>
                <w:sz w:val="12"/>
                <w:szCs w:val="12"/>
                <w:color w:val="auto"/>
                <w:w w:val="99"/>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21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Credit linked note</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left="382"/>
              <w:spacing w:after="0"/>
              <w:rPr>
                <w:sz w:val="20"/>
                <w:szCs w:val="20"/>
                <w:color w:val="auto"/>
              </w:rPr>
            </w:pPr>
            <w:r>
              <w:rPr>
                <w:rFonts w:ascii="Arial" w:cs="Arial" w:eastAsia="Arial" w:hAnsi="Arial"/>
                <w:sz w:val="12"/>
                <w:szCs w:val="12"/>
                <w:color w:val="auto"/>
                <w:w w:val="99"/>
              </w:rPr>
              <w:t>—</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160" w:type="dxa"/>
            <w:vAlign w:val="bottom"/>
          </w:tcPr>
          <w:p>
            <w:pPr>
              <w:ind w:left="280"/>
              <w:spacing w:after="0"/>
              <w:rPr>
                <w:sz w:val="20"/>
                <w:szCs w:val="20"/>
                <w:color w:val="auto"/>
              </w:rPr>
            </w:pPr>
            <w:r>
              <w:rPr>
                <w:rFonts w:ascii="Arial" w:cs="Arial" w:eastAsia="Arial" w:hAnsi="Arial"/>
                <w:sz w:val="12"/>
                <w:szCs w:val="12"/>
                <w:b w:val="1"/>
                <w:bCs w:val="1"/>
                <w:color w:val="auto"/>
              </w:rPr>
              <w:t>Total assets at Level 3 fair value</w:t>
            </w:r>
          </w:p>
        </w:tc>
        <w:tc>
          <w:tcPr>
            <w:tcW w:w="1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3,267</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2,959</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(119)</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(913)</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tcPr>
          <w:p>
            <w:pPr>
              <w:jc w:val="center"/>
              <w:ind w:left="442"/>
              <w:spacing w:after="0"/>
              <w:rPr>
                <w:sz w:val="20"/>
                <w:szCs w:val="20"/>
                <w:color w:val="auto"/>
              </w:rPr>
            </w:pPr>
            <w:r>
              <w:rPr>
                <w:rFonts w:ascii="Arial" w:cs="Arial" w:eastAsia="Arial" w:hAnsi="Arial"/>
                <w:sz w:val="12"/>
                <w:szCs w:val="12"/>
                <w:color w:val="auto"/>
                <w:w w:val="93"/>
              </w:rPr>
              <w:t>(84)</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5,103</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93</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Future policy benefits</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center"/>
              <w:ind w:left="482"/>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0"/>
        </w:trPr>
        <w:tc>
          <w:tcPr>
            <w:tcW w:w="2160" w:type="dxa"/>
            <w:vAlign w:val="bottom"/>
          </w:tcPr>
          <w:p>
            <w:pPr>
              <w:spacing w:after="0" w:line="111" w:lineRule="exact"/>
              <w:rPr>
                <w:sz w:val="20"/>
                <w:szCs w:val="20"/>
                <w:color w:val="auto"/>
              </w:rPr>
            </w:pPr>
            <w:r>
              <w:rPr>
                <w:rFonts w:ascii="Arial" w:cs="Arial" w:eastAsia="Arial" w:hAnsi="Arial"/>
                <w:sz w:val="12"/>
                <w:szCs w:val="12"/>
                <w:color w:val="auto"/>
              </w:rPr>
              <w:t>FIA embedded derivatives, included in</w:t>
            </w:r>
          </w:p>
        </w:tc>
        <w:tc>
          <w:tcPr>
            <w:tcW w:w="16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3,404</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35</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9"/>
                <w:szCs w:val="9"/>
                <w:color w:val="auto"/>
              </w:rPr>
            </w:pPr>
          </w:p>
        </w:tc>
        <w:tc>
          <w:tcPr>
            <w:tcW w:w="720" w:type="dxa"/>
            <w:vAlign w:val="bottom"/>
            <w:gridSpan w:val="2"/>
            <w:vMerge w:val="restart"/>
          </w:tcPr>
          <w:p>
            <w:pPr>
              <w:ind w:left="4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9"/>
                <w:szCs w:val="9"/>
                <w:color w:val="auto"/>
              </w:rPr>
            </w:pPr>
          </w:p>
        </w:tc>
        <w:tc>
          <w:tcPr>
            <w:tcW w:w="940" w:type="dxa"/>
            <w:vAlign w:val="bottom"/>
            <w:gridSpan w:val="2"/>
            <w:vMerge w:val="restart"/>
          </w:tcPr>
          <w:p>
            <w:pPr>
              <w:ind w:left="6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840" w:type="dxa"/>
            <w:vAlign w:val="bottom"/>
            <w:gridSpan w:val="2"/>
            <w:vMerge w:val="restart"/>
          </w:tcPr>
          <w:p>
            <w:pPr>
              <w:jc w:val="center"/>
              <w:ind w:left="382"/>
              <w:spacing w:after="0"/>
              <w:rPr>
                <w:sz w:val="20"/>
                <w:szCs w:val="20"/>
                <w:color w:val="auto"/>
              </w:rPr>
            </w:pPr>
            <w:r>
              <w:rPr>
                <w:rFonts w:ascii="Arial" w:cs="Arial" w:eastAsia="Arial" w:hAnsi="Arial"/>
                <w:sz w:val="12"/>
                <w:szCs w:val="12"/>
                <w:color w:val="auto"/>
                <w:w w:val="99"/>
              </w:rPr>
              <w:t>—</w:t>
            </w:r>
          </w:p>
        </w:tc>
        <w:tc>
          <w:tcPr>
            <w:tcW w:w="16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3,439</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2160" w:type="dxa"/>
            <w:vAlign w:val="bottom"/>
          </w:tcPr>
          <w:p>
            <w:pPr>
              <w:spacing w:after="0"/>
              <w:rPr>
                <w:sz w:val="20"/>
                <w:szCs w:val="20"/>
                <w:color w:val="auto"/>
              </w:rPr>
            </w:pPr>
            <w:r>
              <w:rPr>
                <w:rFonts w:ascii="Arial" w:cs="Arial" w:eastAsia="Arial" w:hAnsi="Arial"/>
                <w:sz w:val="12"/>
                <w:szCs w:val="12"/>
                <w:color w:val="auto"/>
              </w:rPr>
              <w:t>contractholder funds</w:t>
            </w:r>
          </w:p>
        </w:tc>
        <w:tc>
          <w:tcPr>
            <w:tcW w:w="1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1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2"/>
                <w:szCs w:val="12"/>
                <w:b w:val="1"/>
                <w:bCs w:val="1"/>
                <w:color w:val="auto"/>
                <w:w w:val="94"/>
              </w:rPr>
              <w:t>Total liabilities at Level 3 fair value</w:t>
            </w:r>
          </w:p>
        </w:tc>
        <w:tc>
          <w:tcPr>
            <w:tcW w:w="16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3,409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shd w:val="clear" w:color="auto" w:fill="CCEEFF"/>
          </w:tcPr>
          <w:p>
            <w:pPr>
              <w:jc w:val="center"/>
              <w:ind w:left="482"/>
              <w:spacing w:after="0"/>
              <w:rPr>
                <w:sz w:val="20"/>
                <w:szCs w:val="20"/>
                <w:color w:val="auto"/>
              </w:rPr>
            </w:pPr>
            <w:r>
              <w:rPr>
                <w:rFonts w:ascii="Arial" w:cs="Arial" w:eastAsia="Arial" w:hAnsi="Arial"/>
                <w:sz w:val="12"/>
                <w:szCs w:val="12"/>
                <w:color w:val="auto"/>
                <w:w w:val="99"/>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3,439</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5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020"/>
          </w:cols>
          <w:pgMar w:left="300" w:top="129" w:right="579" w:bottom="1440" w:gutter="0" w:footer="0" w:header="0"/>
        </w:sectPr>
      </w:pPr>
    </w:p>
    <w:bookmarkStart w:id="26" w:name="page27"/>
    <w:bookmarkEnd w:id="26"/>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19"/>
        <w:spacing w:after="0"/>
        <w:rPr>
          <w:sz w:val="20"/>
          <w:szCs w:val="20"/>
          <w:color w:val="auto"/>
        </w:rPr>
      </w:pPr>
      <w:r>
        <w:rPr>
          <w:rFonts w:ascii="Arial" w:cs="Arial" w:eastAsia="Arial" w:hAnsi="Arial"/>
          <w:sz w:val="12"/>
          <w:szCs w:val="12"/>
          <w:b w:val="1"/>
          <w:bCs w:val="1"/>
          <w:color w:val="auto"/>
        </w:rPr>
        <w:t>Nine months ended September 30, 2020</w:t>
      </w:r>
    </w:p>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20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5"/>
          </w:tcPr>
          <w:p>
            <w:pPr>
              <w:ind w:left="320"/>
              <w:spacing w:after="0"/>
              <w:rPr>
                <w:sz w:val="20"/>
                <w:szCs w:val="20"/>
                <w:color w:val="auto"/>
              </w:rPr>
            </w:pPr>
            <w:r>
              <w:rPr>
                <w:rFonts w:ascii="Arial" w:cs="Arial" w:eastAsia="Arial" w:hAnsi="Arial"/>
                <w:sz w:val="10"/>
                <w:szCs w:val="10"/>
                <w:b w:val="1"/>
                <w:bCs w:val="1"/>
                <w:color w:val="auto"/>
              </w:rPr>
              <w:t>Total Gains (Losses)</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40" w:type="dxa"/>
            <w:vAlign w:val="bottom"/>
          </w:tcPr>
          <w:p>
            <w:pPr>
              <w:spacing w:after="0"/>
              <w:rPr>
                <w:sz w:val="13"/>
                <w:szCs w:val="13"/>
                <w:color w:val="auto"/>
              </w:rPr>
            </w:pPr>
          </w:p>
        </w:tc>
        <w:tc>
          <w:tcPr>
            <w:tcW w:w="680" w:type="dxa"/>
            <w:vAlign w:val="bottom"/>
          </w:tcPr>
          <w:p>
            <w:pPr>
              <w:jc w:val="center"/>
              <w:ind w:left="171"/>
              <w:spacing w:after="0"/>
              <w:rPr>
                <w:sz w:val="20"/>
                <w:szCs w:val="20"/>
                <w:color w:val="auto"/>
              </w:rPr>
            </w:pPr>
            <w:r>
              <w:rPr>
                <w:rFonts w:ascii="Arial" w:cs="Arial" w:eastAsia="Arial" w:hAnsi="Arial"/>
                <w:sz w:val="10"/>
                <w:szCs w:val="10"/>
                <w:b w:val="1"/>
                <w:bCs w:val="1"/>
                <w:color w:val="auto"/>
                <w:w w:val="91"/>
              </w:rPr>
              <w:t>Balance at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4"/>
              </w:rPr>
              <w:t>Included in</w:t>
            </w:r>
          </w:p>
        </w:tc>
        <w:tc>
          <w:tcPr>
            <w:tcW w:w="120" w:type="dxa"/>
            <w:vAlign w:val="bottom"/>
          </w:tcPr>
          <w:p>
            <w:pPr>
              <w:spacing w:after="0"/>
              <w:rPr>
                <w:sz w:val="13"/>
                <w:szCs w:val="13"/>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4"/>
              </w:rPr>
              <w:t>Included in</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7"/>
              </w:rPr>
              <w:t>Net transfer In</w:t>
            </w:r>
          </w:p>
        </w:tc>
        <w:tc>
          <w:tcPr>
            <w:tcW w:w="90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Balance at End of</w:t>
            </w:r>
          </w:p>
        </w:tc>
        <w:tc>
          <w:tcPr>
            <w:tcW w:w="140" w:type="dxa"/>
            <w:vAlign w:val="bottom"/>
          </w:tcPr>
          <w:p>
            <w:pPr>
              <w:spacing w:after="0"/>
              <w:rPr>
                <w:sz w:val="13"/>
                <w:szCs w:val="13"/>
                <w:color w:val="auto"/>
              </w:rPr>
            </w:pPr>
          </w:p>
        </w:tc>
        <w:tc>
          <w:tcPr>
            <w:tcW w:w="700" w:type="dxa"/>
            <w:vAlign w:val="bottom"/>
          </w:tcPr>
          <w:p>
            <w:pPr>
              <w:jc w:val="right"/>
              <w:ind w:right="122"/>
              <w:spacing w:after="0"/>
              <w:rPr>
                <w:sz w:val="20"/>
                <w:szCs w:val="20"/>
                <w:color w:val="auto"/>
              </w:rPr>
            </w:pPr>
            <w:r>
              <w:rPr>
                <w:rFonts w:ascii="Arial" w:cs="Arial" w:eastAsia="Arial" w:hAnsi="Arial"/>
                <w:sz w:val="10"/>
                <w:szCs w:val="10"/>
                <w:b w:val="1"/>
                <w:bCs w:val="1"/>
                <w:color w:val="auto"/>
              </w:rPr>
              <w:t>Change in</w:t>
            </w:r>
          </w:p>
        </w:tc>
        <w:tc>
          <w:tcPr>
            <w:tcW w:w="0" w:type="dxa"/>
            <w:vAlign w:val="bottom"/>
          </w:tcPr>
          <w:p>
            <w:pPr>
              <w:spacing w:after="0"/>
              <w:rPr>
                <w:sz w:val="1"/>
                <w:szCs w:val="1"/>
                <w:color w:val="auto"/>
              </w:rPr>
            </w:pPr>
          </w:p>
        </w:tc>
      </w:tr>
      <w:tr>
        <w:trPr>
          <w:trHeight w:val="99"/>
        </w:trPr>
        <w:tc>
          <w:tcPr>
            <w:tcW w:w="2040" w:type="dxa"/>
            <w:vAlign w:val="bottom"/>
          </w:tcPr>
          <w:p>
            <w:pPr>
              <w:spacing w:after="0"/>
              <w:rPr>
                <w:sz w:val="8"/>
                <w:szCs w:val="8"/>
                <w:color w:val="auto"/>
              </w:rPr>
            </w:pPr>
          </w:p>
        </w:tc>
        <w:tc>
          <w:tcPr>
            <w:tcW w:w="680" w:type="dxa"/>
            <w:vAlign w:val="bottom"/>
          </w:tcPr>
          <w:p>
            <w:pPr>
              <w:jc w:val="center"/>
              <w:ind w:left="171"/>
              <w:spacing w:after="0" w:line="100" w:lineRule="exact"/>
              <w:rPr>
                <w:sz w:val="20"/>
                <w:szCs w:val="20"/>
                <w:color w:val="auto"/>
              </w:rPr>
            </w:pPr>
            <w:r>
              <w:rPr>
                <w:rFonts w:ascii="Arial" w:cs="Arial" w:eastAsia="Arial" w:hAnsi="Arial"/>
                <w:sz w:val="10"/>
                <w:szCs w:val="10"/>
                <w:b w:val="1"/>
                <w:bCs w:val="1"/>
                <w:color w:val="auto"/>
                <w:w w:val="93"/>
              </w:rPr>
              <w:t>Beginning</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3"/>
            <w:vMerge w:val="restart"/>
          </w:tcPr>
          <w:p>
            <w:pPr>
              <w:ind w:left="80"/>
              <w:spacing w:after="0"/>
              <w:rPr>
                <w:sz w:val="20"/>
                <w:szCs w:val="20"/>
                <w:color w:val="auto"/>
              </w:rPr>
            </w:pPr>
            <w:r>
              <w:rPr>
                <w:rFonts w:ascii="Arial" w:cs="Arial" w:eastAsia="Arial" w:hAnsi="Arial"/>
                <w:sz w:val="10"/>
                <w:szCs w:val="10"/>
                <w:b w:val="1"/>
                <w:bCs w:val="1"/>
                <w:color w:val="auto"/>
              </w:rPr>
              <w:t>F&amp;G Acquisition</w:t>
            </w: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Purchases</w:t>
            </w:r>
          </w:p>
        </w:tc>
        <w:tc>
          <w:tcPr>
            <w:tcW w:w="160" w:type="dxa"/>
            <w:vAlign w:val="bottom"/>
          </w:tcPr>
          <w:p>
            <w:pPr>
              <w:spacing w:after="0"/>
              <w:rPr>
                <w:sz w:val="8"/>
                <w:szCs w:val="8"/>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Sales</w:t>
            </w:r>
          </w:p>
        </w:tc>
        <w:tc>
          <w:tcPr>
            <w:tcW w:w="140" w:type="dxa"/>
            <w:vAlign w:val="bottom"/>
          </w:tcPr>
          <w:p>
            <w:pPr>
              <w:spacing w:after="0"/>
              <w:rPr>
                <w:sz w:val="8"/>
                <w:szCs w:val="8"/>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Settlements</w:t>
            </w:r>
          </w:p>
        </w:tc>
        <w:tc>
          <w:tcPr>
            <w:tcW w:w="80" w:type="dxa"/>
            <w:vAlign w:val="bottom"/>
          </w:tcPr>
          <w:p>
            <w:pPr>
              <w:spacing w:after="0"/>
              <w:rPr>
                <w:sz w:val="8"/>
                <w:szCs w:val="8"/>
                <w:color w:val="auto"/>
              </w:rPr>
            </w:pPr>
          </w:p>
        </w:tc>
        <w:tc>
          <w:tcPr>
            <w:tcW w:w="820" w:type="dxa"/>
            <w:vAlign w:val="bottom"/>
            <w:gridSpan w:val="2"/>
          </w:tcPr>
          <w:p>
            <w:pPr>
              <w:jc w:val="center"/>
              <w:ind w:right="160"/>
              <w:spacing w:after="0" w:line="100" w:lineRule="exact"/>
              <w:rPr>
                <w:sz w:val="20"/>
                <w:szCs w:val="20"/>
                <w:color w:val="auto"/>
              </w:rPr>
            </w:pPr>
            <w:r>
              <w:rPr>
                <w:rFonts w:ascii="Arial" w:cs="Arial" w:eastAsia="Arial" w:hAnsi="Arial"/>
                <w:sz w:val="10"/>
                <w:szCs w:val="10"/>
                <w:b w:val="1"/>
                <w:bCs w:val="1"/>
                <w:color w:val="auto"/>
                <w:w w:val="94"/>
              </w:rPr>
              <w:t>(Out) of</w:t>
            </w:r>
          </w:p>
        </w:tc>
        <w:tc>
          <w:tcPr>
            <w:tcW w:w="900" w:type="dxa"/>
            <w:vAlign w:val="bottom"/>
            <w:gridSpan w:val="3"/>
            <w:vMerge w:val="continue"/>
          </w:tcPr>
          <w:p>
            <w:pPr>
              <w:spacing w:after="0"/>
              <w:rPr>
                <w:sz w:val="8"/>
                <w:szCs w:val="8"/>
                <w:color w:val="auto"/>
              </w:rPr>
            </w:pPr>
          </w:p>
        </w:tc>
        <w:tc>
          <w:tcPr>
            <w:tcW w:w="840" w:type="dxa"/>
            <w:vAlign w:val="bottom"/>
            <w:gridSpan w:val="2"/>
          </w:tcPr>
          <w:p>
            <w:pPr>
              <w:ind w:left="40"/>
              <w:spacing w:after="0" w:line="100" w:lineRule="exact"/>
              <w:rPr>
                <w:sz w:val="20"/>
                <w:szCs w:val="20"/>
                <w:color w:val="auto"/>
              </w:rPr>
            </w:pPr>
            <w:r>
              <w:rPr>
                <w:rFonts w:ascii="Arial" w:cs="Arial" w:eastAsia="Arial" w:hAnsi="Arial"/>
                <w:sz w:val="10"/>
                <w:szCs w:val="10"/>
                <w:b w:val="1"/>
                <w:bCs w:val="1"/>
                <w:color w:val="auto"/>
                <w:w w:val="94"/>
              </w:rPr>
              <w:t>Unrealized Incl in</w:t>
            </w: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680" w:type="dxa"/>
            <w:vAlign w:val="bottom"/>
          </w:tcPr>
          <w:p>
            <w:pPr>
              <w:jc w:val="center"/>
              <w:ind w:left="171"/>
              <w:spacing w:after="0"/>
              <w:rPr>
                <w:sz w:val="20"/>
                <w:szCs w:val="20"/>
                <w:color w:val="auto"/>
              </w:rPr>
            </w:pPr>
            <w:r>
              <w:rPr>
                <w:rFonts w:ascii="Arial" w:cs="Arial" w:eastAsia="Arial" w:hAnsi="Arial"/>
                <w:sz w:val="10"/>
                <w:szCs w:val="10"/>
                <w:b w:val="1"/>
                <w:bCs w:val="1"/>
                <w:color w:val="auto"/>
                <w:w w:val="96"/>
              </w:rPr>
              <w:t>of Period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Earnings</w:t>
            </w:r>
          </w:p>
        </w:tc>
        <w:tc>
          <w:tcPr>
            <w:tcW w:w="120" w:type="dxa"/>
            <w:vAlign w:val="bottom"/>
          </w:tcPr>
          <w:p>
            <w:pPr>
              <w:spacing w:after="0"/>
              <w:rPr>
                <w:sz w:val="11"/>
                <w:szCs w:val="11"/>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AOCI</w:t>
            </w: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3"/>
              </w:rPr>
              <w:t>Level 3 (a)</w:t>
            </w:r>
          </w:p>
        </w:tc>
        <w:tc>
          <w:tcPr>
            <w:tcW w:w="180" w:type="dxa"/>
            <w:vAlign w:val="bottom"/>
          </w:tcPr>
          <w:p>
            <w:pPr>
              <w:spacing w:after="0"/>
              <w:rPr>
                <w:sz w:val="11"/>
                <w:szCs w:val="11"/>
                <w:color w:val="auto"/>
              </w:rPr>
            </w:pPr>
          </w:p>
        </w:tc>
        <w:tc>
          <w:tcPr>
            <w:tcW w:w="720" w:type="dxa"/>
            <w:vAlign w:val="bottom"/>
            <w:gridSpan w:val="2"/>
          </w:tcPr>
          <w:p>
            <w:pPr>
              <w:ind w:left="100"/>
              <w:spacing w:after="0"/>
              <w:rPr>
                <w:sz w:val="20"/>
                <w:szCs w:val="20"/>
                <w:color w:val="auto"/>
              </w:rPr>
            </w:pPr>
            <w:r>
              <w:rPr>
                <w:rFonts w:ascii="Arial" w:cs="Arial" w:eastAsia="Arial" w:hAnsi="Arial"/>
                <w:sz w:val="10"/>
                <w:szCs w:val="10"/>
                <w:b w:val="1"/>
                <w:bCs w:val="1"/>
                <w:color w:val="auto"/>
              </w:rPr>
              <w:t>Period</w:t>
            </w:r>
          </w:p>
        </w:tc>
        <w:tc>
          <w:tcPr>
            <w:tcW w:w="140" w:type="dxa"/>
            <w:vAlign w:val="bottom"/>
          </w:tcPr>
          <w:p>
            <w:pPr>
              <w:spacing w:after="0"/>
              <w:rPr>
                <w:sz w:val="11"/>
                <w:szCs w:val="11"/>
                <w:color w:val="auto"/>
              </w:rPr>
            </w:pPr>
          </w:p>
        </w:tc>
        <w:tc>
          <w:tcPr>
            <w:tcW w:w="700" w:type="dxa"/>
            <w:vAlign w:val="bottom"/>
          </w:tcPr>
          <w:p>
            <w:pPr>
              <w:jc w:val="right"/>
              <w:ind w:right="262"/>
              <w:spacing w:after="0"/>
              <w:rPr>
                <w:sz w:val="20"/>
                <w:szCs w:val="20"/>
                <w:color w:val="auto"/>
              </w:rPr>
            </w:pPr>
            <w:r>
              <w:rPr>
                <w:rFonts w:ascii="Arial" w:cs="Arial" w:eastAsia="Arial" w:hAnsi="Arial"/>
                <w:sz w:val="10"/>
                <w:szCs w:val="10"/>
                <w:b w:val="1"/>
                <w:bCs w:val="1"/>
                <w:color w:val="auto"/>
              </w:rPr>
              <w:t>OCI</w:t>
            </w:r>
          </w:p>
        </w:tc>
        <w:tc>
          <w:tcPr>
            <w:tcW w:w="0" w:type="dxa"/>
            <w:vAlign w:val="bottom"/>
          </w:tcPr>
          <w:p>
            <w:pPr>
              <w:spacing w:after="0"/>
              <w:rPr>
                <w:sz w:val="1"/>
                <w:szCs w:val="1"/>
                <w:color w:val="auto"/>
              </w:rPr>
            </w:pPr>
          </w:p>
        </w:tc>
      </w:tr>
      <w:tr>
        <w:trPr>
          <w:trHeight w:val="138"/>
        </w:trPr>
        <w:tc>
          <w:tcPr>
            <w:tcW w:w="20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Assets</w:t>
            </w: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40" w:type="dxa"/>
            <w:vAlign w:val="bottom"/>
            <w:shd w:val="clear" w:color="auto" w:fill="CCEEFF"/>
          </w:tcPr>
          <w:p>
            <w:pPr>
              <w:ind w:left="20"/>
              <w:spacing w:after="0" w:line="115" w:lineRule="exact"/>
              <w:rPr>
                <w:sz w:val="20"/>
                <w:szCs w:val="20"/>
                <w:color w:val="auto"/>
              </w:rPr>
            </w:pPr>
            <w:r>
              <w:rPr>
                <w:rFonts w:ascii="Arial" w:cs="Arial" w:eastAsia="Arial" w:hAnsi="Arial"/>
                <w:sz w:val="12"/>
                <w:szCs w:val="12"/>
                <w:color w:val="auto"/>
                <w:w w:val="98"/>
              </w:rPr>
              <w:t>Fixed maturity securities available-for-</w:t>
            </w: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sale:</w:t>
            </w: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40" w:type="dxa"/>
            <w:vAlign w:val="bottom"/>
          </w:tcPr>
          <w:p>
            <w:pPr>
              <w:ind w:left="180"/>
              <w:spacing w:after="0"/>
              <w:rPr>
                <w:sz w:val="20"/>
                <w:szCs w:val="20"/>
                <w:color w:val="auto"/>
              </w:rPr>
            </w:pPr>
            <w:r>
              <w:rPr>
                <w:rFonts w:ascii="Arial" w:cs="Arial" w:eastAsia="Arial" w:hAnsi="Arial"/>
                <w:sz w:val="12"/>
                <w:szCs w:val="12"/>
                <w:color w:val="auto"/>
              </w:rPr>
              <w:t>Asset-backed securities</w:t>
            </w:r>
          </w:p>
        </w:tc>
        <w:tc>
          <w:tcPr>
            <w:tcW w:w="680" w:type="dxa"/>
            <w:vAlign w:val="bottom"/>
          </w:tcPr>
          <w:p>
            <w:pPr>
              <w:jc w:val="right"/>
              <w:ind w:right="571"/>
              <w:spacing w:after="0"/>
              <w:rPr>
                <w:sz w:val="20"/>
                <w:szCs w:val="20"/>
                <w:color w:val="auto"/>
              </w:rPr>
            </w:pPr>
            <w:r>
              <w:rPr>
                <w:rFonts w:ascii="Arial" w:cs="Arial" w:eastAsia="Arial" w:hAnsi="Arial"/>
                <w:sz w:val="9"/>
                <w:szCs w:val="9"/>
                <w:color w:val="auto"/>
                <w:w w:val="78"/>
              </w:rPr>
              <w:t>$</w:t>
            </w: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203"/>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854</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3"/>
                <w:szCs w:val="13"/>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209</w:t>
            </w:r>
          </w:p>
        </w:tc>
        <w:tc>
          <w:tcPr>
            <w:tcW w:w="100" w:type="dxa"/>
            <w:vAlign w:val="bottom"/>
          </w:tcPr>
          <w:p>
            <w:pPr>
              <w:spacing w:after="0"/>
              <w:rPr>
                <w:sz w:val="13"/>
                <w:szCs w:val="13"/>
                <w:color w:val="auto"/>
              </w:rPr>
            </w:pP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540" w:type="dxa"/>
            <w:vAlign w:val="bottom"/>
          </w:tcPr>
          <w:p>
            <w:pPr>
              <w:ind w:left="380"/>
              <w:spacing w:after="0"/>
              <w:rPr>
                <w:sz w:val="20"/>
                <w:szCs w:val="20"/>
                <w:color w:val="auto"/>
              </w:rPr>
            </w:pPr>
            <w:r>
              <w:rPr>
                <w:rFonts w:ascii="Arial" w:cs="Arial" w:eastAsia="Arial" w:hAnsi="Arial"/>
                <w:sz w:val="12"/>
                <w:szCs w:val="12"/>
                <w:color w:val="auto"/>
                <w:w w:val="95"/>
              </w:rPr>
              <w:t>(1)</w:t>
            </w:r>
          </w:p>
        </w:tc>
        <w:tc>
          <w:tcPr>
            <w:tcW w:w="100" w:type="dxa"/>
            <w:vAlign w:val="bottom"/>
          </w:tcPr>
          <w:p>
            <w:pPr>
              <w:spacing w:after="0"/>
              <w:rPr>
                <w:sz w:val="13"/>
                <w:szCs w:val="13"/>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(114)</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(23)</w:t>
            </w:r>
          </w:p>
        </w:tc>
        <w:tc>
          <w:tcPr>
            <w:tcW w:w="80" w:type="dxa"/>
            <w:vAlign w:val="bottom"/>
          </w:tcPr>
          <w:p>
            <w:pPr>
              <w:spacing w:after="0"/>
              <w:rPr>
                <w:sz w:val="13"/>
                <w:szCs w:val="13"/>
                <w:color w:val="auto"/>
              </w:rPr>
            </w:pPr>
          </w:p>
        </w:tc>
        <w:tc>
          <w:tcPr>
            <w:tcW w:w="180" w:type="dxa"/>
            <w:vAlign w:val="bottom"/>
          </w:tcPr>
          <w:p>
            <w:pPr>
              <w:ind w:left="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944</w:t>
            </w:r>
          </w:p>
        </w:tc>
        <w:tc>
          <w:tcPr>
            <w:tcW w:w="6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13"/>
        </w:trPr>
        <w:tc>
          <w:tcPr>
            <w:tcW w:w="2040" w:type="dxa"/>
            <w:vAlign w:val="bottom"/>
            <w:shd w:val="clear" w:color="auto" w:fill="CCEEFF"/>
          </w:tcPr>
          <w:p>
            <w:pPr>
              <w:ind w:left="180"/>
              <w:spacing w:after="0" w:line="113" w:lineRule="exact"/>
              <w:rPr>
                <w:sz w:val="20"/>
                <w:szCs w:val="20"/>
                <w:color w:val="auto"/>
              </w:rPr>
            </w:pPr>
            <w:r>
              <w:rPr>
                <w:rFonts w:ascii="Arial" w:cs="Arial" w:eastAsia="Arial" w:hAnsi="Arial"/>
                <w:sz w:val="12"/>
                <w:szCs w:val="12"/>
                <w:color w:val="auto"/>
              </w:rPr>
              <w:t>Commercial mortgage-backed</w:t>
            </w:r>
          </w:p>
        </w:tc>
        <w:tc>
          <w:tcPr>
            <w:tcW w:w="68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26</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26</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5"/>
        </w:trPr>
        <w:tc>
          <w:tcPr>
            <w:tcW w:w="20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securities</w:t>
            </w:r>
          </w:p>
        </w:tc>
        <w:tc>
          <w:tcPr>
            <w:tcW w:w="680" w:type="dxa"/>
            <w:vAlign w:val="bottom"/>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40" w:type="dxa"/>
            <w:vAlign w:val="bottom"/>
          </w:tcPr>
          <w:p>
            <w:pPr>
              <w:ind w:left="180"/>
              <w:spacing w:after="0"/>
              <w:rPr>
                <w:sz w:val="20"/>
                <w:szCs w:val="20"/>
                <w:color w:val="auto"/>
              </w:rPr>
            </w:pPr>
            <w:r>
              <w:rPr>
                <w:rFonts w:ascii="Arial" w:cs="Arial" w:eastAsia="Arial" w:hAnsi="Arial"/>
                <w:sz w:val="12"/>
                <w:szCs w:val="12"/>
                <w:color w:val="auto"/>
              </w:rPr>
              <w:t>Corporates</w:t>
            </w:r>
          </w:p>
        </w:tc>
        <w:tc>
          <w:tcPr>
            <w:tcW w:w="6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1,238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47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1,267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157"/>
        </w:trPr>
        <w:tc>
          <w:tcPr>
            <w:tcW w:w="20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Hybrids</w:t>
            </w:r>
          </w:p>
        </w:tc>
        <w:tc>
          <w:tcPr>
            <w:tcW w:w="6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2040" w:type="dxa"/>
            <w:vAlign w:val="bottom"/>
          </w:tcPr>
          <w:p>
            <w:pPr>
              <w:ind w:left="180"/>
              <w:spacing w:after="0"/>
              <w:rPr>
                <w:sz w:val="20"/>
                <w:szCs w:val="20"/>
                <w:color w:val="auto"/>
              </w:rPr>
            </w:pPr>
            <w:r>
              <w:rPr>
                <w:rFonts w:ascii="Arial" w:cs="Arial" w:eastAsia="Arial" w:hAnsi="Arial"/>
                <w:sz w:val="12"/>
                <w:szCs w:val="12"/>
                <w:color w:val="auto"/>
              </w:rPr>
              <w:t>Municipals</w:t>
            </w:r>
          </w:p>
        </w:tc>
        <w:tc>
          <w:tcPr>
            <w:tcW w:w="68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38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4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6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42</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13"/>
        </w:trPr>
        <w:tc>
          <w:tcPr>
            <w:tcW w:w="2040" w:type="dxa"/>
            <w:vAlign w:val="bottom"/>
            <w:shd w:val="clear" w:color="auto" w:fill="CCEEFF"/>
          </w:tcPr>
          <w:p>
            <w:pPr>
              <w:ind w:left="180"/>
              <w:spacing w:after="0" w:line="113" w:lineRule="exact"/>
              <w:rPr>
                <w:sz w:val="20"/>
                <w:szCs w:val="20"/>
                <w:color w:val="auto"/>
              </w:rPr>
            </w:pPr>
            <w:r>
              <w:rPr>
                <w:rFonts w:ascii="Arial" w:cs="Arial" w:eastAsia="Arial" w:hAnsi="Arial"/>
                <w:sz w:val="12"/>
                <w:szCs w:val="12"/>
                <w:color w:val="auto"/>
              </w:rPr>
              <w:t>Residential mortgage-backed</w:t>
            </w:r>
          </w:p>
        </w:tc>
        <w:tc>
          <w:tcPr>
            <w:tcW w:w="68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534</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501</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5"/>
        </w:trPr>
        <w:tc>
          <w:tcPr>
            <w:tcW w:w="20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securities</w:t>
            </w:r>
          </w:p>
        </w:tc>
        <w:tc>
          <w:tcPr>
            <w:tcW w:w="680" w:type="dxa"/>
            <w:vAlign w:val="bottom"/>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40" w:type="dxa"/>
            <w:vAlign w:val="bottom"/>
          </w:tcPr>
          <w:p>
            <w:pPr>
              <w:ind w:left="180"/>
              <w:spacing w:after="0"/>
              <w:rPr>
                <w:sz w:val="20"/>
                <w:szCs w:val="20"/>
                <w:color w:val="auto"/>
              </w:rPr>
            </w:pPr>
            <w:r>
              <w:rPr>
                <w:rFonts w:ascii="Arial" w:cs="Arial" w:eastAsia="Arial" w:hAnsi="Arial"/>
                <w:sz w:val="12"/>
                <w:szCs w:val="12"/>
                <w:color w:val="auto"/>
              </w:rPr>
              <w:t>Foreign Governments</w:t>
            </w:r>
          </w:p>
        </w:tc>
        <w:tc>
          <w:tcPr>
            <w:tcW w:w="68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4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6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16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7"/>
        </w:trPr>
        <w:tc>
          <w:tcPr>
            <w:tcW w:w="2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 securities</w:t>
            </w: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2040" w:type="dxa"/>
            <w:vAlign w:val="bottom"/>
          </w:tcPr>
          <w:p>
            <w:pPr>
              <w:ind w:left="20"/>
              <w:spacing w:after="0"/>
              <w:rPr>
                <w:sz w:val="20"/>
                <w:szCs w:val="20"/>
                <w:color w:val="auto"/>
              </w:rPr>
            </w:pPr>
            <w:r>
              <w:rPr>
                <w:rFonts w:ascii="Arial" w:cs="Arial" w:eastAsia="Arial" w:hAnsi="Arial"/>
                <w:sz w:val="12"/>
                <w:szCs w:val="12"/>
                <w:color w:val="auto"/>
              </w:rPr>
              <w:t>Other invested assets:</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40" w:type="dxa"/>
            <w:vAlign w:val="bottom"/>
            <w:shd w:val="clear" w:color="auto" w:fill="CCEEFF"/>
          </w:tcPr>
          <w:p>
            <w:pPr>
              <w:ind w:left="180"/>
              <w:spacing w:after="0" w:line="113" w:lineRule="exact"/>
              <w:rPr>
                <w:sz w:val="20"/>
                <w:szCs w:val="20"/>
                <w:color w:val="auto"/>
              </w:rPr>
            </w:pPr>
            <w:r>
              <w:rPr>
                <w:rFonts w:ascii="Arial" w:cs="Arial" w:eastAsia="Arial" w:hAnsi="Arial"/>
                <w:sz w:val="12"/>
                <w:szCs w:val="12"/>
                <w:color w:val="auto"/>
              </w:rPr>
              <w:t>Available-for-sale embedded</w:t>
            </w:r>
          </w:p>
        </w:tc>
        <w:tc>
          <w:tcPr>
            <w:tcW w:w="68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20</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23</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20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derivative</w:t>
            </w:r>
          </w:p>
        </w:tc>
        <w:tc>
          <w:tcPr>
            <w:tcW w:w="680" w:type="dxa"/>
            <w:vAlign w:val="bottom"/>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40" w:type="dxa"/>
            <w:vAlign w:val="bottom"/>
          </w:tcPr>
          <w:p>
            <w:pPr>
              <w:ind w:left="180"/>
              <w:spacing w:after="0"/>
              <w:rPr>
                <w:sz w:val="20"/>
                <w:szCs w:val="20"/>
                <w:color w:val="auto"/>
              </w:rPr>
            </w:pPr>
            <w:r>
              <w:rPr>
                <w:rFonts w:ascii="Arial" w:cs="Arial" w:eastAsia="Arial" w:hAnsi="Arial"/>
                <w:sz w:val="12"/>
                <w:szCs w:val="12"/>
                <w:color w:val="auto"/>
              </w:rPr>
              <w:t>Other long-term investment</w:t>
            </w:r>
          </w:p>
        </w:tc>
        <w:tc>
          <w:tcPr>
            <w:tcW w:w="6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w w:val="79"/>
              </w:rPr>
              <w:t>120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4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6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20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Credit linked note</w:t>
            </w:r>
          </w:p>
        </w:tc>
        <w:tc>
          <w:tcPr>
            <w:tcW w:w="6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23</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040" w:type="dxa"/>
            <w:vAlign w:val="bottom"/>
          </w:tcPr>
          <w:p>
            <w:pPr>
              <w:ind w:left="280"/>
              <w:spacing w:after="0"/>
              <w:rPr>
                <w:sz w:val="20"/>
                <w:szCs w:val="20"/>
                <w:color w:val="auto"/>
              </w:rPr>
            </w:pPr>
            <w:r>
              <w:rPr>
                <w:rFonts w:ascii="Arial" w:cs="Arial" w:eastAsia="Arial" w:hAnsi="Arial"/>
                <w:sz w:val="12"/>
                <w:szCs w:val="12"/>
                <w:b w:val="1"/>
                <w:bCs w:val="1"/>
                <w:color w:val="auto"/>
                <w:w w:val="94"/>
              </w:rPr>
              <w:t>Total assets at Level 3 fair value</w:t>
            </w:r>
          </w:p>
        </w:tc>
        <w:tc>
          <w:tcPr>
            <w:tcW w:w="68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9"/>
                <w:szCs w:val="9"/>
                <w:color w:val="auto"/>
                <w:w w:val="78"/>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79"/>
              </w:rPr>
              <w:t>138</w:t>
            </w:r>
          </w:p>
        </w:tc>
        <w:tc>
          <w:tcPr>
            <w:tcW w:w="10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2,754</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(63)</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68</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220</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2"/>
                <w:szCs w:val="12"/>
                <w:color w:val="auto"/>
                <w:w w:val="95"/>
              </w:rPr>
              <w:t>(1)</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(177)</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(89)</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6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2,850</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73</w:t>
            </w:r>
          </w:p>
        </w:tc>
        <w:tc>
          <w:tcPr>
            <w:tcW w:w="0" w:type="dxa"/>
            <w:vAlign w:val="bottom"/>
          </w:tcPr>
          <w:p>
            <w:pPr>
              <w:spacing w:after="0"/>
              <w:rPr>
                <w:sz w:val="1"/>
                <w:szCs w:val="1"/>
                <w:color w:val="auto"/>
              </w:rPr>
            </w:pPr>
          </w:p>
        </w:tc>
      </w:tr>
      <w:tr>
        <w:trPr>
          <w:trHeight w:val="20"/>
        </w:trPr>
        <w:tc>
          <w:tcPr>
            <w:tcW w:w="20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40" w:type="dxa"/>
            <w:vAlign w:val="bottom"/>
            <w:shd w:val="clear" w:color="auto" w:fill="CCEEFF"/>
          </w:tcPr>
          <w:p>
            <w:pPr>
              <w:ind w:left="20"/>
              <w:spacing w:after="0" w:line="117" w:lineRule="exact"/>
              <w:rPr>
                <w:sz w:val="20"/>
                <w:szCs w:val="20"/>
                <w:color w:val="auto"/>
              </w:rPr>
            </w:pPr>
            <w:r>
              <w:rPr>
                <w:rFonts w:ascii="Arial" w:cs="Arial" w:eastAsia="Arial" w:hAnsi="Arial"/>
                <w:sz w:val="12"/>
                <w:szCs w:val="12"/>
                <w:b w:val="1"/>
                <w:bCs w:val="1"/>
                <w:color w:val="auto"/>
              </w:rPr>
              <w:t>Liabilities</w:t>
            </w: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40" w:type="dxa"/>
            <w:vAlign w:val="bottom"/>
          </w:tcPr>
          <w:p>
            <w:pPr>
              <w:ind w:left="20"/>
              <w:spacing w:after="0"/>
              <w:rPr>
                <w:sz w:val="20"/>
                <w:szCs w:val="20"/>
                <w:color w:val="auto"/>
              </w:rPr>
            </w:pPr>
            <w:r>
              <w:rPr>
                <w:rFonts w:ascii="Arial" w:cs="Arial" w:eastAsia="Arial" w:hAnsi="Arial"/>
                <w:sz w:val="12"/>
                <w:szCs w:val="12"/>
                <w:color w:val="auto"/>
              </w:rPr>
              <w:t>Future policy benefits</w:t>
            </w:r>
          </w:p>
        </w:tc>
        <w:tc>
          <w:tcPr>
            <w:tcW w:w="680" w:type="dxa"/>
            <w:vAlign w:val="bottom"/>
          </w:tcPr>
          <w:p>
            <w:pPr>
              <w:jc w:val="right"/>
              <w:ind w:right="571"/>
              <w:spacing w:after="0"/>
              <w:rPr>
                <w:sz w:val="20"/>
                <w:szCs w:val="20"/>
                <w:color w:val="auto"/>
              </w:rPr>
            </w:pPr>
            <w:r>
              <w:rPr>
                <w:rFonts w:ascii="Arial" w:cs="Arial" w:eastAsia="Arial" w:hAnsi="Arial"/>
                <w:sz w:val="9"/>
                <w:szCs w:val="9"/>
                <w:color w:val="auto"/>
                <w:w w:val="78"/>
              </w:rPr>
              <w:t>$</w:t>
            </w: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203"/>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6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180" w:type="dxa"/>
            <w:vAlign w:val="bottom"/>
          </w:tcPr>
          <w:p>
            <w:pPr>
              <w:ind w:left="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5</w:t>
            </w:r>
          </w:p>
        </w:tc>
        <w:tc>
          <w:tcPr>
            <w:tcW w:w="6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3"/>
        </w:trPr>
        <w:tc>
          <w:tcPr>
            <w:tcW w:w="2040" w:type="dxa"/>
            <w:vAlign w:val="bottom"/>
            <w:shd w:val="clear" w:color="auto" w:fill="CCEEFF"/>
          </w:tcPr>
          <w:p>
            <w:pPr>
              <w:ind w:left="20"/>
              <w:spacing w:after="0" w:line="113" w:lineRule="exact"/>
              <w:rPr>
                <w:sz w:val="20"/>
                <w:szCs w:val="20"/>
                <w:color w:val="auto"/>
              </w:rPr>
            </w:pPr>
            <w:r>
              <w:rPr>
                <w:rFonts w:ascii="Arial" w:cs="Arial" w:eastAsia="Arial" w:hAnsi="Arial"/>
                <w:sz w:val="12"/>
                <w:szCs w:val="12"/>
                <w:color w:val="auto"/>
                <w:w w:val="98"/>
              </w:rPr>
              <w:t>FIA embedded derivatives, included in</w:t>
            </w:r>
          </w:p>
        </w:tc>
        <w:tc>
          <w:tcPr>
            <w:tcW w:w="6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2,852</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309</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80" w:type="dxa"/>
            <w:vAlign w:val="bottom"/>
            <w:vMerge w:val="restart"/>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3,161</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2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contractholder funds</w:t>
            </w:r>
          </w:p>
        </w:tc>
        <w:tc>
          <w:tcPr>
            <w:tcW w:w="68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040" w:type="dxa"/>
            <w:vAlign w:val="bottom"/>
          </w:tcPr>
          <w:p>
            <w:pPr>
              <w:ind w:left="280"/>
              <w:spacing w:after="0" w:line="91" w:lineRule="exact"/>
              <w:rPr>
                <w:sz w:val="20"/>
                <w:szCs w:val="20"/>
                <w:color w:val="auto"/>
              </w:rPr>
            </w:pPr>
            <w:r>
              <w:rPr>
                <w:rFonts w:ascii="Arial" w:cs="Arial" w:eastAsia="Arial" w:hAnsi="Arial"/>
                <w:sz w:val="9"/>
                <w:szCs w:val="9"/>
                <w:b w:val="1"/>
                <w:bCs w:val="1"/>
                <w:color w:val="auto"/>
              </w:rPr>
              <w:t>Total liabilities at Level 3 fair</w:t>
            </w:r>
          </w:p>
        </w:tc>
        <w:tc>
          <w:tcPr>
            <w:tcW w:w="680" w:type="dxa"/>
            <w:vAlign w:val="bottom"/>
            <w:vMerge w:val="restart"/>
          </w:tcPr>
          <w:p>
            <w:pPr>
              <w:jc w:val="right"/>
              <w:ind w:right="571"/>
              <w:spacing w:after="0"/>
              <w:rPr>
                <w:sz w:val="20"/>
                <w:szCs w:val="20"/>
                <w:color w:val="auto"/>
              </w:rPr>
            </w:pPr>
            <w:r>
              <w:rPr>
                <w:rFonts w:ascii="Arial" w:cs="Arial" w:eastAsia="Arial" w:hAnsi="Arial"/>
                <w:sz w:val="9"/>
                <w:szCs w:val="9"/>
                <w:color w:val="auto"/>
                <w:w w:val="78"/>
              </w:rPr>
              <w:t>$</w:t>
            </w: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vMerge w:val="restart"/>
          </w:tcPr>
          <w:p>
            <w:pPr>
              <w:jc w:val="right"/>
              <w:ind w:right="203"/>
              <w:spacing w:after="0"/>
              <w:rPr>
                <w:sz w:val="20"/>
                <w:szCs w:val="20"/>
                <w:color w:val="auto"/>
              </w:rPr>
            </w:pPr>
            <w:r>
              <w:rPr>
                <w:rFonts w:ascii="Arial" w:cs="Arial" w:eastAsia="Arial" w:hAnsi="Arial"/>
                <w:sz w:val="12"/>
                <w:szCs w:val="12"/>
                <w:color w:val="auto"/>
                <w:w w:val="89"/>
              </w:rPr>
              <w:t>$</w:t>
            </w:r>
          </w:p>
        </w:tc>
        <w:tc>
          <w:tcPr>
            <w:tcW w:w="560" w:type="dxa"/>
            <w:vAlign w:val="bottom"/>
            <w:vMerge w:val="restart"/>
          </w:tcPr>
          <w:p>
            <w:pPr>
              <w:jc w:val="right"/>
              <w:ind w:right="1"/>
              <w:spacing w:after="0"/>
              <w:rPr>
                <w:sz w:val="20"/>
                <w:szCs w:val="20"/>
                <w:color w:val="auto"/>
              </w:rPr>
            </w:pPr>
            <w:r>
              <w:rPr>
                <w:rFonts w:ascii="Arial" w:cs="Arial" w:eastAsia="Arial" w:hAnsi="Arial"/>
                <w:sz w:val="12"/>
                <w:szCs w:val="12"/>
                <w:color w:val="auto"/>
              </w:rPr>
              <w:t>2,857</w:t>
            </w:r>
          </w:p>
        </w:tc>
        <w:tc>
          <w:tcPr>
            <w:tcW w:w="100" w:type="dxa"/>
            <w:vAlign w:val="bottom"/>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309</w:t>
            </w:r>
          </w:p>
        </w:tc>
        <w:tc>
          <w:tcPr>
            <w:tcW w:w="100" w:type="dxa"/>
            <w:vAlign w:val="bottom"/>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ind w:right="13"/>
              <w:spacing w:after="0"/>
              <w:rPr>
                <w:sz w:val="20"/>
                <w:szCs w:val="20"/>
                <w:color w:val="auto"/>
              </w:rPr>
            </w:pPr>
            <w:r>
              <w:rPr>
                <w:rFonts w:ascii="Arial" w:cs="Arial" w:eastAsia="Arial" w:hAnsi="Arial"/>
                <w:sz w:val="9"/>
                <w:szCs w:val="9"/>
                <w:color w:val="auto"/>
                <w:w w:val="78"/>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vMerge w:val="restart"/>
          </w:tcPr>
          <w:p>
            <w:pPr>
              <w:jc w:val="right"/>
              <w:ind w:right="21"/>
              <w:spacing w:after="0"/>
              <w:rPr>
                <w:sz w:val="20"/>
                <w:szCs w:val="20"/>
                <w:color w:val="auto"/>
              </w:rPr>
            </w:pPr>
            <w:r>
              <w:rPr>
                <w:rFonts w:ascii="Arial" w:cs="Arial" w:eastAsia="Arial" w:hAnsi="Arial"/>
                <w:sz w:val="12"/>
                <w:szCs w:val="12"/>
                <w:color w:val="auto"/>
                <w:w w:val="89"/>
              </w:rPr>
              <w:t>$</w:t>
            </w:r>
          </w:p>
        </w:tc>
        <w:tc>
          <w:tcPr>
            <w:tcW w:w="640" w:type="dxa"/>
            <w:vAlign w:val="bottom"/>
            <w:gridSpan w:val="2"/>
            <w:vMerge w:val="restart"/>
          </w:tcPr>
          <w:p>
            <w:pPr>
              <w:ind w:left="360"/>
              <w:spacing w:after="0"/>
              <w:rPr>
                <w:sz w:val="20"/>
                <w:szCs w:val="20"/>
                <w:color w:val="auto"/>
              </w:rPr>
            </w:pPr>
            <w:r>
              <w:rPr>
                <w:rFonts w:ascii="Arial" w:cs="Arial" w:eastAsia="Arial" w:hAnsi="Arial"/>
                <w:sz w:val="12"/>
                <w:szCs w:val="12"/>
                <w:color w:val="auto"/>
              </w:rPr>
              <w:t>—</w:t>
            </w:r>
          </w:p>
        </w:tc>
        <w:tc>
          <w:tcPr>
            <w:tcW w:w="140" w:type="dxa"/>
            <w:vAlign w:val="bottom"/>
            <w:vMerge w:val="restart"/>
          </w:tcPr>
          <w:p>
            <w:pPr>
              <w:jc w:val="right"/>
              <w:ind w:right="33"/>
              <w:spacing w:after="0"/>
              <w:rPr>
                <w:sz w:val="20"/>
                <w:szCs w:val="20"/>
                <w:color w:val="auto"/>
              </w:rPr>
            </w:pPr>
            <w:r>
              <w:rPr>
                <w:rFonts w:ascii="Arial" w:cs="Arial" w:eastAsia="Arial" w:hAnsi="Arial"/>
                <w:sz w:val="9"/>
                <w:szCs w:val="9"/>
                <w:color w:val="auto"/>
                <w:w w:val="78"/>
              </w:rPr>
              <w:t>$</w:t>
            </w:r>
          </w:p>
        </w:tc>
        <w:tc>
          <w:tcPr>
            <w:tcW w:w="860" w:type="dxa"/>
            <w:vAlign w:val="bottom"/>
            <w:gridSpan w:val="2"/>
            <w:vMerge w:val="restart"/>
          </w:tcPr>
          <w:p>
            <w:pPr>
              <w:ind w:left="600"/>
              <w:spacing w:after="0"/>
              <w:rPr>
                <w:sz w:val="20"/>
                <w:szCs w:val="20"/>
                <w:color w:val="auto"/>
              </w:rPr>
            </w:pPr>
            <w:r>
              <w:rPr>
                <w:rFonts w:ascii="Arial" w:cs="Arial" w:eastAsia="Arial" w:hAnsi="Arial"/>
                <w:sz w:val="12"/>
                <w:szCs w:val="12"/>
                <w:color w:val="auto"/>
              </w:rPr>
              <w:t>—</w:t>
            </w:r>
          </w:p>
        </w:tc>
        <w:tc>
          <w:tcPr>
            <w:tcW w:w="8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vMerge w:val="restart"/>
          </w:tcPr>
          <w:p>
            <w:pPr>
              <w:ind w:left="580"/>
              <w:spacing w:after="0"/>
              <w:rPr>
                <w:sz w:val="20"/>
                <w:szCs w:val="20"/>
                <w:color w:val="auto"/>
              </w:rPr>
            </w:pPr>
            <w:r>
              <w:rPr>
                <w:rFonts w:ascii="Arial" w:cs="Arial" w:eastAsia="Arial" w:hAnsi="Arial"/>
                <w:sz w:val="12"/>
                <w:szCs w:val="12"/>
                <w:color w:val="auto"/>
              </w:rPr>
              <w:t>—</w:t>
            </w:r>
          </w:p>
        </w:tc>
        <w:tc>
          <w:tcPr>
            <w:tcW w:w="18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3,166</w:t>
            </w:r>
          </w:p>
        </w:tc>
        <w:tc>
          <w:tcPr>
            <w:tcW w:w="60" w:type="dxa"/>
            <w:vAlign w:val="bottom"/>
          </w:tcPr>
          <w:p>
            <w:pPr>
              <w:spacing w:after="0"/>
              <w:rPr>
                <w:sz w:val="7"/>
                <w:szCs w:val="7"/>
                <w:color w:val="auto"/>
              </w:rPr>
            </w:pPr>
          </w:p>
        </w:tc>
        <w:tc>
          <w:tcPr>
            <w:tcW w:w="14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2"/>
        </w:trPr>
        <w:tc>
          <w:tcPr>
            <w:tcW w:w="204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value</w:t>
            </w:r>
          </w:p>
        </w:tc>
        <w:tc>
          <w:tcPr>
            <w:tcW w:w="680" w:type="dxa"/>
            <w:vAlign w:val="bottom"/>
            <w:vMerge w:val="continue"/>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Valuation Methodologies and Associated Inputs for Financial Instruments Not Carried at Fair Value</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following discussion outlines the methodologies and assumptions used to determine the fair value of our financial instruments not carried at fair value. Considerable judgment is required to develop these assumptions used to measure fair value. Accordingly, the estimates shown are not necessarily indicative of the amounts that would be realized in a one-time, current market exchange of all of our financial instruments.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Mortgage Loans</w:t>
      </w:r>
    </w:p>
    <w:p>
      <w:pPr>
        <w:spacing w:after="0" w:line="203"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The fair value of mortgage loans is established using a discounted cash flow method based on internal credit rating, maturity and future income. This yield-based approach is sourced from our third-party vendor. The internal ratings for mortgages in good standing are based on property type, location, market conditions, occupancy, debt service coverage, loan-to-value, quality of tenancy, borrower, and payment record. The inputs used to measure the fair value of our mortgage loans are classified as Level 3 within the fair value hierarchy.</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Policy Loans (included within Other long-term investments)</w:t>
      </w:r>
    </w:p>
    <w:p>
      <w:pPr>
        <w:spacing w:after="0" w:line="92" w:lineRule="exact"/>
        <w:rPr>
          <w:sz w:val="20"/>
          <w:szCs w:val="20"/>
          <w:color w:val="auto"/>
        </w:rPr>
      </w:pPr>
    </w:p>
    <w:p>
      <w:pPr>
        <w:jc w:val="both"/>
        <w:ind w:firstLine="331"/>
        <w:spacing w:after="0" w:line="266" w:lineRule="auto"/>
        <w:rPr>
          <w:sz w:val="20"/>
          <w:szCs w:val="20"/>
          <w:color w:val="auto"/>
        </w:rPr>
      </w:pPr>
      <w:r>
        <w:rPr>
          <w:rFonts w:ascii="Arial" w:cs="Arial" w:eastAsia="Arial" w:hAnsi="Arial"/>
          <w:sz w:val="15"/>
          <w:szCs w:val="15"/>
          <w:color w:val="auto"/>
        </w:rPr>
        <w:t>Fair values for policy loans are estimated from a discounted cash flow analysis, using interest rates currently being offered for loans with similar credit risk. Loans with similar characteristics are aggregated for purposes of the calculations.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Company Owned Life Insurance</w:t>
      </w:r>
    </w:p>
    <w:p>
      <w:pPr>
        <w:spacing w:after="0" w:line="92" w:lineRule="exact"/>
        <w:rPr>
          <w:sz w:val="20"/>
          <w:szCs w:val="20"/>
          <w:color w:val="auto"/>
        </w:rPr>
      </w:pPr>
    </w:p>
    <w:p>
      <w:pPr>
        <w:jc w:val="both"/>
        <w:ind w:firstLine="331"/>
        <w:spacing w:after="0" w:line="266" w:lineRule="auto"/>
        <w:rPr>
          <w:sz w:val="20"/>
          <w:szCs w:val="20"/>
          <w:color w:val="auto"/>
        </w:rPr>
      </w:pPr>
      <w:r>
        <w:rPr>
          <w:rFonts w:ascii="Arial" w:cs="Arial" w:eastAsia="Arial" w:hAnsi="Arial"/>
          <w:sz w:val="15"/>
          <w:szCs w:val="15"/>
          <w:color w:val="auto"/>
        </w:rPr>
        <w:t>Company owned life insurance (COLI) is a life insurance program used to finance certain employee benefit expenses. The fair value of COLI is based on net realizable value, which is generally cash surrender value. COLI is classified as Level 3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7" w:name="page28"/>
    <w:bookmarkEnd w:id="27"/>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 Invested Assets (included within Other long-term investments)</w:t>
      </w:r>
    </w:p>
    <w:p>
      <w:pPr>
        <w:spacing w:after="0" w:line="137" w:lineRule="exact"/>
        <w:rPr>
          <w:sz w:val="20"/>
          <w:szCs w:val="20"/>
          <w:color w:val="auto"/>
        </w:rPr>
      </w:pPr>
    </w:p>
    <w:p>
      <w:pPr>
        <w:jc w:val="both"/>
        <w:ind w:firstLine="331"/>
        <w:spacing w:after="0" w:line="255" w:lineRule="auto"/>
        <w:rPr>
          <w:sz w:val="20"/>
          <w:szCs w:val="20"/>
          <w:color w:val="auto"/>
        </w:rPr>
      </w:pPr>
      <w:r>
        <w:rPr>
          <w:rFonts w:ascii="Arial" w:cs="Arial" w:eastAsia="Arial" w:hAnsi="Arial"/>
          <w:sz w:val="15"/>
          <w:szCs w:val="15"/>
          <w:color w:val="auto"/>
        </w:rPr>
        <w:t>The fair value of the bank loan is estimated using a discounted cash flow method with the discount rate based on weighted average cost of capital ("WACC"). This yield-based approach is sourced from a third-party vendor and the WACC establishes a market participant discount rate by determining the hypothetical capital structure for the asset should it be underwritten as of each period end. Other invested assets are classified as Level 3 within the fair value hierarchy.</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Investment Contracts</w:t>
      </w:r>
    </w:p>
    <w:p>
      <w:pPr>
        <w:spacing w:after="0" w:line="104" w:lineRule="exact"/>
        <w:rPr>
          <w:sz w:val="20"/>
          <w:szCs w:val="20"/>
          <w:color w:val="auto"/>
        </w:rPr>
      </w:pPr>
    </w:p>
    <w:p>
      <w:pPr>
        <w:jc w:val="both"/>
        <w:ind w:firstLine="331"/>
        <w:spacing w:after="0" w:line="249" w:lineRule="auto"/>
        <w:rPr>
          <w:sz w:val="20"/>
          <w:szCs w:val="20"/>
          <w:color w:val="auto"/>
        </w:rPr>
      </w:pPr>
      <w:r>
        <w:rPr>
          <w:rFonts w:ascii="Arial" w:cs="Arial" w:eastAsia="Arial" w:hAnsi="Arial"/>
          <w:sz w:val="15"/>
          <w:szCs w:val="15"/>
          <w:color w:val="auto"/>
        </w:rPr>
        <w:t>Investment contracts include deferred annuities, FIAs, indexed universal life policies ("IULs"), funding agreements and PRT and immediate annuities contracts without life contingencies. The fair value of deferred annuity, FIA, and IUL contracts is based on their cash surrender value (i.e. the cost the Company would incur to extinguish the liability) as these contracts are generally issued without an annuitization date. The fair value of funding agreements and PRT and immediate annuities contracts without life contingencies is derived by calculating a new fair value interest rate using the updated yield curve and treasury spreads as of the respective reporting date. The Company is not required to, and has not, estimated the fair value of the liabilities under contracts that involve significant mortality or morbidity risks, as these liabilities fall within the definition of insurance contracts that are exceptions from financial instruments that require disclosures of fair value.</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w:t>
      </w:r>
    </w:p>
    <w:p>
      <w:pPr>
        <w:spacing w:after="0" w:line="104" w:lineRule="exact"/>
        <w:rPr>
          <w:sz w:val="20"/>
          <w:szCs w:val="20"/>
          <w:color w:val="auto"/>
        </w:rPr>
      </w:pPr>
    </w:p>
    <w:p>
      <w:pPr>
        <w:jc w:val="both"/>
        <w:ind w:firstLine="331"/>
        <w:spacing w:after="0" w:line="266" w:lineRule="auto"/>
        <w:rPr>
          <w:sz w:val="20"/>
          <w:szCs w:val="20"/>
          <w:color w:val="auto"/>
        </w:rPr>
      </w:pPr>
      <w:r>
        <w:rPr>
          <w:rFonts w:ascii="Arial" w:cs="Arial" w:eastAsia="Arial" w:hAnsi="Arial"/>
          <w:sz w:val="15"/>
          <w:szCs w:val="15"/>
          <w:color w:val="auto"/>
        </w:rPr>
        <w:t>Federal Home Loan Bank of Atlanta ("FHLB") common stock, Accounts receivable and Notes receivable are carried at cost, which approximates fair value. FHLB common stock is classified as Level 2 within the fair value hierarchy. Accounts receivable and Notes receivable are classified as Level 3 within the fair value hierarchy.</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Debt</w:t>
      </w:r>
    </w:p>
    <w:p>
      <w:pPr>
        <w:spacing w:after="0" w:line="137" w:lineRule="exact"/>
        <w:rPr>
          <w:sz w:val="20"/>
          <w:szCs w:val="20"/>
          <w:color w:val="auto"/>
        </w:rPr>
      </w:pPr>
    </w:p>
    <w:p>
      <w:pPr>
        <w:jc w:val="both"/>
        <w:ind w:firstLine="331"/>
        <w:spacing w:after="0" w:line="266" w:lineRule="auto"/>
        <w:rPr>
          <w:sz w:val="20"/>
          <w:szCs w:val="20"/>
          <w:color w:val="auto"/>
        </w:rPr>
      </w:pPr>
      <w:r>
        <w:rPr>
          <w:rFonts w:ascii="Arial" w:cs="Arial" w:eastAsia="Arial" w:hAnsi="Arial"/>
          <w:sz w:val="15"/>
          <w:szCs w:val="15"/>
          <w:color w:val="auto"/>
        </w:rPr>
        <w:t>The fair value of debt is based on quoted market prices of other debt with similar characteristics. The inputs used to measure the fair value of our outstanding debt are classified as Level 2 within the fair value hierarchy.</w:t>
      </w:r>
    </w:p>
    <w:p>
      <w:pPr>
        <w:spacing w:after="0" w:line="70" w:lineRule="exact"/>
        <w:rPr>
          <w:sz w:val="20"/>
          <w:szCs w:val="20"/>
          <w:color w:val="auto"/>
        </w:rPr>
      </w:pPr>
    </w:p>
    <w:p>
      <w:pPr>
        <w:jc w:val="both"/>
        <w:ind w:firstLine="331"/>
        <w:spacing w:after="0" w:line="266" w:lineRule="auto"/>
        <w:rPr>
          <w:sz w:val="20"/>
          <w:szCs w:val="20"/>
          <w:color w:val="auto"/>
        </w:rPr>
      </w:pPr>
      <w:r>
        <w:rPr>
          <w:rFonts w:ascii="Arial" w:cs="Arial" w:eastAsia="Arial" w:hAnsi="Arial"/>
          <w:sz w:val="15"/>
          <w:szCs w:val="15"/>
          <w:color w:val="auto"/>
        </w:rPr>
        <w:t>The following tables provide the carrying value and estimated fair value of our financial instruments that are carried on the unaudited Condensed Consolidated Balance Sheets at amounts other than fair value, summarized according to the fair value hierarchy previously described.</w:t>
      </w:r>
    </w:p>
    <w:p>
      <w:pPr>
        <w:spacing w:after="0" w:line="174" w:lineRule="exact"/>
        <w:rPr>
          <w:sz w:val="20"/>
          <w:szCs w:val="20"/>
          <w:color w:val="auto"/>
        </w:rPr>
      </w:pPr>
    </w:p>
    <w:tbl>
      <w:tblPr>
        <w:tblLayout w:type="fixed"/>
        <w:tblInd w:w="600" w:type="dxa"/>
        <w:tblCellMar>
          <w:top w:w="0" w:type="dxa"/>
          <w:left w:w="0" w:type="dxa"/>
          <w:bottom w:w="0" w:type="dxa"/>
          <w:right w:w="0" w:type="dxa"/>
        </w:tblCellMar>
      </w:tblPr>
      <w:tr>
        <w:trPr>
          <w:trHeight w:val="151"/>
        </w:trPr>
        <w:tc>
          <w:tcPr>
            <w:tcW w:w="3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Arial" w:cs="Arial" w:eastAsia="Arial" w:hAnsi="Arial"/>
                <w:sz w:val="12"/>
                <w:szCs w:val="12"/>
                <w:b w:val="1"/>
                <w:bCs w:val="1"/>
                <w:color w:val="auto"/>
                <w:w w:val="94"/>
              </w:rPr>
              <w:t>September 30, 2021</w:t>
            </w: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7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300"/>
              <w:spacing w:after="0"/>
              <w:rPr>
                <w:sz w:val="20"/>
                <w:szCs w:val="20"/>
                <w:color w:val="auto"/>
              </w:rPr>
            </w:pPr>
            <w:r>
              <w:rPr>
                <w:rFonts w:ascii="Arial" w:cs="Arial" w:eastAsia="Arial" w:hAnsi="Arial"/>
                <w:sz w:val="12"/>
                <w:szCs w:val="12"/>
                <w:b w:val="1"/>
                <w:bCs w:val="1"/>
                <w:color w:val="auto"/>
              </w:rPr>
              <w:t>(in millions)</w:t>
            </w: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740" w:type="dxa"/>
            <w:vAlign w:val="bottom"/>
          </w:tcPr>
          <w:p>
            <w:pPr>
              <w:spacing w:after="0"/>
              <w:rPr>
                <w:sz w:val="9"/>
                <w:szCs w:val="9"/>
                <w:color w:val="auto"/>
              </w:rPr>
            </w:pPr>
          </w:p>
        </w:tc>
        <w:tc>
          <w:tcPr>
            <w:tcW w:w="840" w:type="dxa"/>
            <w:vAlign w:val="bottom"/>
            <w:vMerge w:val="restart"/>
          </w:tcPr>
          <w:p>
            <w:pPr>
              <w:jc w:val="right"/>
              <w:ind w:right="41"/>
              <w:spacing w:after="0"/>
              <w:rPr>
                <w:sz w:val="20"/>
                <w:szCs w:val="20"/>
                <w:color w:val="auto"/>
              </w:rPr>
            </w:pPr>
            <w:r>
              <w:rPr>
                <w:rFonts w:ascii="Arial" w:cs="Arial" w:eastAsia="Arial" w:hAnsi="Arial"/>
                <w:sz w:val="12"/>
                <w:szCs w:val="12"/>
                <w:b w:val="1"/>
                <w:bCs w:val="1"/>
                <w:color w:val="auto"/>
              </w:rPr>
              <w:t>Level 1</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Level 2</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Level 3</w:t>
            </w:r>
          </w:p>
        </w:tc>
        <w:tc>
          <w:tcPr>
            <w:tcW w:w="100" w:type="dxa"/>
            <w:vAlign w:val="bottom"/>
          </w:tcPr>
          <w:p>
            <w:pPr>
              <w:spacing w:after="0"/>
              <w:rPr>
                <w:sz w:val="9"/>
                <w:szCs w:val="9"/>
                <w:color w:val="auto"/>
              </w:rPr>
            </w:pPr>
          </w:p>
        </w:tc>
        <w:tc>
          <w:tcPr>
            <w:tcW w:w="1320" w:type="dxa"/>
            <w:vAlign w:val="bottom"/>
            <w:gridSpan w:val="2"/>
          </w:tcPr>
          <w:p>
            <w:pPr>
              <w:jc w:val="center"/>
              <w:ind w:right="200"/>
              <w:spacing w:after="0" w:line="107" w:lineRule="exact"/>
              <w:rPr>
                <w:sz w:val="20"/>
                <w:szCs w:val="20"/>
                <w:color w:val="auto"/>
              </w:rPr>
            </w:pPr>
            <w:r>
              <w:rPr>
                <w:rFonts w:ascii="Arial" w:cs="Arial" w:eastAsia="Arial" w:hAnsi="Arial"/>
                <w:sz w:val="12"/>
                <w:szCs w:val="12"/>
                <w:b w:val="1"/>
                <w:bCs w:val="1"/>
                <w:color w:val="auto"/>
                <w:w w:val="90"/>
              </w:rPr>
              <w:t>Total Estimated Fair</w:t>
            </w:r>
          </w:p>
        </w:tc>
        <w:tc>
          <w:tcPr>
            <w:tcW w:w="140" w:type="dxa"/>
            <w:vAlign w:val="bottom"/>
          </w:tcPr>
          <w:p>
            <w:pPr>
              <w:spacing w:after="0"/>
              <w:rPr>
                <w:sz w:val="9"/>
                <w:szCs w:val="9"/>
                <w:color w:val="auto"/>
              </w:rPr>
            </w:pPr>
          </w:p>
        </w:tc>
        <w:tc>
          <w:tcPr>
            <w:tcW w:w="1180" w:type="dxa"/>
            <w:vAlign w:val="bottom"/>
            <w:vMerge w:val="restart"/>
          </w:tcPr>
          <w:p>
            <w:pPr>
              <w:jc w:val="right"/>
              <w:ind w:right="141"/>
              <w:spacing w:after="0"/>
              <w:rPr>
                <w:sz w:val="20"/>
                <w:szCs w:val="20"/>
                <w:color w:val="auto"/>
              </w:rPr>
            </w:pPr>
            <w:r>
              <w:rPr>
                <w:rFonts w:ascii="Arial" w:cs="Arial" w:eastAsia="Arial" w:hAnsi="Arial"/>
                <w:sz w:val="12"/>
                <w:szCs w:val="12"/>
                <w:b w:val="1"/>
                <w:bCs w:val="1"/>
                <w:color w:val="auto"/>
                <w:w w:val="97"/>
              </w:rPr>
              <w:t>Carrying Amount</w:t>
            </w:r>
          </w:p>
        </w:tc>
        <w:tc>
          <w:tcPr>
            <w:tcW w:w="0" w:type="dxa"/>
            <w:vAlign w:val="bottom"/>
          </w:tcPr>
          <w:p>
            <w:pPr>
              <w:spacing w:after="0"/>
              <w:rPr>
                <w:sz w:val="1"/>
                <w:szCs w:val="1"/>
                <w:color w:val="auto"/>
              </w:rPr>
            </w:pPr>
          </w:p>
        </w:tc>
      </w:tr>
      <w:tr>
        <w:trPr>
          <w:trHeight w:val="153"/>
        </w:trPr>
        <w:tc>
          <w:tcPr>
            <w:tcW w:w="3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7"/>
              </w:rPr>
              <w:t>Value</w:t>
            </w:r>
          </w:p>
        </w:tc>
        <w:tc>
          <w:tcPr>
            <w:tcW w:w="1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74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2"/>
                <w:szCs w:val="12"/>
                <w:b w:val="1"/>
                <w:bCs w:val="1"/>
                <w:color w:val="auto"/>
              </w:rPr>
              <w:t>Assets</w:t>
            </w:r>
          </w:p>
        </w:tc>
        <w:tc>
          <w:tcPr>
            <w:tcW w:w="8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740" w:type="dxa"/>
            <w:vAlign w:val="bottom"/>
          </w:tcPr>
          <w:p>
            <w:pPr>
              <w:ind w:left="20"/>
              <w:spacing w:after="0"/>
              <w:rPr>
                <w:sz w:val="20"/>
                <w:szCs w:val="20"/>
                <w:color w:val="auto"/>
              </w:rPr>
            </w:pPr>
            <w:r>
              <w:rPr>
                <w:rFonts w:ascii="Arial" w:cs="Arial" w:eastAsia="Arial" w:hAnsi="Arial"/>
                <w:sz w:val="12"/>
                <w:szCs w:val="12"/>
                <w:color w:val="auto"/>
              </w:rPr>
              <w:t>FHLB common stock</w:t>
            </w:r>
          </w:p>
        </w:tc>
        <w:tc>
          <w:tcPr>
            <w:tcW w:w="840" w:type="dxa"/>
            <w:vAlign w:val="bottom"/>
          </w:tcPr>
          <w:p>
            <w:pPr>
              <w:jc w:val="right"/>
              <w:ind w:right="701"/>
              <w:spacing w:after="0"/>
              <w:rPr>
                <w:sz w:val="20"/>
                <w:szCs w:val="20"/>
                <w:color w:val="auto"/>
              </w:rPr>
            </w:pPr>
            <w:r>
              <w:rPr>
                <w:rFonts w:ascii="Arial" w:cs="Arial" w:eastAsia="Arial" w:hAnsi="Arial"/>
                <w:sz w:val="12"/>
                <w:szCs w:val="12"/>
                <w:color w:val="auto"/>
                <w:w w:val="89"/>
              </w:rPr>
              <w:t>$</w:t>
            </w: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621"/>
              <w:spacing w:after="0"/>
              <w:rPr>
                <w:sz w:val="20"/>
                <w:szCs w:val="20"/>
                <w:color w:val="auto"/>
              </w:rPr>
            </w:pPr>
            <w:r>
              <w:rPr>
                <w:rFonts w:ascii="Arial" w:cs="Arial" w:eastAsia="Arial" w:hAnsi="Arial"/>
                <w:sz w:val="12"/>
                <w:szCs w:val="12"/>
                <w:color w:val="auto"/>
                <w:w w:val="89"/>
              </w:rPr>
              <w:t>$</w:t>
            </w: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72</w:t>
            </w:r>
          </w:p>
        </w:tc>
        <w:tc>
          <w:tcPr>
            <w:tcW w:w="100" w:type="dxa"/>
            <w:vAlign w:val="bottom"/>
          </w:tcPr>
          <w:p>
            <w:pPr>
              <w:spacing w:after="0"/>
              <w:rPr>
                <w:sz w:val="13"/>
                <w:szCs w:val="13"/>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72</w:t>
            </w:r>
          </w:p>
        </w:tc>
        <w:tc>
          <w:tcPr>
            <w:tcW w:w="100" w:type="dxa"/>
            <w:vAlign w:val="bottom"/>
          </w:tcPr>
          <w:p>
            <w:pPr>
              <w:spacing w:after="0"/>
              <w:rPr>
                <w:sz w:val="13"/>
                <w:szCs w:val="13"/>
                <w:color w:val="auto"/>
              </w:rPr>
            </w:pP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72</w:t>
            </w:r>
          </w:p>
        </w:tc>
        <w:tc>
          <w:tcPr>
            <w:tcW w:w="0" w:type="dxa"/>
            <w:vAlign w:val="bottom"/>
          </w:tcPr>
          <w:p>
            <w:pPr>
              <w:spacing w:after="0"/>
              <w:rPr>
                <w:sz w:val="1"/>
                <w:szCs w:val="1"/>
                <w:color w:val="auto"/>
              </w:rPr>
            </w:pPr>
          </w:p>
        </w:tc>
      </w:tr>
      <w:tr>
        <w:trPr>
          <w:trHeight w:val="157"/>
        </w:trPr>
        <w:tc>
          <w:tcPr>
            <w:tcW w:w="3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Commercial mortgage loans</w:t>
            </w:r>
          </w:p>
        </w:tc>
        <w:tc>
          <w:tcPr>
            <w:tcW w:w="8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2,011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2,011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1,984</w:t>
            </w:r>
          </w:p>
        </w:tc>
        <w:tc>
          <w:tcPr>
            <w:tcW w:w="0" w:type="dxa"/>
            <w:vAlign w:val="bottom"/>
          </w:tcPr>
          <w:p>
            <w:pPr>
              <w:spacing w:after="0"/>
              <w:rPr>
                <w:sz w:val="1"/>
                <w:szCs w:val="1"/>
                <w:color w:val="auto"/>
              </w:rPr>
            </w:pPr>
          </w:p>
        </w:tc>
      </w:tr>
      <w:tr>
        <w:trPr>
          <w:trHeight w:val="152"/>
        </w:trPr>
        <w:tc>
          <w:tcPr>
            <w:tcW w:w="3740" w:type="dxa"/>
            <w:vAlign w:val="bottom"/>
          </w:tcPr>
          <w:p>
            <w:pPr>
              <w:ind w:left="20"/>
              <w:spacing w:after="0"/>
              <w:rPr>
                <w:sz w:val="20"/>
                <w:szCs w:val="20"/>
                <w:color w:val="auto"/>
              </w:rPr>
            </w:pPr>
            <w:r>
              <w:rPr>
                <w:rFonts w:ascii="Arial" w:cs="Arial" w:eastAsia="Arial" w:hAnsi="Arial"/>
                <w:sz w:val="12"/>
                <w:szCs w:val="12"/>
                <w:color w:val="auto"/>
              </w:rPr>
              <w:t>Residential mortgage loans</w:t>
            </w:r>
          </w:p>
        </w:tc>
        <w:tc>
          <w:tcPr>
            <w:tcW w:w="840" w:type="dxa"/>
            <w:vAlign w:val="bottom"/>
          </w:tcPr>
          <w:p>
            <w:pPr>
              <w:spacing w:after="0"/>
              <w:rPr>
                <w:sz w:val="13"/>
                <w:szCs w:val="13"/>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3"/>
                <w:szCs w:val="13"/>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1,473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1,473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1,500</w:t>
            </w:r>
          </w:p>
        </w:tc>
        <w:tc>
          <w:tcPr>
            <w:tcW w:w="0" w:type="dxa"/>
            <w:vAlign w:val="bottom"/>
          </w:tcPr>
          <w:p>
            <w:pPr>
              <w:spacing w:after="0"/>
              <w:rPr>
                <w:sz w:val="1"/>
                <w:szCs w:val="1"/>
                <w:color w:val="auto"/>
              </w:rPr>
            </w:pPr>
          </w:p>
        </w:tc>
      </w:tr>
      <w:tr>
        <w:trPr>
          <w:trHeight w:val="157"/>
        </w:trPr>
        <w:tc>
          <w:tcPr>
            <w:tcW w:w="3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Policy loans</w:t>
            </w:r>
          </w:p>
        </w:tc>
        <w:tc>
          <w:tcPr>
            <w:tcW w:w="8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52"/>
        </w:trPr>
        <w:tc>
          <w:tcPr>
            <w:tcW w:w="3740" w:type="dxa"/>
            <w:vAlign w:val="bottom"/>
          </w:tcPr>
          <w:p>
            <w:pPr>
              <w:ind w:left="20"/>
              <w:spacing w:after="0"/>
              <w:rPr>
                <w:sz w:val="20"/>
                <w:szCs w:val="20"/>
                <w:color w:val="auto"/>
              </w:rPr>
            </w:pPr>
            <w:r>
              <w:rPr>
                <w:rFonts w:ascii="Arial" w:cs="Arial" w:eastAsia="Arial" w:hAnsi="Arial"/>
                <w:sz w:val="12"/>
                <w:szCs w:val="12"/>
                <w:color w:val="auto"/>
              </w:rPr>
              <w:t>Other invested assets</w:t>
            </w:r>
          </w:p>
        </w:tc>
        <w:tc>
          <w:tcPr>
            <w:tcW w:w="840" w:type="dxa"/>
            <w:vAlign w:val="bottom"/>
          </w:tcPr>
          <w:p>
            <w:pPr>
              <w:spacing w:after="0"/>
              <w:rPr>
                <w:sz w:val="13"/>
                <w:szCs w:val="13"/>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3"/>
                <w:szCs w:val="13"/>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57"/>
        </w:trPr>
        <w:tc>
          <w:tcPr>
            <w:tcW w:w="3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Company-owned life insurance</w:t>
            </w:r>
          </w:p>
        </w:tc>
        <w:tc>
          <w:tcPr>
            <w:tcW w:w="8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327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327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327</w:t>
            </w:r>
          </w:p>
        </w:tc>
        <w:tc>
          <w:tcPr>
            <w:tcW w:w="0" w:type="dxa"/>
            <w:vAlign w:val="bottom"/>
          </w:tcPr>
          <w:p>
            <w:pPr>
              <w:spacing w:after="0"/>
              <w:rPr>
                <w:sz w:val="1"/>
                <w:szCs w:val="1"/>
                <w:color w:val="auto"/>
              </w:rPr>
            </w:pPr>
          </w:p>
        </w:tc>
      </w:tr>
      <w:tr>
        <w:trPr>
          <w:trHeight w:val="152"/>
        </w:trPr>
        <w:tc>
          <w:tcPr>
            <w:tcW w:w="3740" w:type="dxa"/>
            <w:vAlign w:val="bottom"/>
          </w:tcPr>
          <w:p>
            <w:pPr>
              <w:ind w:left="20"/>
              <w:spacing w:after="0"/>
              <w:rPr>
                <w:sz w:val="20"/>
                <w:szCs w:val="20"/>
                <w:color w:val="auto"/>
              </w:rPr>
            </w:pPr>
            <w:r>
              <w:rPr>
                <w:rFonts w:ascii="Arial" w:cs="Arial" w:eastAsia="Arial" w:hAnsi="Arial"/>
                <w:sz w:val="12"/>
                <w:szCs w:val="12"/>
                <w:color w:val="auto"/>
              </w:rPr>
              <w:t>Trade and notes receivables, net of allowance</w:t>
            </w:r>
          </w:p>
        </w:tc>
        <w:tc>
          <w:tcPr>
            <w:tcW w:w="840" w:type="dxa"/>
            <w:vAlign w:val="bottom"/>
          </w:tcPr>
          <w:p>
            <w:pPr>
              <w:spacing w:after="0"/>
              <w:rPr>
                <w:sz w:val="13"/>
                <w:szCs w:val="13"/>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3"/>
                <w:szCs w:val="13"/>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523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523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523</w:t>
            </w:r>
          </w:p>
        </w:tc>
        <w:tc>
          <w:tcPr>
            <w:tcW w:w="0" w:type="dxa"/>
            <w:vAlign w:val="bottom"/>
          </w:tcPr>
          <w:p>
            <w:pPr>
              <w:spacing w:after="0"/>
              <w:rPr>
                <w:sz w:val="1"/>
                <w:szCs w:val="1"/>
                <w:color w:val="auto"/>
              </w:rPr>
            </w:pPr>
          </w:p>
        </w:tc>
      </w:tr>
      <w:tr>
        <w:trPr>
          <w:trHeight w:val="173"/>
        </w:trPr>
        <w:tc>
          <w:tcPr>
            <w:tcW w:w="3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2"/>
                <w:szCs w:val="12"/>
                <w:b w:val="1"/>
                <w:bCs w:val="1"/>
                <w:color w:val="auto"/>
              </w:rPr>
              <w:t>Total</w:t>
            </w:r>
          </w:p>
        </w:tc>
        <w:tc>
          <w:tcPr>
            <w:tcW w:w="840" w:type="dxa"/>
            <w:vAlign w:val="bottom"/>
            <w:tcBorders>
              <w:top w:val="single" w:sz="8" w:color="auto"/>
              <w:bottom w:val="single" w:sz="8" w:color="auto"/>
            </w:tcBorders>
            <w:shd w:val="clear" w:color="auto" w:fill="CCEEFF"/>
          </w:tcPr>
          <w:p>
            <w:pPr>
              <w:jc w:val="right"/>
              <w:ind w:right="701"/>
              <w:spacing w:after="0"/>
              <w:rPr>
                <w:sz w:val="20"/>
                <w:szCs w:val="20"/>
                <w:color w:val="auto"/>
              </w:rPr>
            </w:pPr>
            <w:r>
              <w:rPr>
                <w:rFonts w:ascii="Arial" w:cs="Arial" w:eastAsia="Arial" w:hAnsi="Arial"/>
                <w:sz w:val="12"/>
                <w:szCs w:val="12"/>
                <w:color w:val="auto"/>
                <w:w w:val="89"/>
              </w:rPr>
              <w:t>$</w:t>
            </w:r>
          </w:p>
        </w:tc>
        <w:tc>
          <w:tcPr>
            <w:tcW w:w="2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ind w:right="621"/>
              <w:spacing w:after="0"/>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9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4,376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4,448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4,448</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7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w:t>
            </w:r>
          </w:p>
        </w:tc>
        <w:tc>
          <w:tcPr>
            <w:tcW w:w="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740" w:type="dxa"/>
            <w:vAlign w:val="bottom"/>
          </w:tcPr>
          <w:p>
            <w:pPr>
              <w:ind w:left="20"/>
              <w:spacing w:after="0"/>
              <w:rPr>
                <w:sz w:val="20"/>
                <w:szCs w:val="20"/>
                <w:color w:val="auto"/>
              </w:rPr>
            </w:pPr>
            <w:r>
              <w:rPr>
                <w:rFonts w:ascii="Arial" w:cs="Arial" w:eastAsia="Arial" w:hAnsi="Arial"/>
                <w:sz w:val="12"/>
                <w:szCs w:val="12"/>
                <w:color w:val="auto"/>
              </w:rPr>
              <w:t>Investment contracts, included in contractholder funds</w:t>
            </w:r>
          </w:p>
        </w:tc>
        <w:tc>
          <w:tcPr>
            <w:tcW w:w="840" w:type="dxa"/>
            <w:vAlign w:val="bottom"/>
          </w:tcPr>
          <w:p>
            <w:pPr>
              <w:jc w:val="right"/>
              <w:ind w:right="701"/>
              <w:spacing w:after="0"/>
              <w:rPr>
                <w:sz w:val="20"/>
                <w:szCs w:val="20"/>
                <w:color w:val="auto"/>
              </w:rPr>
            </w:pPr>
            <w:r>
              <w:rPr>
                <w:rFonts w:ascii="Arial" w:cs="Arial" w:eastAsia="Arial" w:hAnsi="Arial"/>
                <w:sz w:val="12"/>
                <w:szCs w:val="12"/>
                <w:color w:val="auto"/>
                <w:w w:val="89"/>
              </w:rPr>
              <w:t>$</w:t>
            </w: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621"/>
              <w:spacing w:after="0"/>
              <w:rPr>
                <w:sz w:val="20"/>
                <w:szCs w:val="20"/>
                <w:color w:val="auto"/>
              </w:rPr>
            </w:pPr>
            <w:r>
              <w:rPr>
                <w:rFonts w:ascii="Arial" w:cs="Arial" w:eastAsia="Arial" w:hAnsi="Arial"/>
                <w:sz w:val="12"/>
                <w:szCs w:val="12"/>
                <w:color w:val="auto"/>
                <w:w w:val="89"/>
              </w:rPr>
              <w:t>$</w:t>
            </w:r>
          </w:p>
        </w:tc>
        <w:tc>
          <w:tcPr>
            <w:tcW w:w="4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26,953</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26,953</w:t>
            </w:r>
          </w:p>
        </w:tc>
        <w:tc>
          <w:tcPr>
            <w:tcW w:w="100" w:type="dxa"/>
            <w:vAlign w:val="bottom"/>
          </w:tcPr>
          <w:p>
            <w:pPr>
              <w:spacing w:after="0"/>
              <w:rPr>
                <w:sz w:val="13"/>
                <w:szCs w:val="13"/>
                <w:color w:val="auto"/>
              </w:rPr>
            </w:pP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30,425</w:t>
            </w:r>
          </w:p>
        </w:tc>
        <w:tc>
          <w:tcPr>
            <w:tcW w:w="0" w:type="dxa"/>
            <w:vAlign w:val="bottom"/>
          </w:tcPr>
          <w:p>
            <w:pPr>
              <w:spacing w:after="0"/>
              <w:rPr>
                <w:sz w:val="1"/>
                <w:szCs w:val="1"/>
                <w:color w:val="auto"/>
              </w:rPr>
            </w:pPr>
          </w:p>
        </w:tc>
      </w:tr>
      <w:tr>
        <w:trPr>
          <w:trHeight w:val="157"/>
        </w:trPr>
        <w:tc>
          <w:tcPr>
            <w:tcW w:w="3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Debt</w:t>
            </w:r>
          </w:p>
        </w:tc>
        <w:tc>
          <w:tcPr>
            <w:tcW w:w="8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6"/>
              </w:rPr>
              <w:t>3,247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3,247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3,097</w:t>
            </w:r>
          </w:p>
        </w:tc>
        <w:tc>
          <w:tcPr>
            <w:tcW w:w="0" w:type="dxa"/>
            <w:vAlign w:val="bottom"/>
          </w:tcPr>
          <w:p>
            <w:pPr>
              <w:spacing w:after="0"/>
              <w:rPr>
                <w:sz w:val="1"/>
                <w:szCs w:val="1"/>
                <w:color w:val="auto"/>
              </w:rPr>
            </w:pPr>
          </w:p>
        </w:tc>
      </w:tr>
      <w:tr>
        <w:trPr>
          <w:trHeight w:val="146"/>
        </w:trPr>
        <w:tc>
          <w:tcPr>
            <w:tcW w:w="3740" w:type="dxa"/>
            <w:vAlign w:val="bottom"/>
          </w:tcPr>
          <w:p>
            <w:pPr>
              <w:ind w:left="180"/>
              <w:spacing w:after="0"/>
              <w:rPr>
                <w:sz w:val="20"/>
                <w:szCs w:val="20"/>
                <w:color w:val="auto"/>
              </w:rPr>
            </w:pPr>
            <w:r>
              <w:rPr>
                <w:rFonts w:ascii="Arial" w:cs="Arial" w:eastAsia="Arial" w:hAnsi="Arial"/>
                <w:sz w:val="12"/>
                <w:szCs w:val="12"/>
                <w:b w:val="1"/>
                <w:bCs w:val="1"/>
                <w:color w:val="auto"/>
              </w:rPr>
              <w:t>Total</w:t>
            </w:r>
          </w:p>
        </w:tc>
        <w:tc>
          <w:tcPr>
            <w:tcW w:w="840" w:type="dxa"/>
            <w:vAlign w:val="bottom"/>
            <w:tcBorders>
              <w:top w:val="single" w:sz="8" w:color="auto"/>
              <w:bottom w:val="single" w:sz="8" w:color="auto"/>
            </w:tcBorders>
          </w:tcPr>
          <w:p>
            <w:pPr>
              <w:jc w:val="right"/>
              <w:ind w:right="701"/>
              <w:spacing w:after="0"/>
              <w:rPr>
                <w:sz w:val="20"/>
                <w:szCs w:val="20"/>
                <w:color w:val="auto"/>
              </w:rPr>
            </w:pPr>
            <w:r>
              <w:rPr>
                <w:rFonts w:ascii="Arial" w:cs="Arial" w:eastAsia="Arial" w:hAnsi="Arial"/>
                <w:sz w:val="12"/>
                <w:szCs w:val="12"/>
                <w:color w:val="auto"/>
                <w:w w:val="89"/>
              </w:rPr>
              <w:t>$</w:t>
            </w:r>
          </w:p>
        </w:tc>
        <w:tc>
          <w:tcPr>
            <w:tcW w:w="2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621"/>
              <w:spacing w:after="0"/>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w w:val="86"/>
              </w:rPr>
              <w:t>3,247</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26,953</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30,200</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33,522</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8" w:name="page29"/>
    <w:bookmarkEnd w:id="28"/>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tbl>
      <w:tblPr>
        <w:tblLayout w:type="fixed"/>
        <w:tblInd w:w="600" w:type="dxa"/>
        <w:tblCellMar>
          <w:top w:w="0" w:type="dxa"/>
          <w:left w:w="0" w:type="dxa"/>
          <w:bottom w:w="0" w:type="dxa"/>
          <w:right w:w="0" w:type="dxa"/>
        </w:tblCellMar>
      </w:tblPr>
      <w:tr>
        <w:trPr>
          <w:trHeight w:val="151"/>
        </w:trPr>
        <w:tc>
          <w:tcPr>
            <w:tcW w:w="3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3"/>
          </w:tcPr>
          <w:p>
            <w:pPr>
              <w:jc w:val="center"/>
              <w:ind w:left="21"/>
              <w:spacing w:after="0"/>
              <w:rPr>
                <w:sz w:val="20"/>
                <w:szCs w:val="20"/>
                <w:color w:val="auto"/>
              </w:rPr>
            </w:pPr>
            <w:r>
              <w:rPr>
                <w:rFonts w:ascii="Arial" w:cs="Arial" w:eastAsia="Arial" w:hAnsi="Arial"/>
                <w:sz w:val="12"/>
                <w:szCs w:val="12"/>
                <w:b w:val="1"/>
                <w:bCs w:val="1"/>
                <w:color w:val="auto"/>
                <w:w w:val="88"/>
              </w:rPr>
              <w:t>December 31, 2020</w:t>
            </w: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7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left="121"/>
              <w:spacing w:after="0"/>
              <w:rPr>
                <w:sz w:val="20"/>
                <w:szCs w:val="20"/>
                <w:color w:val="auto"/>
              </w:rPr>
            </w:pPr>
            <w:r>
              <w:rPr>
                <w:rFonts w:ascii="Arial" w:cs="Arial" w:eastAsia="Arial" w:hAnsi="Arial"/>
                <w:sz w:val="12"/>
                <w:szCs w:val="12"/>
                <w:b w:val="1"/>
                <w:bCs w:val="1"/>
                <w:color w:val="auto"/>
                <w:w w:val="89"/>
              </w:rPr>
              <w:t>(in millions)</w:t>
            </w: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740" w:type="dxa"/>
            <w:vAlign w:val="bottom"/>
          </w:tcPr>
          <w:p>
            <w:pPr>
              <w:spacing w:after="0"/>
              <w:rPr>
                <w:sz w:val="9"/>
                <w:szCs w:val="9"/>
                <w:color w:val="auto"/>
              </w:rPr>
            </w:pPr>
          </w:p>
        </w:tc>
        <w:tc>
          <w:tcPr>
            <w:tcW w:w="840" w:type="dxa"/>
            <w:vAlign w:val="bottom"/>
            <w:vMerge w:val="restart"/>
          </w:tcPr>
          <w:p>
            <w:pPr>
              <w:jc w:val="right"/>
              <w:ind w:right="41"/>
              <w:spacing w:after="0"/>
              <w:rPr>
                <w:sz w:val="20"/>
                <w:szCs w:val="20"/>
                <w:color w:val="auto"/>
              </w:rPr>
            </w:pPr>
            <w:r>
              <w:rPr>
                <w:rFonts w:ascii="Arial" w:cs="Arial" w:eastAsia="Arial" w:hAnsi="Arial"/>
                <w:sz w:val="12"/>
                <w:szCs w:val="12"/>
                <w:b w:val="1"/>
                <w:bCs w:val="1"/>
                <w:color w:val="auto"/>
              </w:rPr>
              <w:t>Level 1</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Level 2</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Level 3</w:t>
            </w:r>
          </w:p>
        </w:tc>
        <w:tc>
          <w:tcPr>
            <w:tcW w:w="100" w:type="dxa"/>
            <w:vAlign w:val="bottom"/>
          </w:tcPr>
          <w:p>
            <w:pPr>
              <w:spacing w:after="0"/>
              <w:rPr>
                <w:sz w:val="9"/>
                <w:szCs w:val="9"/>
                <w:color w:val="auto"/>
              </w:rPr>
            </w:pPr>
          </w:p>
        </w:tc>
        <w:tc>
          <w:tcPr>
            <w:tcW w:w="1320" w:type="dxa"/>
            <w:vAlign w:val="bottom"/>
            <w:gridSpan w:val="2"/>
          </w:tcPr>
          <w:p>
            <w:pPr>
              <w:jc w:val="center"/>
              <w:ind w:right="200"/>
              <w:spacing w:after="0" w:line="107" w:lineRule="exact"/>
              <w:rPr>
                <w:sz w:val="20"/>
                <w:szCs w:val="20"/>
                <w:color w:val="auto"/>
              </w:rPr>
            </w:pPr>
            <w:r>
              <w:rPr>
                <w:rFonts w:ascii="Arial" w:cs="Arial" w:eastAsia="Arial" w:hAnsi="Arial"/>
                <w:sz w:val="12"/>
                <w:szCs w:val="12"/>
                <w:b w:val="1"/>
                <w:bCs w:val="1"/>
                <w:color w:val="auto"/>
                <w:w w:val="90"/>
              </w:rPr>
              <w:t>Total Estimated Fair</w:t>
            </w:r>
          </w:p>
        </w:tc>
        <w:tc>
          <w:tcPr>
            <w:tcW w:w="140" w:type="dxa"/>
            <w:vAlign w:val="bottom"/>
          </w:tcPr>
          <w:p>
            <w:pPr>
              <w:spacing w:after="0"/>
              <w:rPr>
                <w:sz w:val="9"/>
                <w:szCs w:val="9"/>
                <w:color w:val="auto"/>
              </w:rPr>
            </w:pPr>
          </w:p>
        </w:tc>
        <w:tc>
          <w:tcPr>
            <w:tcW w:w="1180" w:type="dxa"/>
            <w:vAlign w:val="bottom"/>
            <w:vMerge w:val="restart"/>
          </w:tcPr>
          <w:p>
            <w:pPr>
              <w:jc w:val="right"/>
              <w:ind w:right="141"/>
              <w:spacing w:after="0"/>
              <w:rPr>
                <w:sz w:val="20"/>
                <w:szCs w:val="20"/>
                <w:color w:val="auto"/>
              </w:rPr>
            </w:pPr>
            <w:r>
              <w:rPr>
                <w:rFonts w:ascii="Arial" w:cs="Arial" w:eastAsia="Arial" w:hAnsi="Arial"/>
                <w:sz w:val="12"/>
                <w:szCs w:val="12"/>
                <w:b w:val="1"/>
                <w:bCs w:val="1"/>
                <w:color w:val="auto"/>
                <w:w w:val="97"/>
              </w:rPr>
              <w:t>Carrying Amount</w:t>
            </w:r>
          </w:p>
        </w:tc>
        <w:tc>
          <w:tcPr>
            <w:tcW w:w="0" w:type="dxa"/>
            <w:vAlign w:val="bottom"/>
          </w:tcPr>
          <w:p>
            <w:pPr>
              <w:spacing w:after="0"/>
              <w:rPr>
                <w:sz w:val="1"/>
                <w:szCs w:val="1"/>
                <w:color w:val="auto"/>
              </w:rPr>
            </w:pPr>
          </w:p>
        </w:tc>
      </w:tr>
      <w:tr>
        <w:trPr>
          <w:trHeight w:val="153"/>
        </w:trPr>
        <w:tc>
          <w:tcPr>
            <w:tcW w:w="3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7"/>
              </w:rPr>
              <w:t>Value</w:t>
            </w:r>
          </w:p>
        </w:tc>
        <w:tc>
          <w:tcPr>
            <w:tcW w:w="1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74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2"/>
                <w:szCs w:val="12"/>
                <w:b w:val="1"/>
                <w:bCs w:val="1"/>
                <w:color w:val="auto"/>
              </w:rPr>
              <w:t>Assets</w:t>
            </w:r>
          </w:p>
        </w:tc>
        <w:tc>
          <w:tcPr>
            <w:tcW w:w="8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740" w:type="dxa"/>
            <w:vAlign w:val="bottom"/>
          </w:tcPr>
          <w:p>
            <w:pPr>
              <w:ind w:left="20"/>
              <w:spacing w:after="0"/>
              <w:rPr>
                <w:sz w:val="20"/>
                <w:szCs w:val="20"/>
                <w:color w:val="auto"/>
              </w:rPr>
            </w:pPr>
            <w:r>
              <w:rPr>
                <w:rFonts w:ascii="Arial" w:cs="Arial" w:eastAsia="Arial" w:hAnsi="Arial"/>
                <w:sz w:val="12"/>
                <w:szCs w:val="12"/>
                <w:color w:val="auto"/>
              </w:rPr>
              <w:t>FHLB common stock</w:t>
            </w:r>
          </w:p>
        </w:tc>
        <w:tc>
          <w:tcPr>
            <w:tcW w:w="840" w:type="dxa"/>
            <w:vAlign w:val="bottom"/>
          </w:tcPr>
          <w:p>
            <w:pPr>
              <w:jc w:val="right"/>
              <w:ind w:right="701"/>
              <w:spacing w:after="0"/>
              <w:rPr>
                <w:sz w:val="20"/>
                <w:szCs w:val="20"/>
                <w:color w:val="auto"/>
              </w:rPr>
            </w:pPr>
            <w:r>
              <w:rPr>
                <w:rFonts w:ascii="Arial" w:cs="Arial" w:eastAsia="Arial" w:hAnsi="Arial"/>
                <w:sz w:val="12"/>
                <w:szCs w:val="12"/>
                <w:color w:val="auto"/>
                <w:w w:val="89"/>
              </w:rPr>
              <w:t>$</w:t>
            </w: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621"/>
              <w:spacing w:after="0"/>
              <w:rPr>
                <w:sz w:val="20"/>
                <w:szCs w:val="20"/>
                <w:color w:val="auto"/>
              </w:rPr>
            </w:pPr>
            <w:r>
              <w:rPr>
                <w:rFonts w:ascii="Arial" w:cs="Arial" w:eastAsia="Arial" w:hAnsi="Arial"/>
                <w:sz w:val="12"/>
                <w:szCs w:val="12"/>
                <w:color w:val="auto"/>
                <w:w w:val="89"/>
              </w:rPr>
              <w:t>$</w:t>
            </w: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66</w:t>
            </w:r>
          </w:p>
        </w:tc>
        <w:tc>
          <w:tcPr>
            <w:tcW w:w="100" w:type="dxa"/>
            <w:vAlign w:val="bottom"/>
          </w:tcPr>
          <w:p>
            <w:pPr>
              <w:spacing w:after="0"/>
              <w:rPr>
                <w:sz w:val="13"/>
                <w:szCs w:val="13"/>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66</w:t>
            </w:r>
          </w:p>
        </w:tc>
        <w:tc>
          <w:tcPr>
            <w:tcW w:w="100" w:type="dxa"/>
            <w:vAlign w:val="bottom"/>
          </w:tcPr>
          <w:p>
            <w:pPr>
              <w:spacing w:after="0"/>
              <w:rPr>
                <w:sz w:val="13"/>
                <w:szCs w:val="13"/>
                <w:color w:val="auto"/>
              </w:rPr>
            </w:pP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66</w:t>
            </w:r>
          </w:p>
        </w:tc>
        <w:tc>
          <w:tcPr>
            <w:tcW w:w="0" w:type="dxa"/>
            <w:vAlign w:val="bottom"/>
          </w:tcPr>
          <w:p>
            <w:pPr>
              <w:spacing w:after="0"/>
              <w:rPr>
                <w:sz w:val="1"/>
                <w:szCs w:val="1"/>
                <w:color w:val="auto"/>
              </w:rPr>
            </w:pPr>
          </w:p>
        </w:tc>
      </w:tr>
      <w:tr>
        <w:trPr>
          <w:trHeight w:val="157"/>
        </w:trPr>
        <w:tc>
          <w:tcPr>
            <w:tcW w:w="3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Commercial mortgage loans</w:t>
            </w:r>
          </w:p>
        </w:tc>
        <w:tc>
          <w:tcPr>
            <w:tcW w:w="8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926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926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903</w:t>
            </w:r>
          </w:p>
        </w:tc>
        <w:tc>
          <w:tcPr>
            <w:tcW w:w="0" w:type="dxa"/>
            <w:vAlign w:val="bottom"/>
          </w:tcPr>
          <w:p>
            <w:pPr>
              <w:spacing w:after="0"/>
              <w:rPr>
                <w:sz w:val="1"/>
                <w:szCs w:val="1"/>
                <w:color w:val="auto"/>
              </w:rPr>
            </w:pPr>
          </w:p>
        </w:tc>
      </w:tr>
      <w:tr>
        <w:trPr>
          <w:trHeight w:val="152"/>
        </w:trPr>
        <w:tc>
          <w:tcPr>
            <w:tcW w:w="3740" w:type="dxa"/>
            <w:vAlign w:val="bottom"/>
          </w:tcPr>
          <w:p>
            <w:pPr>
              <w:ind w:left="20"/>
              <w:spacing w:after="0"/>
              <w:rPr>
                <w:sz w:val="20"/>
                <w:szCs w:val="20"/>
                <w:color w:val="auto"/>
              </w:rPr>
            </w:pPr>
            <w:r>
              <w:rPr>
                <w:rFonts w:ascii="Arial" w:cs="Arial" w:eastAsia="Arial" w:hAnsi="Arial"/>
                <w:sz w:val="12"/>
                <w:szCs w:val="12"/>
                <w:color w:val="auto"/>
              </w:rPr>
              <w:t>Residential mortgage loans</w:t>
            </w:r>
          </w:p>
        </w:tc>
        <w:tc>
          <w:tcPr>
            <w:tcW w:w="840" w:type="dxa"/>
            <w:vAlign w:val="bottom"/>
          </w:tcPr>
          <w:p>
            <w:pPr>
              <w:spacing w:after="0"/>
              <w:rPr>
                <w:sz w:val="13"/>
                <w:szCs w:val="13"/>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3"/>
                <w:szCs w:val="13"/>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1,123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1,123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1,128</w:t>
            </w:r>
          </w:p>
        </w:tc>
        <w:tc>
          <w:tcPr>
            <w:tcW w:w="0" w:type="dxa"/>
            <w:vAlign w:val="bottom"/>
          </w:tcPr>
          <w:p>
            <w:pPr>
              <w:spacing w:after="0"/>
              <w:rPr>
                <w:sz w:val="1"/>
                <w:szCs w:val="1"/>
                <w:color w:val="auto"/>
              </w:rPr>
            </w:pPr>
          </w:p>
        </w:tc>
      </w:tr>
      <w:tr>
        <w:trPr>
          <w:trHeight w:val="157"/>
        </w:trPr>
        <w:tc>
          <w:tcPr>
            <w:tcW w:w="3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Policy loans</w:t>
            </w:r>
          </w:p>
        </w:tc>
        <w:tc>
          <w:tcPr>
            <w:tcW w:w="8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52"/>
        </w:trPr>
        <w:tc>
          <w:tcPr>
            <w:tcW w:w="3740" w:type="dxa"/>
            <w:vAlign w:val="bottom"/>
          </w:tcPr>
          <w:p>
            <w:pPr>
              <w:ind w:left="20"/>
              <w:spacing w:after="0"/>
              <w:rPr>
                <w:sz w:val="20"/>
                <w:szCs w:val="20"/>
                <w:color w:val="auto"/>
              </w:rPr>
            </w:pPr>
            <w:r>
              <w:rPr>
                <w:rFonts w:ascii="Arial" w:cs="Arial" w:eastAsia="Arial" w:hAnsi="Arial"/>
                <w:sz w:val="12"/>
                <w:szCs w:val="12"/>
                <w:color w:val="auto"/>
              </w:rPr>
              <w:t>Other invested assets</w:t>
            </w:r>
          </w:p>
        </w:tc>
        <w:tc>
          <w:tcPr>
            <w:tcW w:w="840" w:type="dxa"/>
            <w:vAlign w:val="bottom"/>
          </w:tcPr>
          <w:p>
            <w:pPr>
              <w:spacing w:after="0"/>
              <w:rPr>
                <w:sz w:val="13"/>
                <w:szCs w:val="13"/>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3"/>
                <w:szCs w:val="13"/>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57"/>
        </w:trPr>
        <w:tc>
          <w:tcPr>
            <w:tcW w:w="3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Company-owned life insurance</w:t>
            </w:r>
          </w:p>
        </w:tc>
        <w:tc>
          <w:tcPr>
            <w:tcW w:w="8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305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305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305</w:t>
            </w:r>
          </w:p>
        </w:tc>
        <w:tc>
          <w:tcPr>
            <w:tcW w:w="0" w:type="dxa"/>
            <w:vAlign w:val="bottom"/>
          </w:tcPr>
          <w:p>
            <w:pPr>
              <w:spacing w:after="0"/>
              <w:rPr>
                <w:sz w:val="1"/>
                <w:szCs w:val="1"/>
                <w:color w:val="auto"/>
              </w:rPr>
            </w:pPr>
          </w:p>
        </w:tc>
      </w:tr>
      <w:tr>
        <w:trPr>
          <w:trHeight w:val="152"/>
        </w:trPr>
        <w:tc>
          <w:tcPr>
            <w:tcW w:w="3740" w:type="dxa"/>
            <w:vAlign w:val="bottom"/>
          </w:tcPr>
          <w:p>
            <w:pPr>
              <w:ind w:left="20"/>
              <w:spacing w:after="0"/>
              <w:rPr>
                <w:sz w:val="20"/>
                <w:szCs w:val="20"/>
                <w:color w:val="auto"/>
              </w:rPr>
            </w:pPr>
            <w:r>
              <w:rPr>
                <w:rFonts w:ascii="Arial" w:cs="Arial" w:eastAsia="Arial" w:hAnsi="Arial"/>
                <w:sz w:val="12"/>
                <w:szCs w:val="12"/>
                <w:color w:val="auto"/>
              </w:rPr>
              <w:t>Trade and notes receivables, net of allowance</w:t>
            </w:r>
          </w:p>
        </w:tc>
        <w:tc>
          <w:tcPr>
            <w:tcW w:w="840" w:type="dxa"/>
            <w:vAlign w:val="bottom"/>
          </w:tcPr>
          <w:p>
            <w:pPr>
              <w:spacing w:after="0"/>
              <w:rPr>
                <w:sz w:val="13"/>
                <w:szCs w:val="13"/>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3"/>
                <w:szCs w:val="13"/>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437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437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437</w:t>
            </w:r>
          </w:p>
        </w:tc>
        <w:tc>
          <w:tcPr>
            <w:tcW w:w="0" w:type="dxa"/>
            <w:vAlign w:val="bottom"/>
          </w:tcPr>
          <w:p>
            <w:pPr>
              <w:spacing w:after="0"/>
              <w:rPr>
                <w:sz w:val="1"/>
                <w:szCs w:val="1"/>
                <w:color w:val="auto"/>
              </w:rPr>
            </w:pPr>
          </w:p>
        </w:tc>
      </w:tr>
      <w:tr>
        <w:trPr>
          <w:trHeight w:val="173"/>
        </w:trPr>
        <w:tc>
          <w:tcPr>
            <w:tcW w:w="3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w:t>
            </w:r>
          </w:p>
        </w:tc>
        <w:tc>
          <w:tcPr>
            <w:tcW w:w="840" w:type="dxa"/>
            <w:vAlign w:val="bottom"/>
            <w:tcBorders>
              <w:top w:val="single" w:sz="8" w:color="auto"/>
              <w:bottom w:val="single" w:sz="8" w:color="auto"/>
            </w:tcBorders>
            <w:shd w:val="clear" w:color="auto" w:fill="CCEEFF"/>
          </w:tcPr>
          <w:p>
            <w:pPr>
              <w:jc w:val="right"/>
              <w:ind w:right="701"/>
              <w:spacing w:after="0"/>
              <w:rPr>
                <w:sz w:val="20"/>
                <w:szCs w:val="20"/>
                <w:color w:val="auto"/>
              </w:rPr>
            </w:pPr>
            <w:r>
              <w:rPr>
                <w:rFonts w:ascii="Arial" w:cs="Arial" w:eastAsia="Arial" w:hAnsi="Arial"/>
                <w:sz w:val="12"/>
                <w:szCs w:val="12"/>
                <w:color w:val="auto"/>
                <w:w w:val="89"/>
              </w:rPr>
              <w:t>$</w:t>
            </w:r>
          </w:p>
        </w:tc>
        <w:tc>
          <w:tcPr>
            <w:tcW w:w="2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ind w:right="621"/>
              <w:spacing w:after="0"/>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9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2,852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2,918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2,900</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7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w:t>
            </w:r>
          </w:p>
        </w:tc>
        <w:tc>
          <w:tcPr>
            <w:tcW w:w="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740" w:type="dxa"/>
            <w:vAlign w:val="bottom"/>
          </w:tcPr>
          <w:p>
            <w:pPr>
              <w:ind w:left="20"/>
              <w:spacing w:after="0"/>
              <w:rPr>
                <w:sz w:val="20"/>
                <w:szCs w:val="20"/>
                <w:color w:val="auto"/>
              </w:rPr>
            </w:pPr>
            <w:r>
              <w:rPr>
                <w:rFonts w:ascii="Arial" w:cs="Arial" w:eastAsia="Arial" w:hAnsi="Arial"/>
                <w:sz w:val="12"/>
                <w:szCs w:val="12"/>
                <w:color w:val="auto"/>
              </w:rPr>
              <w:t>Investment contracts, included in contractholder funds</w:t>
            </w:r>
          </w:p>
        </w:tc>
        <w:tc>
          <w:tcPr>
            <w:tcW w:w="840" w:type="dxa"/>
            <w:vAlign w:val="bottom"/>
          </w:tcPr>
          <w:p>
            <w:pPr>
              <w:jc w:val="right"/>
              <w:ind w:right="701"/>
              <w:spacing w:after="0"/>
              <w:rPr>
                <w:sz w:val="20"/>
                <w:szCs w:val="20"/>
                <w:color w:val="auto"/>
              </w:rPr>
            </w:pPr>
            <w:r>
              <w:rPr>
                <w:rFonts w:ascii="Arial" w:cs="Arial" w:eastAsia="Arial" w:hAnsi="Arial"/>
                <w:sz w:val="12"/>
                <w:szCs w:val="12"/>
                <w:color w:val="auto"/>
                <w:w w:val="89"/>
              </w:rPr>
              <w:t>$</w:t>
            </w: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621"/>
              <w:spacing w:after="0"/>
              <w:rPr>
                <w:sz w:val="20"/>
                <w:szCs w:val="20"/>
                <w:color w:val="auto"/>
              </w:rPr>
            </w:pPr>
            <w:r>
              <w:rPr>
                <w:rFonts w:ascii="Arial" w:cs="Arial" w:eastAsia="Arial" w:hAnsi="Arial"/>
                <w:sz w:val="12"/>
                <w:szCs w:val="12"/>
                <w:color w:val="auto"/>
                <w:w w:val="89"/>
              </w:rPr>
              <w:t>$</w:t>
            </w:r>
          </w:p>
        </w:tc>
        <w:tc>
          <w:tcPr>
            <w:tcW w:w="4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21,719</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21,719</w:t>
            </w:r>
          </w:p>
        </w:tc>
        <w:tc>
          <w:tcPr>
            <w:tcW w:w="100" w:type="dxa"/>
            <w:vAlign w:val="bottom"/>
          </w:tcPr>
          <w:p>
            <w:pPr>
              <w:spacing w:after="0"/>
              <w:rPr>
                <w:sz w:val="13"/>
                <w:szCs w:val="13"/>
                <w:color w:val="auto"/>
              </w:rPr>
            </w:pP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25,199</w:t>
            </w:r>
          </w:p>
        </w:tc>
        <w:tc>
          <w:tcPr>
            <w:tcW w:w="0" w:type="dxa"/>
            <w:vAlign w:val="bottom"/>
          </w:tcPr>
          <w:p>
            <w:pPr>
              <w:spacing w:after="0"/>
              <w:rPr>
                <w:sz w:val="1"/>
                <w:szCs w:val="1"/>
                <w:color w:val="auto"/>
              </w:rPr>
            </w:pPr>
          </w:p>
        </w:tc>
      </w:tr>
      <w:tr>
        <w:trPr>
          <w:trHeight w:val="157"/>
        </w:trPr>
        <w:tc>
          <w:tcPr>
            <w:tcW w:w="3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Debt</w:t>
            </w:r>
          </w:p>
        </w:tc>
        <w:tc>
          <w:tcPr>
            <w:tcW w:w="8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6"/>
              </w:rPr>
              <w:t>2,896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2,896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2,662</w:t>
            </w:r>
          </w:p>
        </w:tc>
        <w:tc>
          <w:tcPr>
            <w:tcW w:w="0" w:type="dxa"/>
            <w:vAlign w:val="bottom"/>
          </w:tcPr>
          <w:p>
            <w:pPr>
              <w:spacing w:after="0"/>
              <w:rPr>
                <w:sz w:val="1"/>
                <w:szCs w:val="1"/>
                <w:color w:val="auto"/>
              </w:rPr>
            </w:pPr>
          </w:p>
        </w:tc>
      </w:tr>
      <w:tr>
        <w:trPr>
          <w:trHeight w:val="146"/>
        </w:trPr>
        <w:tc>
          <w:tcPr>
            <w:tcW w:w="3740" w:type="dxa"/>
            <w:vAlign w:val="bottom"/>
          </w:tcPr>
          <w:p>
            <w:pPr>
              <w:ind w:left="180"/>
              <w:spacing w:after="0"/>
              <w:rPr>
                <w:sz w:val="20"/>
                <w:szCs w:val="20"/>
                <w:color w:val="auto"/>
              </w:rPr>
            </w:pPr>
            <w:r>
              <w:rPr>
                <w:rFonts w:ascii="Arial" w:cs="Arial" w:eastAsia="Arial" w:hAnsi="Arial"/>
                <w:sz w:val="12"/>
                <w:szCs w:val="12"/>
                <w:color w:val="auto"/>
              </w:rPr>
              <w:t>Total</w:t>
            </w:r>
          </w:p>
        </w:tc>
        <w:tc>
          <w:tcPr>
            <w:tcW w:w="840" w:type="dxa"/>
            <w:vAlign w:val="bottom"/>
            <w:tcBorders>
              <w:top w:val="single" w:sz="8" w:color="auto"/>
              <w:bottom w:val="single" w:sz="8" w:color="auto"/>
            </w:tcBorders>
          </w:tcPr>
          <w:p>
            <w:pPr>
              <w:jc w:val="right"/>
              <w:ind w:right="701"/>
              <w:spacing w:after="0"/>
              <w:rPr>
                <w:sz w:val="20"/>
                <w:szCs w:val="20"/>
                <w:color w:val="auto"/>
              </w:rPr>
            </w:pPr>
            <w:r>
              <w:rPr>
                <w:rFonts w:ascii="Arial" w:cs="Arial" w:eastAsia="Arial" w:hAnsi="Arial"/>
                <w:sz w:val="12"/>
                <w:szCs w:val="12"/>
                <w:color w:val="auto"/>
                <w:w w:val="89"/>
              </w:rPr>
              <w:t>$</w:t>
            </w:r>
          </w:p>
        </w:tc>
        <w:tc>
          <w:tcPr>
            <w:tcW w:w="2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621"/>
              <w:spacing w:after="0"/>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w w:val="86"/>
              </w:rPr>
              <w:t>2,896</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21,719</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24,615</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27,861</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jc w:val="both"/>
        <w:ind w:right="20" w:firstLine="331"/>
        <w:spacing w:after="0" w:line="266" w:lineRule="auto"/>
        <w:rPr>
          <w:sz w:val="20"/>
          <w:szCs w:val="20"/>
          <w:color w:val="auto"/>
        </w:rPr>
      </w:pPr>
      <w:r>
        <w:rPr>
          <w:rFonts w:ascii="Arial" w:cs="Arial" w:eastAsia="Arial" w:hAnsi="Arial"/>
          <w:sz w:val="15"/>
          <w:szCs w:val="15"/>
          <w:color w:val="auto"/>
        </w:rPr>
        <w:t>The following table includes assets that have not been classified in the fair value hierarchy as the value of these investments are measured using the equity method of accounting or the net asset value ("NAV") per share practical expedient (in millions):</w:t>
      </w:r>
    </w:p>
    <w:p>
      <w:pPr>
        <w:spacing w:after="0" w:line="59" w:lineRule="exact"/>
        <w:rPr>
          <w:sz w:val="20"/>
          <w:szCs w:val="20"/>
          <w:color w:val="auto"/>
        </w:rPr>
      </w:pPr>
    </w:p>
    <w:p>
      <w:pPr>
        <w:ind w:left="8080"/>
        <w:spacing w:after="0"/>
        <w:rPr>
          <w:sz w:val="20"/>
          <w:szCs w:val="20"/>
          <w:color w:val="auto"/>
        </w:rPr>
      </w:pPr>
      <w:r>
        <w:rPr>
          <w:rFonts w:ascii="Arial" w:cs="Arial" w:eastAsia="Arial" w:hAnsi="Arial"/>
          <w:sz w:val="12"/>
          <w:szCs w:val="12"/>
          <w:b w:val="1"/>
          <w:bCs w:val="1"/>
          <w:color w:val="auto"/>
        </w:rPr>
        <w:t>Carrying Value After Measurement</w:t>
      </w:r>
    </w:p>
    <w:tbl>
      <w:tblPr>
        <w:tblLayout w:type="fixed"/>
        <w:tblInd w:w="600" w:type="dxa"/>
        <w:tblCellMar>
          <w:top w:w="0" w:type="dxa"/>
          <w:left w:w="0" w:type="dxa"/>
          <w:bottom w:w="0" w:type="dxa"/>
          <w:right w:w="0" w:type="dxa"/>
        </w:tblCellMar>
      </w:tblPr>
      <w:tr>
        <w:trPr>
          <w:trHeight w:val="149"/>
        </w:trPr>
        <w:tc>
          <w:tcPr>
            <w:tcW w:w="67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2"/>
          </w:tcPr>
          <w:p>
            <w:pPr>
              <w:jc w:val="right"/>
              <w:ind w:right="921"/>
              <w:spacing w:after="0"/>
              <w:rPr>
                <w:sz w:val="20"/>
                <w:szCs w:val="20"/>
                <w:color w:val="auto"/>
              </w:rPr>
            </w:pPr>
            <w:r>
              <w:rPr>
                <w:rFonts w:ascii="Arial" w:cs="Arial" w:eastAsia="Arial" w:hAnsi="Arial"/>
                <w:sz w:val="12"/>
                <w:szCs w:val="12"/>
                <w:b w:val="1"/>
                <w:bCs w:val="1"/>
                <w:color w:val="auto"/>
                <w:w w:val="91"/>
              </w:rPr>
              <w:t>(in millions)</w:t>
            </w:r>
          </w:p>
        </w:tc>
        <w:tc>
          <w:tcPr>
            <w:tcW w:w="400" w:type="dxa"/>
            <w:vAlign w:val="bottom"/>
            <w:tcBorders>
              <w:bottom w:val="single" w:sz="8" w:color="auto"/>
            </w:tcBorders>
          </w:tcPr>
          <w:p>
            <w:pPr>
              <w:spacing w:after="0"/>
              <w:rPr>
                <w:sz w:val="12"/>
                <w:szCs w:val="12"/>
                <w:color w:val="auto"/>
              </w:rPr>
            </w:pPr>
          </w:p>
        </w:tc>
      </w:tr>
      <w:tr>
        <w:trPr>
          <w:trHeight w:val="142"/>
        </w:trPr>
        <w:tc>
          <w:tcPr>
            <w:tcW w:w="67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121"/>
              <w:spacing w:after="0"/>
              <w:rPr>
                <w:sz w:val="20"/>
                <w:szCs w:val="20"/>
                <w:color w:val="auto"/>
              </w:rPr>
            </w:pPr>
            <w:r>
              <w:rPr>
                <w:rFonts w:ascii="Arial" w:cs="Arial" w:eastAsia="Arial" w:hAnsi="Arial"/>
                <w:sz w:val="12"/>
                <w:szCs w:val="12"/>
                <w:b w:val="1"/>
                <w:bCs w:val="1"/>
                <w:color w:val="auto"/>
                <w:w w:val="92"/>
              </w:rPr>
              <w:t>September 30, 2021</w:t>
            </w:r>
          </w:p>
        </w:tc>
        <w:tc>
          <w:tcPr>
            <w:tcW w:w="100" w:type="dxa"/>
            <w:vAlign w:val="bottom"/>
          </w:tcPr>
          <w:p>
            <w:pPr>
              <w:spacing w:after="0"/>
              <w:rPr>
                <w:sz w:val="12"/>
                <w:szCs w:val="12"/>
                <w:color w:val="auto"/>
              </w:rPr>
            </w:pPr>
          </w:p>
        </w:tc>
        <w:tc>
          <w:tcPr>
            <w:tcW w:w="15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December 31, 2020</w:t>
            </w:r>
          </w:p>
        </w:tc>
        <w:tc>
          <w:tcPr>
            <w:tcW w:w="400" w:type="dxa"/>
            <w:vAlign w:val="bottom"/>
            <w:tcBorders>
              <w:bottom w:val="single" w:sz="8" w:color="auto"/>
            </w:tcBorders>
          </w:tcPr>
          <w:p>
            <w:pPr>
              <w:spacing w:after="0"/>
              <w:rPr>
                <w:sz w:val="12"/>
                <w:szCs w:val="12"/>
                <w:color w:val="auto"/>
              </w:rPr>
            </w:pPr>
          </w:p>
        </w:tc>
      </w:tr>
      <w:tr>
        <w:trPr>
          <w:trHeight w:val="146"/>
        </w:trPr>
        <w:tc>
          <w:tcPr>
            <w:tcW w:w="6700" w:type="dxa"/>
            <w:vAlign w:val="bottom"/>
          </w:tcPr>
          <w:p>
            <w:pPr>
              <w:ind w:left="20"/>
              <w:spacing w:after="0"/>
              <w:rPr>
                <w:sz w:val="20"/>
                <w:szCs w:val="20"/>
                <w:color w:val="auto"/>
              </w:rPr>
            </w:pPr>
            <w:r>
              <w:rPr>
                <w:rFonts w:ascii="Arial" w:cs="Arial" w:eastAsia="Arial" w:hAnsi="Arial"/>
                <w:sz w:val="12"/>
                <w:szCs w:val="12"/>
                <w:color w:val="auto"/>
              </w:rPr>
              <w:t>Investments in unconsolidated affiliates (equity method of accounting)</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138</w:t>
            </w:r>
          </w:p>
        </w:tc>
        <w:tc>
          <w:tcPr>
            <w:tcW w:w="100" w:type="dxa"/>
            <w:vAlign w:val="bottom"/>
          </w:tcPr>
          <w:p>
            <w:pPr>
              <w:spacing w:after="0"/>
              <w:rPr>
                <w:sz w:val="12"/>
                <w:szCs w:val="12"/>
                <w:color w:val="auto"/>
              </w:rPr>
            </w:pPr>
          </w:p>
        </w:tc>
        <w:tc>
          <w:tcPr>
            <w:tcW w:w="1520" w:type="dxa"/>
            <w:vAlign w:val="bottom"/>
          </w:tcPr>
          <w:p>
            <w:pPr>
              <w:jc w:val="right"/>
              <w:ind w:right="1381"/>
              <w:spacing w:after="0"/>
              <w:rPr>
                <w:sz w:val="20"/>
                <w:szCs w:val="20"/>
                <w:color w:val="auto"/>
              </w:rPr>
            </w:pPr>
            <w:r>
              <w:rPr>
                <w:rFonts w:ascii="Arial" w:cs="Arial" w:eastAsia="Arial" w:hAnsi="Arial"/>
                <w:sz w:val="12"/>
                <w:szCs w:val="12"/>
                <w:color w:val="auto"/>
                <w:w w:val="89"/>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146</w:t>
            </w:r>
          </w:p>
        </w:tc>
      </w:tr>
      <w:tr>
        <w:trPr>
          <w:trHeight w:val="157"/>
        </w:trPr>
        <w:tc>
          <w:tcPr>
            <w:tcW w:w="6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 securities (NAV)</w:t>
            </w: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9"/>
        </w:trPr>
        <w:tc>
          <w:tcPr>
            <w:tcW w:w="6700" w:type="dxa"/>
            <w:vAlign w:val="bottom"/>
          </w:tcPr>
          <w:p>
            <w:pPr>
              <w:ind w:left="20"/>
              <w:spacing w:after="0"/>
              <w:rPr>
                <w:sz w:val="20"/>
                <w:szCs w:val="20"/>
                <w:color w:val="auto"/>
              </w:rPr>
            </w:pPr>
            <w:r>
              <w:rPr>
                <w:rFonts w:ascii="Arial" w:cs="Arial" w:eastAsia="Arial" w:hAnsi="Arial"/>
                <w:sz w:val="12"/>
                <w:szCs w:val="12"/>
                <w:color w:val="auto"/>
              </w:rPr>
              <w:t>Investments in unconsolidated affiliates (NAV)</w:t>
            </w:r>
          </w:p>
        </w:tc>
        <w:tc>
          <w:tcPr>
            <w:tcW w:w="1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2,022</w:t>
            </w: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1,148</w:t>
            </w:r>
          </w:p>
        </w:tc>
      </w:tr>
    </w:tbl>
    <w:p>
      <w:pPr>
        <w:spacing w:after="0" w:line="337" w:lineRule="exact"/>
        <w:rPr>
          <w:sz w:val="20"/>
          <w:szCs w:val="20"/>
          <w:color w:val="auto"/>
        </w:rPr>
      </w:pPr>
    </w:p>
    <w:p>
      <w:pPr>
        <w:jc w:val="both"/>
        <w:ind w:firstLine="331"/>
        <w:spacing w:after="0" w:line="255" w:lineRule="auto"/>
        <w:rPr>
          <w:sz w:val="20"/>
          <w:szCs w:val="20"/>
          <w:color w:val="auto"/>
        </w:rPr>
      </w:pPr>
      <w:r>
        <w:rPr>
          <w:rFonts w:ascii="Arial" w:cs="Arial" w:eastAsia="Arial" w:hAnsi="Arial"/>
          <w:sz w:val="15"/>
          <w:szCs w:val="15"/>
          <w:color w:val="auto"/>
        </w:rPr>
        <w:t>For investments for which NAV is used as a practical expedient for fair value, we do not have any significant restrictions in our ability to liquidate their positions in these investments, other than obtaining general partner approval, nor do we believe it is probable a price less than NAV would be received in the event of a liquidation. Equity method investments are reported on a lag of up to three months for investee information not received timely.</w:t>
      </w:r>
    </w:p>
    <w:p>
      <w:pPr>
        <w:spacing w:after="0" w:line="46" w:lineRule="exact"/>
        <w:rPr>
          <w:sz w:val="20"/>
          <w:szCs w:val="20"/>
          <w:color w:val="auto"/>
        </w:rPr>
      </w:pPr>
    </w:p>
    <w:p>
      <w:pPr>
        <w:jc w:val="both"/>
        <w:ind w:firstLine="331"/>
        <w:spacing w:after="0" w:line="313" w:lineRule="auto"/>
        <w:rPr>
          <w:sz w:val="20"/>
          <w:szCs w:val="20"/>
          <w:color w:val="auto"/>
        </w:rPr>
      </w:pPr>
      <w:r>
        <w:rPr>
          <w:rFonts w:ascii="Arial" w:cs="Arial" w:eastAsia="Arial" w:hAnsi="Arial"/>
          <w:sz w:val="13"/>
          <w:szCs w:val="13"/>
          <w:color w:val="auto"/>
        </w:rPr>
        <w:t>We review the fair value hierarchy classifications each reporting period. Changes in the observability of the valuation attributes may result in a reclassification of certain financial assets or liabilities. Such reclassifications are reported as transfers in and out of Level 3, or between other levels, at the beginning fair value for the reporting period in which the changes occur. The transfers into and out of Level 3 were related to changes in the primary pricing source and changes in the observability of external information used in determining the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9" w:name="page30"/>
    <w:bookmarkEnd w:id="29"/>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D — Investments</w:t>
      </w:r>
    </w:p>
    <w:p>
      <w:pPr>
        <w:spacing w:after="0" w:line="141" w:lineRule="exact"/>
        <w:rPr>
          <w:sz w:val="20"/>
          <w:szCs w:val="20"/>
          <w:color w:val="auto"/>
        </w:rPr>
      </w:pPr>
    </w:p>
    <w:p>
      <w:pPr>
        <w:jc w:val="both"/>
        <w:ind w:firstLine="331"/>
        <w:spacing w:after="0" w:line="252" w:lineRule="auto"/>
        <w:rPr>
          <w:sz w:val="20"/>
          <w:szCs w:val="20"/>
          <w:color w:val="auto"/>
        </w:rPr>
      </w:pPr>
      <w:r>
        <w:rPr>
          <w:rFonts w:ascii="Arial" w:cs="Arial" w:eastAsia="Arial" w:hAnsi="Arial"/>
          <w:sz w:val="15"/>
          <w:szCs w:val="15"/>
          <w:color w:val="auto"/>
        </w:rPr>
        <w:t>Our fixed maturity securities investments have been designated as available-for-sale and are carried at fair value, net of allowance for expected credit losses, with unrealized gains and losses included in AOCI, net of associated adjustments for DAC, VOBA, DSI, unearned revenue ("UREV"), SOP 03-1 reserves, and deferred income taxes. Our equity securities investments are carried at fair value with unrealized gains and losses included in net earnings. The Company’s consolidated investments at September 30, 2021 and December 31, 2020 are summarized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9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12"/>
                <w:szCs w:val="12"/>
                <w:b w:val="1"/>
                <w:bCs w:val="1"/>
                <w:color w:val="auto"/>
              </w:rPr>
              <w:t>September 30, 2021</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Amortized Cost</w:t>
            </w:r>
          </w:p>
        </w:tc>
        <w:tc>
          <w:tcPr>
            <w:tcW w:w="1380" w:type="dxa"/>
            <w:vAlign w:val="bottom"/>
            <w:gridSpan w:val="3"/>
          </w:tcPr>
          <w:p>
            <w:pPr>
              <w:ind w:left="60"/>
              <w:spacing w:after="0" w:line="107" w:lineRule="exact"/>
              <w:rPr>
                <w:sz w:val="20"/>
                <w:szCs w:val="20"/>
                <w:color w:val="auto"/>
              </w:rPr>
            </w:pPr>
            <w:r>
              <w:rPr>
                <w:rFonts w:ascii="Arial" w:cs="Arial" w:eastAsia="Arial" w:hAnsi="Arial"/>
                <w:sz w:val="12"/>
                <w:szCs w:val="12"/>
                <w:b w:val="1"/>
                <w:bCs w:val="1"/>
                <w:color w:val="auto"/>
                <w:w w:val="95"/>
              </w:rPr>
              <w:t>Allowance for Expected</w:t>
            </w:r>
          </w:p>
        </w:tc>
        <w:tc>
          <w:tcPr>
            <w:tcW w:w="14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w w:val="98"/>
              </w:rPr>
              <w:t>Gross Unrealized Gains</w:t>
            </w:r>
          </w:p>
        </w:tc>
        <w:tc>
          <w:tcPr>
            <w:tcW w:w="14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w w:val="94"/>
              </w:rPr>
              <w:t>Gross Unrealized Losses</w:t>
            </w:r>
          </w:p>
        </w:tc>
        <w:tc>
          <w:tcPr>
            <w:tcW w:w="220" w:type="dxa"/>
            <w:vAlign w:val="bottom"/>
          </w:tcPr>
          <w:p>
            <w:pPr>
              <w:spacing w:after="0"/>
              <w:rPr>
                <w:sz w:val="9"/>
                <w:szCs w:val="9"/>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Fair Value</w:t>
            </w:r>
          </w:p>
        </w:tc>
        <w:tc>
          <w:tcPr>
            <w:tcW w:w="180" w:type="dxa"/>
            <w:vAlign w:val="bottom"/>
          </w:tcPr>
          <w:p>
            <w:pPr>
              <w:spacing w:after="0"/>
              <w:rPr>
                <w:sz w:val="9"/>
                <w:szCs w:val="9"/>
                <w:color w:val="auto"/>
              </w:rPr>
            </w:pPr>
          </w:p>
        </w:tc>
        <w:tc>
          <w:tcPr>
            <w:tcW w:w="1140" w:type="dxa"/>
            <w:vAlign w:val="bottom"/>
            <w:vMerge w:val="restart"/>
          </w:tcPr>
          <w:p>
            <w:pPr>
              <w:jc w:val="right"/>
              <w:ind w:right="201"/>
              <w:spacing w:after="0"/>
              <w:rPr>
                <w:sz w:val="20"/>
                <w:szCs w:val="20"/>
                <w:color w:val="auto"/>
              </w:rPr>
            </w:pPr>
            <w:r>
              <w:rPr>
                <w:rFonts w:ascii="Arial" w:cs="Arial" w:eastAsia="Arial" w:hAnsi="Arial"/>
                <w:sz w:val="12"/>
                <w:szCs w:val="12"/>
                <w:b w:val="1"/>
                <w:bCs w:val="1"/>
                <w:color w:val="auto"/>
              </w:rPr>
              <w:t>Carrying Value</w:t>
            </w:r>
          </w:p>
        </w:tc>
        <w:tc>
          <w:tcPr>
            <w:tcW w:w="0" w:type="dxa"/>
            <w:vAlign w:val="bottom"/>
          </w:tcPr>
          <w:p>
            <w:pPr>
              <w:spacing w:after="0"/>
              <w:rPr>
                <w:sz w:val="1"/>
                <w:szCs w:val="1"/>
                <w:color w:val="auto"/>
              </w:rPr>
            </w:pPr>
          </w:p>
        </w:tc>
      </w:tr>
      <w:tr>
        <w:trPr>
          <w:trHeight w:val="151"/>
        </w:trPr>
        <w:tc>
          <w:tcPr>
            <w:tcW w:w="2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Credit Losses</w:t>
            </w:r>
          </w:p>
        </w:tc>
        <w:tc>
          <w:tcPr>
            <w:tcW w:w="1420" w:type="dxa"/>
            <w:vAlign w:val="bottom"/>
            <w:gridSpan w:val="3"/>
            <w:vMerge w:val="continue"/>
          </w:tcPr>
          <w:p>
            <w:pPr>
              <w:spacing w:after="0"/>
              <w:rPr>
                <w:sz w:val="13"/>
                <w:szCs w:val="13"/>
                <w:color w:val="auto"/>
              </w:rPr>
            </w:pPr>
          </w:p>
        </w:tc>
        <w:tc>
          <w:tcPr>
            <w:tcW w:w="142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Available-for-sale securities</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Asset-backed securities</w:t>
            </w:r>
          </w:p>
        </w:tc>
        <w:tc>
          <w:tcPr>
            <w:tcW w:w="1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7,916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9"/>
                <w:szCs w:val="9"/>
                <w:color w:val="auto"/>
                <w:w w:val="78"/>
              </w:rPr>
              <w:t>$</w:t>
            </w:r>
          </w:p>
        </w:tc>
        <w:tc>
          <w:tcPr>
            <w:tcW w:w="1100" w:type="dxa"/>
            <w:vAlign w:val="bottom"/>
            <w:shd w:val="clear" w:color="auto" w:fill="CCEEFF"/>
          </w:tcPr>
          <w:p>
            <w:pPr>
              <w:ind w:left="960"/>
              <w:spacing w:after="0"/>
              <w:rPr>
                <w:sz w:val="20"/>
                <w:szCs w:val="20"/>
                <w:color w:val="auto"/>
              </w:rPr>
            </w:pPr>
            <w:r>
              <w:rPr>
                <w:rFonts w:ascii="Arial" w:cs="Arial" w:eastAsia="Arial" w:hAnsi="Arial"/>
                <w:sz w:val="12"/>
                <w:szCs w:val="12"/>
                <w:color w:val="auto"/>
                <w:w w:val="81"/>
              </w:rPr>
              <w:t>(3)</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41"/>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293</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601"/>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8,191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8,191</w:t>
            </w:r>
          </w:p>
        </w:tc>
        <w:tc>
          <w:tcPr>
            <w:tcW w:w="0" w:type="dxa"/>
            <w:vAlign w:val="bottom"/>
          </w:tcPr>
          <w:p>
            <w:pPr>
              <w:spacing w:after="0"/>
              <w:rPr>
                <w:sz w:val="1"/>
                <w:szCs w:val="1"/>
                <w:color w:val="auto"/>
              </w:rPr>
            </w:pPr>
          </w:p>
        </w:tc>
      </w:tr>
      <w:tr>
        <w:trPr>
          <w:trHeight w:val="152"/>
        </w:trPr>
        <w:tc>
          <w:tcPr>
            <w:tcW w:w="2920" w:type="dxa"/>
            <w:vAlign w:val="bottom"/>
          </w:tcPr>
          <w:p>
            <w:pPr>
              <w:ind w:left="20"/>
              <w:spacing w:after="0"/>
              <w:rPr>
                <w:sz w:val="20"/>
                <w:szCs w:val="20"/>
                <w:color w:val="auto"/>
              </w:rPr>
            </w:pPr>
            <w:r>
              <w:rPr>
                <w:rFonts w:ascii="Arial" w:cs="Arial" w:eastAsia="Arial" w:hAnsi="Arial"/>
                <w:sz w:val="12"/>
                <w:szCs w:val="12"/>
                <w:color w:val="auto"/>
              </w:rPr>
              <w:t>Commercial mortgage-backed securities</w:t>
            </w:r>
          </w:p>
        </w:tc>
        <w:tc>
          <w:tcPr>
            <w:tcW w:w="18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2,619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ind w:left="960"/>
              <w:spacing w:after="0"/>
              <w:rPr>
                <w:sz w:val="20"/>
                <w:szCs w:val="20"/>
                <w:color w:val="auto"/>
              </w:rPr>
            </w:pPr>
            <w:r>
              <w:rPr>
                <w:rFonts w:ascii="Arial" w:cs="Arial" w:eastAsia="Arial" w:hAnsi="Arial"/>
                <w:sz w:val="12"/>
                <w:szCs w:val="12"/>
                <w:color w:val="auto"/>
                <w:w w:val="81"/>
              </w:rPr>
              <w:t>(1)</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411</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3,024</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Corporates</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14,441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ind w:left="9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887</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15,177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15,177</w:t>
            </w:r>
          </w:p>
        </w:tc>
        <w:tc>
          <w:tcPr>
            <w:tcW w:w="0" w:type="dxa"/>
            <w:vAlign w:val="bottom"/>
          </w:tcPr>
          <w:p>
            <w:pPr>
              <w:spacing w:after="0"/>
              <w:rPr>
                <w:sz w:val="1"/>
                <w:szCs w:val="1"/>
                <w:color w:val="auto"/>
              </w:rPr>
            </w:pPr>
          </w:p>
        </w:tc>
      </w:tr>
      <w:tr>
        <w:trPr>
          <w:trHeight w:val="152"/>
        </w:trPr>
        <w:tc>
          <w:tcPr>
            <w:tcW w:w="2920" w:type="dxa"/>
            <w:vAlign w:val="bottom"/>
          </w:tcPr>
          <w:p>
            <w:pPr>
              <w:ind w:left="20"/>
              <w:spacing w:after="0"/>
              <w:rPr>
                <w:sz w:val="20"/>
                <w:szCs w:val="20"/>
                <w:color w:val="auto"/>
              </w:rPr>
            </w:pPr>
            <w:r>
              <w:rPr>
                <w:rFonts w:ascii="Arial" w:cs="Arial" w:eastAsia="Arial" w:hAnsi="Arial"/>
                <w:sz w:val="12"/>
                <w:szCs w:val="12"/>
                <w:color w:val="auto"/>
              </w:rPr>
              <w:t>Hybrids</w:t>
            </w:r>
          </w:p>
        </w:tc>
        <w:tc>
          <w:tcPr>
            <w:tcW w:w="18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834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94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89</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923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923</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Municipals</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1,306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ind w:left="9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71</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1,368</w:t>
            </w:r>
          </w:p>
        </w:tc>
        <w:tc>
          <w:tcPr>
            <w:tcW w:w="0" w:type="dxa"/>
            <w:vAlign w:val="bottom"/>
          </w:tcPr>
          <w:p>
            <w:pPr>
              <w:spacing w:after="0"/>
              <w:rPr>
                <w:sz w:val="1"/>
                <w:szCs w:val="1"/>
                <w:color w:val="auto"/>
              </w:rPr>
            </w:pPr>
          </w:p>
        </w:tc>
      </w:tr>
      <w:tr>
        <w:trPr>
          <w:trHeight w:val="152"/>
        </w:trPr>
        <w:tc>
          <w:tcPr>
            <w:tcW w:w="2920" w:type="dxa"/>
            <w:vAlign w:val="bottom"/>
          </w:tcPr>
          <w:p>
            <w:pPr>
              <w:ind w:left="20"/>
              <w:spacing w:after="0"/>
              <w:rPr>
                <w:sz w:val="20"/>
                <w:szCs w:val="20"/>
                <w:color w:val="auto"/>
              </w:rPr>
            </w:pPr>
            <w:r>
              <w:rPr>
                <w:rFonts w:ascii="Arial" w:cs="Arial" w:eastAsia="Arial" w:hAnsi="Arial"/>
                <w:sz w:val="12"/>
                <w:szCs w:val="12"/>
                <w:color w:val="auto"/>
              </w:rPr>
              <w:t>Residential mortgage-backed securities</w:t>
            </w:r>
          </w:p>
        </w:tc>
        <w:tc>
          <w:tcPr>
            <w:tcW w:w="18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714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ind w:left="960"/>
              <w:spacing w:after="0"/>
              <w:rPr>
                <w:sz w:val="20"/>
                <w:szCs w:val="20"/>
                <w:color w:val="auto"/>
              </w:rPr>
            </w:pPr>
            <w:r>
              <w:rPr>
                <w:rFonts w:ascii="Arial" w:cs="Arial" w:eastAsia="Arial" w:hAnsi="Arial"/>
                <w:sz w:val="12"/>
                <w:szCs w:val="12"/>
                <w:color w:val="auto"/>
                <w:w w:val="81"/>
              </w:rPr>
              <w:t>(4)</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33</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741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741</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U.S. Government</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808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ind w:left="9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805</w:t>
            </w:r>
          </w:p>
        </w:tc>
        <w:tc>
          <w:tcPr>
            <w:tcW w:w="0" w:type="dxa"/>
            <w:vAlign w:val="bottom"/>
          </w:tcPr>
          <w:p>
            <w:pPr>
              <w:spacing w:after="0"/>
              <w:rPr>
                <w:sz w:val="1"/>
                <w:szCs w:val="1"/>
                <w:color w:val="auto"/>
              </w:rPr>
            </w:pPr>
          </w:p>
        </w:tc>
      </w:tr>
      <w:tr>
        <w:trPr>
          <w:trHeight w:val="152"/>
        </w:trPr>
        <w:tc>
          <w:tcPr>
            <w:tcW w:w="2920" w:type="dxa"/>
            <w:vAlign w:val="bottom"/>
          </w:tcPr>
          <w:p>
            <w:pPr>
              <w:ind w:left="20"/>
              <w:spacing w:after="0"/>
              <w:rPr>
                <w:sz w:val="20"/>
                <w:szCs w:val="20"/>
                <w:color w:val="auto"/>
              </w:rPr>
            </w:pPr>
            <w:r>
              <w:rPr>
                <w:rFonts w:ascii="Arial" w:cs="Arial" w:eastAsia="Arial" w:hAnsi="Arial"/>
                <w:sz w:val="12"/>
                <w:szCs w:val="12"/>
                <w:color w:val="auto"/>
              </w:rPr>
              <w:t>Foreign Governments</w:t>
            </w:r>
          </w:p>
        </w:tc>
        <w:tc>
          <w:tcPr>
            <w:tcW w:w="18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199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94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206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206</w:t>
            </w:r>
          </w:p>
        </w:tc>
        <w:tc>
          <w:tcPr>
            <w:tcW w:w="0" w:type="dxa"/>
            <w:vAlign w:val="bottom"/>
          </w:tcPr>
          <w:p>
            <w:pPr>
              <w:spacing w:after="0"/>
              <w:rPr>
                <w:sz w:val="1"/>
                <w:szCs w:val="1"/>
                <w:color w:val="auto"/>
              </w:rPr>
            </w:pPr>
          </w:p>
        </w:tc>
      </w:tr>
      <w:tr>
        <w:trPr>
          <w:trHeight w:val="173"/>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available-for-sale securities</w:t>
            </w:r>
          </w:p>
        </w:tc>
        <w:tc>
          <w:tcPr>
            <w:tcW w:w="1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28,837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9"/>
                <w:szCs w:val="9"/>
                <w:color w:val="auto"/>
                <w:w w:val="78"/>
              </w:rPr>
              <w:t>$</w:t>
            </w:r>
          </w:p>
        </w:tc>
        <w:tc>
          <w:tcPr>
            <w:tcW w:w="110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2"/>
                <w:szCs w:val="12"/>
                <w:color w:val="auto"/>
                <w:w w:val="81"/>
              </w:rPr>
              <w:t>(8)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ind w:right="341"/>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1,797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ind w:right="601"/>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30,435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30,435</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9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ind w:right="261"/>
              <w:spacing w:after="0"/>
              <w:rPr>
                <w:sz w:val="20"/>
                <w:szCs w:val="20"/>
                <w:color w:val="auto"/>
              </w:rPr>
            </w:pPr>
            <w:r>
              <w:rPr>
                <w:rFonts w:ascii="Arial" w:cs="Arial" w:eastAsia="Arial" w:hAnsi="Arial"/>
                <w:sz w:val="12"/>
                <w:szCs w:val="12"/>
                <w:b w:val="1"/>
                <w:bCs w:val="1"/>
                <w:color w:val="auto"/>
              </w:rPr>
              <w:t>December 31, 2020</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Amortized Cost</w:t>
            </w:r>
          </w:p>
        </w:tc>
        <w:tc>
          <w:tcPr>
            <w:tcW w:w="1380" w:type="dxa"/>
            <w:vAlign w:val="bottom"/>
            <w:gridSpan w:val="3"/>
          </w:tcPr>
          <w:p>
            <w:pPr>
              <w:ind w:left="60"/>
              <w:spacing w:after="0" w:line="107" w:lineRule="exact"/>
              <w:rPr>
                <w:sz w:val="20"/>
                <w:szCs w:val="20"/>
                <w:color w:val="auto"/>
              </w:rPr>
            </w:pPr>
            <w:r>
              <w:rPr>
                <w:rFonts w:ascii="Arial" w:cs="Arial" w:eastAsia="Arial" w:hAnsi="Arial"/>
                <w:sz w:val="12"/>
                <w:szCs w:val="12"/>
                <w:b w:val="1"/>
                <w:bCs w:val="1"/>
                <w:color w:val="auto"/>
                <w:w w:val="95"/>
              </w:rPr>
              <w:t>Allowance for Expected</w:t>
            </w:r>
          </w:p>
        </w:tc>
        <w:tc>
          <w:tcPr>
            <w:tcW w:w="14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w w:val="98"/>
              </w:rPr>
              <w:t>Gross Unrealized Gains</w:t>
            </w:r>
          </w:p>
        </w:tc>
        <w:tc>
          <w:tcPr>
            <w:tcW w:w="14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w w:val="94"/>
              </w:rPr>
              <w:t>Gross Unrealized Losses</w:t>
            </w:r>
          </w:p>
        </w:tc>
        <w:tc>
          <w:tcPr>
            <w:tcW w:w="220" w:type="dxa"/>
            <w:vAlign w:val="bottom"/>
          </w:tcPr>
          <w:p>
            <w:pPr>
              <w:spacing w:after="0"/>
              <w:rPr>
                <w:sz w:val="9"/>
                <w:szCs w:val="9"/>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Fair Value</w:t>
            </w:r>
          </w:p>
        </w:tc>
        <w:tc>
          <w:tcPr>
            <w:tcW w:w="180" w:type="dxa"/>
            <w:vAlign w:val="bottom"/>
          </w:tcPr>
          <w:p>
            <w:pPr>
              <w:spacing w:after="0"/>
              <w:rPr>
                <w:sz w:val="9"/>
                <w:szCs w:val="9"/>
                <w:color w:val="auto"/>
              </w:rPr>
            </w:pPr>
          </w:p>
        </w:tc>
        <w:tc>
          <w:tcPr>
            <w:tcW w:w="1140" w:type="dxa"/>
            <w:vAlign w:val="bottom"/>
            <w:vMerge w:val="restart"/>
          </w:tcPr>
          <w:p>
            <w:pPr>
              <w:jc w:val="right"/>
              <w:ind w:right="201"/>
              <w:spacing w:after="0"/>
              <w:rPr>
                <w:sz w:val="20"/>
                <w:szCs w:val="20"/>
                <w:color w:val="auto"/>
              </w:rPr>
            </w:pPr>
            <w:r>
              <w:rPr>
                <w:rFonts w:ascii="Arial" w:cs="Arial" w:eastAsia="Arial" w:hAnsi="Arial"/>
                <w:sz w:val="12"/>
                <w:szCs w:val="12"/>
                <w:b w:val="1"/>
                <w:bCs w:val="1"/>
                <w:color w:val="auto"/>
              </w:rPr>
              <w:t>Carrying Value</w:t>
            </w:r>
          </w:p>
        </w:tc>
        <w:tc>
          <w:tcPr>
            <w:tcW w:w="0" w:type="dxa"/>
            <w:vAlign w:val="bottom"/>
          </w:tcPr>
          <w:p>
            <w:pPr>
              <w:spacing w:after="0"/>
              <w:rPr>
                <w:sz w:val="1"/>
                <w:szCs w:val="1"/>
                <w:color w:val="auto"/>
              </w:rPr>
            </w:pPr>
          </w:p>
        </w:tc>
      </w:tr>
      <w:tr>
        <w:trPr>
          <w:trHeight w:val="151"/>
        </w:trPr>
        <w:tc>
          <w:tcPr>
            <w:tcW w:w="2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Credit Losses</w:t>
            </w:r>
          </w:p>
        </w:tc>
        <w:tc>
          <w:tcPr>
            <w:tcW w:w="1420" w:type="dxa"/>
            <w:vAlign w:val="bottom"/>
            <w:gridSpan w:val="3"/>
            <w:vMerge w:val="continue"/>
          </w:tcPr>
          <w:p>
            <w:pPr>
              <w:spacing w:after="0"/>
              <w:rPr>
                <w:sz w:val="13"/>
                <w:szCs w:val="13"/>
                <w:color w:val="auto"/>
              </w:rPr>
            </w:pPr>
          </w:p>
        </w:tc>
        <w:tc>
          <w:tcPr>
            <w:tcW w:w="142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Available-for-sale securities</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Asset-backed securities</w:t>
            </w:r>
          </w:p>
        </w:tc>
        <w:tc>
          <w:tcPr>
            <w:tcW w:w="1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5,941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9"/>
                <w:szCs w:val="9"/>
                <w:color w:val="auto"/>
                <w:w w:val="78"/>
              </w:rPr>
              <w:t>$</w:t>
            </w:r>
          </w:p>
        </w:tc>
        <w:tc>
          <w:tcPr>
            <w:tcW w:w="1180" w:type="dxa"/>
            <w:vAlign w:val="bottom"/>
            <w:gridSpan w:val="2"/>
            <w:shd w:val="clear" w:color="auto" w:fill="CCEEFF"/>
          </w:tcPr>
          <w:p>
            <w:pPr>
              <w:ind w:left="9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361"/>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343</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621"/>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6,266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6,266</w:t>
            </w:r>
          </w:p>
        </w:tc>
        <w:tc>
          <w:tcPr>
            <w:tcW w:w="0" w:type="dxa"/>
            <w:vAlign w:val="bottom"/>
          </w:tcPr>
          <w:p>
            <w:pPr>
              <w:spacing w:after="0"/>
              <w:rPr>
                <w:sz w:val="1"/>
                <w:szCs w:val="1"/>
                <w:color w:val="auto"/>
              </w:rPr>
            </w:pPr>
          </w:p>
        </w:tc>
      </w:tr>
      <w:tr>
        <w:trPr>
          <w:trHeight w:val="152"/>
        </w:trPr>
        <w:tc>
          <w:tcPr>
            <w:tcW w:w="2920" w:type="dxa"/>
            <w:vAlign w:val="bottom"/>
          </w:tcPr>
          <w:p>
            <w:pPr>
              <w:ind w:left="20"/>
              <w:spacing w:after="0"/>
              <w:rPr>
                <w:sz w:val="20"/>
                <w:szCs w:val="20"/>
                <w:color w:val="auto"/>
              </w:rPr>
            </w:pPr>
            <w:r>
              <w:rPr>
                <w:rFonts w:ascii="Arial" w:cs="Arial" w:eastAsia="Arial" w:hAnsi="Arial"/>
                <w:sz w:val="12"/>
                <w:szCs w:val="12"/>
                <w:color w:val="auto"/>
                <w:w w:val="99"/>
              </w:rPr>
              <w:t>Commercial mortgage-backed/asset-backed securities</w:t>
            </w:r>
          </w:p>
        </w:tc>
        <w:tc>
          <w:tcPr>
            <w:tcW w:w="18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2,490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94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342</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2,829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2,829</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Corporates</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13,582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1,184</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14,735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14,735</w:t>
            </w:r>
          </w:p>
        </w:tc>
        <w:tc>
          <w:tcPr>
            <w:tcW w:w="0" w:type="dxa"/>
            <w:vAlign w:val="bottom"/>
          </w:tcPr>
          <w:p>
            <w:pPr>
              <w:spacing w:after="0"/>
              <w:rPr>
                <w:sz w:val="1"/>
                <w:szCs w:val="1"/>
                <w:color w:val="auto"/>
              </w:rPr>
            </w:pPr>
          </w:p>
        </w:tc>
      </w:tr>
      <w:tr>
        <w:trPr>
          <w:trHeight w:val="152"/>
        </w:trPr>
        <w:tc>
          <w:tcPr>
            <w:tcW w:w="2920" w:type="dxa"/>
            <w:vAlign w:val="bottom"/>
          </w:tcPr>
          <w:p>
            <w:pPr>
              <w:ind w:left="20"/>
              <w:spacing w:after="0"/>
              <w:rPr>
                <w:sz w:val="20"/>
                <w:szCs w:val="20"/>
                <w:color w:val="auto"/>
              </w:rPr>
            </w:pPr>
            <w:r>
              <w:rPr>
                <w:rFonts w:ascii="Arial" w:cs="Arial" w:eastAsia="Arial" w:hAnsi="Arial"/>
                <w:sz w:val="12"/>
                <w:szCs w:val="12"/>
                <w:color w:val="auto"/>
              </w:rPr>
              <w:t>Hybrids</w:t>
            </w:r>
          </w:p>
        </w:tc>
        <w:tc>
          <w:tcPr>
            <w:tcW w:w="18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914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94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80</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gridSpan w:val="2"/>
          </w:tcPr>
          <w:p>
            <w:pPr>
              <w:ind w:left="3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994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994</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Municipals</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1,333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ind w:left="9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72</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1,403</w:t>
            </w:r>
          </w:p>
        </w:tc>
        <w:tc>
          <w:tcPr>
            <w:tcW w:w="0" w:type="dxa"/>
            <w:vAlign w:val="bottom"/>
          </w:tcPr>
          <w:p>
            <w:pPr>
              <w:spacing w:after="0"/>
              <w:rPr>
                <w:sz w:val="1"/>
                <w:szCs w:val="1"/>
                <w:color w:val="auto"/>
              </w:rPr>
            </w:pPr>
          </w:p>
        </w:tc>
      </w:tr>
      <w:tr>
        <w:trPr>
          <w:trHeight w:val="152"/>
        </w:trPr>
        <w:tc>
          <w:tcPr>
            <w:tcW w:w="2920" w:type="dxa"/>
            <w:vAlign w:val="bottom"/>
          </w:tcPr>
          <w:p>
            <w:pPr>
              <w:ind w:left="20"/>
              <w:spacing w:after="0"/>
              <w:rPr>
                <w:sz w:val="20"/>
                <w:szCs w:val="20"/>
                <w:color w:val="auto"/>
              </w:rPr>
            </w:pPr>
            <w:r>
              <w:rPr>
                <w:rFonts w:ascii="Arial" w:cs="Arial" w:eastAsia="Arial" w:hAnsi="Arial"/>
                <w:sz w:val="12"/>
                <w:szCs w:val="12"/>
                <w:color w:val="auto"/>
              </w:rPr>
              <w:t>Residential mortgage-backed securities</w:t>
            </w:r>
          </w:p>
        </w:tc>
        <w:tc>
          <w:tcPr>
            <w:tcW w:w="18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806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825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825</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U.S. Government</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332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ind w:left="9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342</w:t>
            </w:r>
          </w:p>
        </w:tc>
        <w:tc>
          <w:tcPr>
            <w:tcW w:w="0" w:type="dxa"/>
            <w:vAlign w:val="bottom"/>
          </w:tcPr>
          <w:p>
            <w:pPr>
              <w:spacing w:after="0"/>
              <w:rPr>
                <w:sz w:val="1"/>
                <w:szCs w:val="1"/>
                <w:color w:val="auto"/>
              </w:rPr>
            </w:pPr>
          </w:p>
        </w:tc>
      </w:tr>
      <w:tr>
        <w:trPr>
          <w:trHeight w:val="152"/>
        </w:trPr>
        <w:tc>
          <w:tcPr>
            <w:tcW w:w="2920" w:type="dxa"/>
            <w:vAlign w:val="bottom"/>
          </w:tcPr>
          <w:p>
            <w:pPr>
              <w:ind w:left="20"/>
              <w:spacing w:after="0"/>
              <w:rPr>
                <w:sz w:val="20"/>
                <w:szCs w:val="20"/>
                <w:color w:val="auto"/>
              </w:rPr>
            </w:pPr>
            <w:r>
              <w:rPr>
                <w:rFonts w:ascii="Arial" w:cs="Arial" w:eastAsia="Arial" w:hAnsi="Arial"/>
                <w:sz w:val="12"/>
                <w:szCs w:val="12"/>
                <w:color w:val="auto"/>
              </w:rPr>
              <w:t>Foreign Governments</w:t>
            </w:r>
          </w:p>
        </w:tc>
        <w:tc>
          <w:tcPr>
            <w:tcW w:w="18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179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94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gridSpan w:val="2"/>
          </w:tcPr>
          <w:p>
            <w:pPr>
              <w:ind w:left="3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193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193</w:t>
            </w:r>
          </w:p>
        </w:tc>
        <w:tc>
          <w:tcPr>
            <w:tcW w:w="0" w:type="dxa"/>
            <w:vAlign w:val="bottom"/>
          </w:tcPr>
          <w:p>
            <w:pPr>
              <w:spacing w:after="0"/>
              <w:rPr>
                <w:sz w:val="1"/>
                <w:szCs w:val="1"/>
                <w:color w:val="auto"/>
              </w:rPr>
            </w:pPr>
          </w:p>
        </w:tc>
      </w:tr>
      <w:tr>
        <w:trPr>
          <w:trHeight w:val="173"/>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available-for-sale securities</w:t>
            </w:r>
          </w:p>
        </w:tc>
        <w:tc>
          <w:tcPr>
            <w:tcW w:w="1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25,577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9"/>
                <w:szCs w:val="9"/>
                <w:color w:val="auto"/>
                <w:w w:val="7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ind w:right="361"/>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2,068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ind w:right="621"/>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27,587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27,587</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Securities held on deposit with various state regulatory authorities had a fair value of $21,198 million and $16,714 million at September 30, 2021 and December 31, 2020, respectively.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As of September 30, 2021 and December 31, 2020, the Company held no material investments that were non-income producing for a period greater than twelve months.</w:t>
      </w:r>
    </w:p>
    <w:p>
      <w:pPr>
        <w:spacing w:after="0" w:line="126" w:lineRule="exact"/>
        <w:rPr>
          <w:sz w:val="20"/>
          <w:szCs w:val="20"/>
          <w:color w:val="auto"/>
        </w:rPr>
      </w:pPr>
    </w:p>
    <w:p>
      <w:pPr>
        <w:jc w:val="both"/>
        <w:ind w:firstLine="331"/>
        <w:spacing w:after="0" w:line="266" w:lineRule="auto"/>
        <w:rPr>
          <w:sz w:val="20"/>
          <w:szCs w:val="20"/>
          <w:color w:val="auto"/>
        </w:rPr>
      </w:pPr>
      <w:r>
        <w:rPr>
          <w:rFonts w:ascii="Arial" w:cs="Arial" w:eastAsia="Arial" w:hAnsi="Arial"/>
          <w:sz w:val="15"/>
          <w:szCs w:val="15"/>
          <w:color w:val="auto"/>
        </w:rPr>
        <w:t>As of September 30, 2021 and December 31, 2020, the Company's accrued interest receivable balance was $255 million and $235 million, respectively. Accrued interest receivable is classified within Prepaid expenses and other assets within the unaudited Condensed Consolidated Balance Sheets.</w:t>
      </w:r>
    </w:p>
    <w:p>
      <w:pPr>
        <w:spacing w:after="0" w:line="70" w:lineRule="exact"/>
        <w:rPr>
          <w:sz w:val="20"/>
          <w:szCs w:val="20"/>
          <w:color w:val="auto"/>
        </w:rPr>
      </w:pPr>
    </w:p>
    <w:p>
      <w:pPr>
        <w:jc w:val="both"/>
        <w:ind w:firstLine="331"/>
        <w:spacing w:after="0" w:line="255" w:lineRule="auto"/>
        <w:rPr>
          <w:sz w:val="20"/>
          <w:szCs w:val="20"/>
          <w:color w:val="auto"/>
        </w:rPr>
      </w:pPr>
      <w:r>
        <w:rPr>
          <w:rFonts w:ascii="Arial" w:cs="Arial" w:eastAsia="Arial" w:hAnsi="Arial"/>
          <w:sz w:val="15"/>
          <w:szCs w:val="15"/>
          <w:color w:val="auto"/>
        </w:rPr>
        <w:t>In accordance with our FHLB agreements, the investments supporting the funding agreement liabilities are pledged as collateral to secure the FHLB funding agreement liabilities and are not available to the Company for general purposes. The collateral investments had a fair value of $2,278 million and $1,622 million as of September 30, 2021 and December 31, 2020, respectively.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0" w:name="page31"/>
    <w:bookmarkEnd w:id="30"/>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31"/>
        <w:spacing w:after="0" w:line="266" w:lineRule="auto"/>
        <w:rPr>
          <w:sz w:val="20"/>
          <w:szCs w:val="20"/>
          <w:color w:val="auto"/>
        </w:rPr>
      </w:pPr>
      <w:r>
        <w:rPr>
          <w:rFonts w:ascii="Arial" w:cs="Arial" w:eastAsia="Arial" w:hAnsi="Arial"/>
          <w:sz w:val="15"/>
          <w:szCs w:val="15"/>
          <w:color w:val="auto"/>
        </w:rPr>
        <w:t>The amortized cost and fair value of fixed maturity available-for-sale securities by contractual maturities, as applicable, are shown below. Actual maturities may differ from contractual maturities because issuers may have the right to call or prepay obligations.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gridSpan w:val="3"/>
          </w:tcPr>
          <w:p>
            <w:pPr>
              <w:jc w:val="right"/>
              <w:ind w:right="1"/>
              <w:spacing w:after="0"/>
              <w:rPr>
                <w:sz w:val="20"/>
                <w:szCs w:val="20"/>
                <w:color w:val="auto"/>
              </w:rPr>
            </w:pPr>
            <w:r>
              <w:rPr>
                <w:rFonts w:ascii="Arial" w:cs="Arial" w:eastAsia="Arial" w:hAnsi="Arial"/>
                <w:sz w:val="12"/>
                <w:szCs w:val="12"/>
                <w:b w:val="1"/>
                <w:bCs w:val="1"/>
                <w:color w:val="auto"/>
              </w:rPr>
              <w:t>September 30, 2021</w:t>
            </w:r>
          </w:p>
        </w:tc>
        <w:tc>
          <w:tcPr>
            <w:tcW w:w="1140" w:type="dxa"/>
            <w:vAlign w:val="bottom"/>
          </w:tcPr>
          <w:p>
            <w:pPr>
              <w:spacing w:after="0"/>
              <w:rPr>
                <w:sz w:val="13"/>
                <w:szCs w:val="13"/>
                <w:color w:val="auto"/>
              </w:rPr>
            </w:pPr>
          </w:p>
        </w:tc>
      </w:tr>
      <w:tr>
        <w:trPr>
          <w:trHeight w:val="160"/>
        </w:trPr>
        <w:tc>
          <w:tcPr>
            <w:tcW w:w="79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3"/>
          </w:tcPr>
          <w:p>
            <w:pPr>
              <w:jc w:val="right"/>
              <w:ind w:right="181"/>
              <w:spacing w:after="0"/>
              <w:rPr>
                <w:sz w:val="20"/>
                <w:szCs w:val="20"/>
                <w:color w:val="auto"/>
              </w:rPr>
            </w:pPr>
            <w:r>
              <w:rPr>
                <w:rFonts w:ascii="Arial" w:cs="Arial" w:eastAsia="Arial" w:hAnsi="Arial"/>
                <w:sz w:val="12"/>
                <w:szCs w:val="12"/>
                <w:b w:val="1"/>
                <w:bCs w:val="1"/>
                <w:color w:val="auto"/>
              </w:rPr>
              <w:t>(in millions)</w:t>
            </w:r>
          </w:p>
        </w:tc>
        <w:tc>
          <w:tcPr>
            <w:tcW w:w="1140" w:type="dxa"/>
            <w:vAlign w:val="bottom"/>
            <w:tcBorders>
              <w:bottom w:val="single" w:sz="8" w:color="auto"/>
            </w:tcBorders>
          </w:tcPr>
          <w:p>
            <w:pPr>
              <w:spacing w:after="0"/>
              <w:rPr>
                <w:sz w:val="13"/>
                <w:szCs w:val="13"/>
                <w:color w:val="auto"/>
              </w:rPr>
            </w:pPr>
          </w:p>
        </w:tc>
      </w:tr>
      <w:tr>
        <w:trPr>
          <w:trHeight w:val="149"/>
        </w:trPr>
        <w:tc>
          <w:tcPr>
            <w:tcW w:w="7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ind w:left="180"/>
              <w:spacing w:after="0"/>
              <w:rPr>
                <w:sz w:val="20"/>
                <w:szCs w:val="20"/>
                <w:color w:val="auto"/>
              </w:rPr>
            </w:pPr>
            <w:r>
              <w:rPr>
                <w:rFonts w:ascii="Arial" w:cs="Arial" w:eastAsia="Arial" w:hAnsi="Arial"/>
                <w:sz w:val="12"/>
                <w:szCs w:val="12"/>
                <w:b w:val="1"/>
                <w:bCs w:val="1"/>
                <w:color w:val="auto"/>
              </w:rPr>
              <w:t>Amortized Cost</w:t>
            </w:r>
          </w:p>
        </w:tc>
        <w:tc>
          <w:tcPr>
            <w:tcW w:w="500" w:type="dxa"/>
            <w:vAlign w:val="bottom"/>
          </w:tcPr>
          <w:p>
            <w:pPr>
              <w:spacing w:after="0"/>
              <w:rPr>
                <w:sz w:val="12"/>
                <w:szCs w:val="12"/>
                <w:color w:val="auto"/>
              </w:rPr>
            </w:pPr>
          </w:p>
        </w:tc>
        <w:tc>
          <w:tcPr>
            <w:tcW w:w="1140" w:type="dxa"/>
            <w:vAlign w:val="bottom"/>
          </w:tcPr>
          <w:p>
            <w:pPr>
              <w:jc w:val="right"/>
              <w:ind w:right="481"/>
              <w:spacing w:after="0"/>
              <w:rPr>
                <w:sz w:val="20"/>
                <w:szCs w:val="20"/>
                <w:color w:val="auto"/>
              </w:rPr>
            </w:pPr>
            <w:r>
              <w:rPr>
                <w:rFonts w:ascii="Arial" w:cs="Arial" w:eastAsia="Arial" w:hAnsi="Arial"/>
                <w:sz w:val="12"/>
                <w:szCs w:val="12"/>
                <w:b w:val="1"/>
                <w:bCs w:val="1"/>
                <w:color w:val="auto"/>
              </w:rPr>
              <w:t>Fair Value</w:t>
            </w:r>
          </w:p>
        </w:tc>
      </w:tr>
      <w:tr>
        <w:trPr>
          <w:trHeight w:val="136"/>
        </w:trPr>
        <w:tc>
          <w:tcPr>
            <w:tcW w:w="790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2"/>
                <w:szCs w:val="12"/>
                <w:b w:val="1"/>
                <w:bCs w:val="1"/>
                <w:color w:val="auto"/>
              </w:rPr>
              <w:t>Corporates, Non-structured Hybrids, Municipal and Government securities:</w:t>
            </w:r>
          </w:p>
        </w:tc>
        <w:tc>
          <w:tcPr>
            <w:tcW w:w="240" w:type="dxa"/>
            <w:vAlign w:val="bottom"/>
            <w:tcBorders>
              <w:top w:val="single" w:sz="8" w:color="auto"/>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r>
      <w:tr>
        <w:trPr>
          <w:trHeight w:val="152"/>
        </w:trPr>
        <w:tc>
          <w:tcPr>
            <w:tcW w:w="7900" w:type="dxa"/>
            <w:vAlign w:val="bottom"/>
          </w:tcPr>
          <w:p>
            <w:pPr>
              <w:ind w:left="120"/>
              <w:spacing w:after="0"/>
              <w:rPr>
                <w:sz w:val="20"/>
                <w:szCs w:val="20"/>
                <w:color w:val="auto"/>
              </w:rPr>
            </w:pPr>
            <w:r>
              <w:rPr>
                <w:rFonts w:ascii="Arial" w:cs="Arial" w:eastAsia="Arial" w:hAnsi="Arial"/>
                <w:sz w:val="12"/>
                <w:szCs w:val="12"/>
                <w:color w:val="auto"/>
              </w:rPr>
              <w:t>Due in one year or less</w:t>
            </w:r>
          </w:p>
        </w:tc>
        <w:tc>
          <w:tcPr>
            <w:tcW w:w="240" w:type="dxa"/>
            <w:vAlign w:val="bottom"/>
          </w:tcPr>
          <w:p>
            <w:pPr>
              <w:jc w:val="right"/>
              <w:ind w:right="101"/>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2"/>
                <w:szCs w:val="12"/>
                <w:color w:val="auto"/>
              </w:rPr>
              <w:t>387</w:t>
            </w:r>
          </w:p>
        </w:tc>
        <w:tc>
          <w:tcPr>
            <w:tcW w:w="100" w:type="dxa"/>
            <w:vAlign w:val="bottom"/>
          </w:tcPr>
          <w:p>
            <w:pPr>
              <w:spacing w:after="0"/>
              <w:rPr>
                <w:sz w:val="13"/>
                <w:szCs w:val="13"/>
                <w:color w:val="auto"/>
              </w:rPr>
            </w:pPr>
          </w:p>
        </w:tc>
        <w:tc>
          <w:tcPr>
            <w:tcW w:w="500" w:type="dxa"/>
            <w:vAlign w:val="bottom"/>
          </w:tcPr>
          <w:p>
            <w:pPr>
              <w:jc w:val="right"/>
              <w:ind w:right="361"/>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391</w:t>
            </w:r>
          </w:p>
        </w:tc>
      </w:tr>
      <w:tr>
        <w:trPr>
          <w:trHeight w:val="15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Due after one year through five years</w:t>
            </w:r>
          </w:p>
        </w:tc>
        <w:tc>
          <w:tcPr>
            <w:tcW w:w="24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2,668</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2,758</w:t>
            </w:r>
          </w:p>
        </w:tc>
      </w:tr>
      <w:tr>
        <w:trPr>
          <w:trHeight w:val="152"/>
        </w:trPr>
        <w:tc>
          <w:tcPr>
            <w:tcW w:w="7900" w:type="dxa"/>
            <w:vAlign w:val="bottom"/>
          </w:tcPr>
          <w:p>
            <w:pPr>
              <w:ind w:left="120"/>
              <w:spacing w:after="0"/>
              <w:rPr>
                <w:sz w:val="20"/>
                <w:szCs w:val="20"/>
                <w:color w:val="auto"/>
              </w:rPr>
            </w:pPr>
            <w:r>
              <w:rPr>
                <w:rFonts w:ascii="Arial" w:cs="Arial" w:eastAsia="Arial" w:hAnsi="Arial"/>
                <w:sz w:val="12"/>
                <w:szCs w:val="12"/>
                <w:color w:val="auto"/>
              </w:rPr>
              <w:t>Due after five years through ten years</w:t>
            </w:r>
          </w:p>
        </w:tc>
        <w:tc>
          <w:tcPr>
            <w:tcW w:w="240" w:type="dxa"/>
            <w:vAlign w:val="bottom"/>
          </w:tcPr>
          <w:p>
            <w:pPr>
              <w:spacing w:after="0"/>
              <w:rPr>
                <w:sz w:val="13"/>
                <w:szCs w:val="13"/>
                <w:color w:val="auto"/>
              </w:rPr>
            </w:pPr>
          </w:p>
        </w:tc>
        <w:tc>
          <w:tcPr>
            <w:tcW w:w="1400" w:type="dxa"/>
            <w:vAlign w:val="bottom"/>
          </w:tcPr>
          <w:p>
            <w:pPr>
              <w:jc w:val="right"/>
              <w:ind w:right="1"/>
              <w:spacing w:after="0"/>
              <w:rPr>
                <w:sz w:val="20"/>
                <w:szCs w:val="20"/>
                <w:color w:val="auto"/>
              </w:rPr>
            </w:pPr>
            <w:r>
              <w:rPr>
                <w:rFonts w:ascii="Arial" w:cs="Arial" w:eastAsia="Arial" w:hAnsi="Arial"/>
                <w:sz w:val="12"/>
                <w:szCs w:val="12"/>
                <w:color w:val="auto"/>
              </w:rPr>
              <w:t>2,593</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2,683</w:t>
            </w:r>
          </w:p>
        </w:tc>
      </w:tr>
      <w:tr>
        <w:trPr>
          <w:trHeight w:val="15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Due after ten years</w:t>
            </w:r>
          </w:p>
        </w:tc>
        <w:tc>
          <w:tcPr>
            <w:tcW w:w="24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11,914</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12,616</w:t>
            </w:r>
          </w:p>
        </w:tc>
      </w:tr>
      <w:tr>
        <w:trPr>
          <w:trHeight w:val="143"/>
        </w:trPr>
        <w:tc>
          <w:tcPr>
            <w:tcW w:w="790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Subtotal</w:t>
            </w:r>
          </w:p>
        </w:tc>
        <w:tc>
          <w:tcPr>
            <w:tcW w:w="240" w:type="dxa"/>
            <w:vAlign w:val="bottom"/>
          </w:tcPr>
          <w:p>
            <w:pPr>
              <w:spacing w:after="0"/>
              <w:rPr>
                <w:sz w:val="12"/>
                <w:szCs w:val="12"/>
                <w:color w:val="auto"/>
              </w:rPr>
            </w:pPr>
          </w:p>
        </w:tc>
        <w:tc>
          <w:tcPr>
            <w:tcW w:w="1400" w:type="dxa"/>
            <w:vAlign w:val="bottom"/>
          </w:tcPr>
          <w:p>
            <w:pPr>
              <w:jc w:val="right"/>
              <w:ind w:right="1"/>
              <w:spacing w:after="0"/>
              <w:rPr>
                <w:sz w:val="20"/>
                <w:szCs w:val="20"/>
                <w:color w:val="auto"/>
              </w:rPr>
            </w:pPr>
            <w:r>
              <w:rPr>
                <w:rFonts w:ascii="Arial" w:cs="Arial" w:eastAsia="Arial" w:hAnsi="Arial"/>
                <w:sz w:val="12"/>
                <w:szCs w:val="12"/>
                <w:color w:val="auto"/>
              </w:rPr>
              <w:t>17,562</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18,448</w:t>
            </w:r>
          </w:p>
        </w:tc>
      </w:tr>
      <w:tr>
        <w:trPr>
          <w:trHeight w:val="157"/>
        </w:trPr>
        <w:tc>
          <w:tcPr>
            <w:tcW w:w="79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Other securities which provide for periodic payments:</w:t>
            </w:r>
          </w:p>
        </w:tc>
        <w:tc>
          <w:tcPr>
            <w:tcW w:w="2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52"/>
        </w:trPr>
        <w:tc>
          <w:tcPr>
            <w:tcW w:w="7900" w:type="dxa"/>
            <w:vAlign w:val="bottom"/>
          </w:tcPr>
          <w:p>
            <w:pPr>
              <w:ind w:left="120"/>
              <w:spacing w:after="0"/>
              <w:rPr>
                <w:sz w:val="20"/>
                <w:szCs w:val="20"/>
                <w:color w:val="auto"/>
              </w:rPr>
            </w:pPr>
            <w:r>
              <w:rPr>
                <w:rFonts w:ascii="Arial" w:cs="Arial" w:eastAsia="Arial" w:hAnsi="Arial"/>
                <w:sz w:val="12"/>
                <w:szCs w:val="12"/>
                <w:color w:val="auto"/>
              </w:rPr>
              <w:t>Asset-backed securities</w:t>
            </w:r>
          </w:p>
        </w:tc>
        <w:tc>
          <w:tcPr>
            <w:tcW w:w="240" w:type="dxa"/>
            <w:vAlign w:val="bottom"/>
          </w:tcPr>
          <w:p>
            <w:pPr>
              <w:spacing w:after="0"/>
              <w:rPr>
                <w:sz w:val="13"/>
                <w:szCs w:val="13"/>
                <w:color w:val="auto"/>
              </w:rPr>
            </w:pPr>
          </w:p>
        </w:tc>
        <w:tc>
          <w:tcPr>
            <w:tcW w:w="1400" w:type="dxa"/>
            <w:vAlign w:val="bottom"/>
          </w:tcPr>
          <w:p>
            <w:pPr>
              <w:jc w:val="right"/>
              <w:ind w:right="1"/>
              <w:spacing w:after="0"/>
              <w:rPr>
                <w:sz w:val="20"/>
                <w:szCs w:val="20"/>
                <w:color w:val="auto"/>
              </w:rPr>
            </w:pPr>
            <w:r>
              <w:rPr>
                <w:rFonts w:ascii="Arial" w:cs="Arial" w:eastAsia="Arial" w:hAnsi="Arial"/>
                <w:sz w:val="12"/>
                <w:szCs w:val="12"/>
                <w:color w:val="auto"/>
              </w:rPr>
              <w:t>7,916</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8,190</w:t>
            </w:r>
          </w:p>
        </w:tc>
      </w:tr>
      <w:tr>
        <w:trPr>
          <w:trHeight w:val="15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Commercial mortgage-backed securities</w:t>
            </w:r>
          </w:p>
        </w:tc>
        <w:tc>
          <w:tcPr>
            <w:tcW w:w="24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2,619</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3,024</w:t>
            </w:r>
          </w:p>
        </w:tc>
      </w:tr>
      <w:tr>
        <w:trPr>
          <w:trHeight w:val="152"/>
        </w:trPr>
        <w:tc>
          <w:tcPr>
            <w:tcW w:w="7900" w:type="dxa"/>
            <w:vAlign w:val="bottom"/>
          </w:tcPr>
          <w:p>
            <w:pPr>
              <w:ind w:left="120"/>
              <w:spacing w:after="0"/>
              <w:rPr>
                <w:sz w:val="20"/>
                <w:szCs w:val="20"/>
                <w:color w:val="auto"/>
              </w:rPr>
            </w:pPr>
            <w:r>
              <w:rPr>
                <w:rFonts w:ascii="Arial" w:cs="Arial" w:eastAsia="Arial" w:hAnsi="Arial"/>
                <w:sz w:val="12"/>
                <w:szCs w:val="12"/>
                <w:color w:val="auto"/>
              </w:rPr>
              <w:t>Structured hybrids</w:t>
            </w:r>
          </w:p>
        </w:tc>
        <w:tc>
          <w:tcPr>
            <w:tcW w:w="240" w:type="dxa"/>
            <w:vAlign w:val="bottom"/>
          </w:tcPr>
          <w:p>
            <w:pPr>
              <w:spacing w:after="0"/>
              <w:rPr>
                <w:sz w:val="13"/>
                <w:szCs w:val="13"/>
                <w:color w:val="auto"/>
              </w:rPr>
            </w:pPr>
          </w:p>
        </w:tc>
        <w:tc>
          <w:tcPr>
            <w:tcW w:w="1400" w:type="dxa"/>
            <w:vAlign w:val="bottom"/>
          </w:tcPr>
          <w:p>
            <w:pPr>
              <w:jc w:val="right"/>
              <w:ind w:right="1"/>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32</w:t>
            </w:r>
          </w:p>
        </w:tc>
      </w:tr>
      <w:tr>
        <w:trPr>
          <w:trHeight w:val="15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Residential mortgage-backed securities</w:t>
            </w:r>
          </w:p>
        </w:tc>
        <w:tc>
          <w:tcPr>
            <w:tcW w:w="24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714</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741</w:t>
            </w:r>
          </w:p>
        </w:tc>
      </w:tr>
      <w:tr>
        <w:trPr>
          <w:trHeight w:val="143"/>
        </w:trPr>
        <w:tc>
          <w:tcPr>
            <w:tcW w:w="7900" w:type="dxa"/>
            <w:vAlign w:val="bottom"/>
            <w:tcBorders>
              <w:bottom w:val="single" w:sz="8" w:color="CCEEFF"/>
            </w:tcBorders>
          </w:tcPr>
          <w:p>
            <w:pPr>
              <w:ind w:left="280"/>
              <w:spacing w:after="0" w:line="136" w:lineRule="exact"/>
              <w:rPr>
                <w:sz w:val="20"/>
                <w:szCs w:val="20"/>
                <w:color w:val="auto"/>
              </w:rPr>
            </w:pPr>
            <w:r>
              <w:rPr>
                <w:rFonts w:ascii="Arial" w:cs="Arial" w:eastAsia="Arial" w:hAnsi="Arial"/>
                <w:sz w:val="12"/>
                <w:szCs w:val="12"/>
                <w:b w:val="1"/>
                <w:bCs w:val="1"/>
                <w:color w:val="auto"/>
              </w:rPr>
              <w:t>Subtotal</w:t>
            </w:r>
          </w:p>
        </w:tc>
        <w:tc>
          <w:tcPr>
            <w:tcW w:w="2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11,275</w:t>
            </w: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11,987</w:t>
            </w:r>
          </w:p>
        </w:tc>
      </w:tr>
      <w:tr>
        <w:trPr>
          <w:trHeight w:val="173"/>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b w:val="1"/>
                <w:bCs w:val="1"/>
                <w:color w:val="auto"/>
              </w:rPr>
              <w:t>Total fixed maturity available-for-sale securities</w:t>
            </w:r>
          </w:p>
        </w:tc>
        <w:tc>
          <w:tcPr>
            <w:tcW w:w="2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28,837</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30,435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Allowance for Expected Credit Loss</w:t>
      </w:r>
    </w:p>
    <w:p>
      <w:pPr>
        <w:spacing w:after="0" w:line="115" w:lineRule="exact"/>
        <w:rPr>
          <w:sz w:val="20"/>
          <w:szCs w:val="20"/>
          <w:color w:val="auto"/>
        </w:rPr>
      </w:pPr>
    </w:p>
    <w:p>
      <w:pPr>
        <w:jc w:val="both"/>
        <w:ind w:firstLine="265"/>
        <w:spacing w:after="0" w:line="266" w:lineRule="auto"/>
        <w:rPr>
          <w:sz w:val="20"/>
          <w:szCs w:val="20"/>
          <w:color w:val="auto"/>
        </w:rPr>
      </w:pPr>
      <w:r>
        <w:rPr>
          <w:rFonts w:ascii="Arial" w:cs="Arial" w:eastAsia="Arial" w:hAnsi="Arial"/>
          <w:sz w:val="15"/>
          <w:szCs w:val="15"/>
          <w:color w:val="auto"/>
        </w:rPr>
        <w:t>We regularly review available for sale ("AFS") securities for declines in fair value that we determine to be credit related. For our fixed maturity securities, we generally consider the following in determining whether our unrealized losses are credit related, and if so, the magnitude of the credit loss:</w:t>
      </w:r>
    </w:p>
    <w:p>
      <w:pPr>
        <w:spacing w:after="0" w:line="70" w:lineRule="exact"/>
        <w:rPr>
          <w:sz w:val="20"/>
          <w:szCs w:val="20"/>
          <w:color w:val="auto"/>
        </w:rPr>
      </w:pPr>
    </w:p>
    <w:p>
      <w:pPr>
        <w:ind w:left="540" w:hanging="26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extent to which the fair value is less than the amortized cost basis;</w:t>
      </w:r>
    </w:p>
    <w:p>
      <w:pPr>
        <w:spacing w:after="0" w:line="103" w:lineRule="exact"/>
        <w:rPr>
          <w:rFonts w:ascii="Arial" w:cs="Arial" w:eastAsia="Arial" w:hAnsi="Arial"/>
          <w:sz w:val="15"/>
          <w:szCs w:val="15"/>
          <w:color w:val="auto"/>
        </w:rPr>
      </w:pPr>
    </w:p>
    <w:p>
      <w:pPr>
        <w:ind w:left="540" w:hanging="26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reasons for the decline in value (credit event, currency or interest-rate related, including general credit spread widening);</w:t>
      </w:r>
    </w:p>
    <w:p>
      <w:pPr>
        <w:spacing w:after="0" w:line="114" w:lineRule="exact"/>
        <w:rPr>
          <w:rFonts w:ascii="Arial" w:cs="Arial" w:eastAsia="Arial" w:hAnsi="Arial"/>
          <w:sz w:val="15"/>
          <w:szCs w:val="15"/>
          <w:color w:val="auto"/>
        </w:rPr>
      </w:pPr>
    </w:p>
    <w:p>
      <w:pPr>
        <w:ind w:left="540" w:hanging="267"/>
        <w:spacing w:after="0" w:line="266" w:lineRule="auto"/>
        <w:tabs>
          <w:tab w:leader="none" w:pos="536"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financial condition of and near-term prospects of the issuer (including issuer's current credit rating and the probability of full recovery of principal based upon the issuer's financial strength);</w:t>
      </w:r>
    </w:p>
    <w:p>
      <w:pPr>
        <w:spacing w:after="0" w:line="70" w:lineRule="exact"/>
        <w:rPr>
          <w:rFonts w:ascii="Arial" w:cs="Arial" w:eastAsia="Arial" w:hAnsi="Arial"/>
          <w:sz w:val="15"/>
          <w:szCs w:val="15"/>
          <w:color w:val="auto"/>
        </w:rPr>
      </w:pPr>
    </w:p>
    <w:p>
      <w:pPr>
        <w:ind w:left="540" w:hanging="26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Delinquencies and nonperforming assets of underlying collateral;</w:t>
      </w:r>
    </w:p>
    <w:p>
      <w:pPr>
        <w:spacing w:after="0" w:line="103" w:lineRule="exact"/>
        <w:rPr>
          <w:rFonts w:ascii="Arial" w:cs="Arial" w:eastAsia="Arial" w:hAnsi="Arial"/>
          <w:sz w:val="15"/>
          <w:szCs w:val="15"/>
          <w:color w:val="auto"/>
        </w:rPr>
      </w:pPr>
    </w:p>
    <w:p>
      <w:pPr>
        <w:ind w:left="540" w:hanging="26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Expected future default rates;</w:t>
      </w:r>
    </w:p>
    <w:p>
      <w:pPr>
        <w:spacing w:after="0" w:line="114" w:lineRule="exact"/>
        <w:rPr>
          <w:rFonts w:ascii="Arial" w:cs="Arial" w:eastAsia="Arial" w:hAnsi="Arial"/>
          <w:sz w:val="15"/>
          <w:szCs w:val="15"/>
          <w:color w:val="auto"/>
        </w:rPr>
      </w:pPr>
    </w:p>
    <w:p>
      <w:pPr>
        <w:ind w:left="540" w:hanging="26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Collateral value by vintage, geographic region, industry concentration or property type;</w:t>
      </w:r>
    </w:p>
    <w:p>
      <w:pPr>
        <w:spacing w:after="0" w:line="103" w:lineRule="exact"/>
        <w:rPr>
          <w:rFonts w:ascii="Arial" w:cs="Arial" w:eastAsia="Arial" w:hAnsi="Arial"/>
          <w:sz w:val="15"/>
          <w:szCs w:val="15"/>
          <w:color w:val="auto"/>
        </w:rPr>
      </w:pPr>
    </w:p>
    <w:p>
      <w:pPr>
        <w:ind w:left="540" w:hanging="26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Subordination levels or other credit enhancements as of the balance sheet date as compared to origination; and</w:t>
      </w:r>
    </w:p>
    <w:p>
      <w:pPr>
        <w:spacing w:after="0" w:line="103" w:lineRule="exact"/>
        <w:rPr>
          <w:rFonts w:ascii="Arial" w:cs="Arial" w:eastAsia="Arial" w:hAnsi="Arial"/>
          <w:sz w:val="15"/>
          <w:szCs w:val="15"/>
          <w:color w:val="auto"/>
        </w:rPr>
      </w:pPr>
    </w:p>
    <w:p>
      <w:pPr>
        <w:ind w:left="540" w:hanging="26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Contractual and regulatory cash obligations and the issuer's plans to meet such obligations.</w:t>
      </w:r>
    </w:p>
    <w:p>
      <w:pPr>
        <w:spacing w:after="0" w:line="115" w:lineRule="exact"/>
        <w:rPr>
          <w:sz w:val="20"/>
          <w:szCs w:val="20"/>
          <w:color w:val="auto"/>
        </w:rPr>
      </w:pPr>
    </w:p>
    <w:p>
      <w:pPr>
        <w:jc w:val="both"/>
        <w:ind w:firstLine="265"/>
        <w:spacing w:after="0" w:line="271" w:lineRule="auto"/>
        <w:rPr>
          <w:sz w:val="20"/>
          <w:szCs w:val="20"/>
          <w:color w:val="auto"/>
        </w:rPr>
      </w:pPr>
      <w:r>
        <w:rPr>
          <w:rFonts w:ascii="Arial" w:cs="Arial" w:eastAsia="Arial" w:hAnsi="Arial"/>
          <w:sz w:val="14"/>
          <w:szCs w:val="14"/>
          <w:color w:val="auto"/>
        </w:rPr>
        <w:t>We recognize an allowance for expected credit losses on fixed maturity securities in an unrealized loss position when it is determined, using the factors discussed above, a component of the unrealized loss is related to credit. We measure the credit loss using a discounted cash flow model that utilizes the single best estimate cash flow and the recognized credit loss is limited to the total unrealized loss on the security (i.e. the fair value floor). Cash flows are discounted using the implicit yield of bonds at their time of purchase and the current book yield for asset and mortgage backed securities as well as variable rate securities. We recognize the expected credit losses in Recognized gains and losses, net in the Consolidated Statements of Earnings, with an offset for the amount of non-credit impairments recognized in AOCI. We do not measure a credit loss allowance on accrued investment income because we write-off accrued interest through to interest and investment income when collectability concerns arise.</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We consider the following in determining whether write-offs of a security’s amortized cost is necessary:</w:t>
      </w:r>
    </w:p>
    <w:p>
      <w:pPr>
        <w:spacing w:after="0" w:line="104" w:lineRule="exact"/>
        <w:rPr>
          <w:sz w:val="20"/>
          <w:szCs w:val="20"/>
          <w:color w:val="auto"/>
        </w:rPr>
      </w:pPr>
    </w:p>
    <w:p>
      <w:pPr>
        <w:ind w:left="580" w:hanging="240"/>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believe amounts related to securities have become uncollectible; or</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1" w:name="page32"/>
    <w:bookmarkEnd w:id="3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80" w:hanging="240"/>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intend to sell a security; or</w:t>
      </w:r>
    </w:p>
    <w:p>
      <w:pPr>
        <w:spacing w:after="0" w:line="114" w:lineRule="exact"/>
        <w:rPr>
          <w:rFonts w:ascii="Arial" w:cs="Arial" w:eastAsia="Arial" w:hAnsi="Arial"/>
          <w:sz w:val="15"/>
          <w:szCs w:val="15"/>
          <w:color w:val="auto"/>
        </w:rPr>
      </w:pPr>
    </w:p>
    <w:p>
      <w:pPr>
        <w:ind w:left="580" w:hanging="240"/>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It is more likely than not that we will be required to sell a security prior to recovery.</w:t>
      </w:r>
    </w:p>
    <w:p>
      <w:pPr>
        <w:spacing w:after="0" w:line="104" w:lineRule="exact"/>
        <w:rPr>
          <w:sz w:val="20"/>
          <w:szCs w:val="20"/>
          <w:color w:val="auto"/>
        </w:rPr>
      </w:pPr>
    </w:p>
    <w:p>
      <w:pPr>
        <w:jc w:val="both"/>
        <w:ind w:right="80" w:firstLine="331"/>
        <w:spacing w:after="0" w:line="249" w:lineRule="auto"/>
        <w:rPr>
          <w:sz w:val="20"/>
          <w:szCs w:val="20"/>
          <w:color w:val="auto"/>
        </w:rPr>
      </w:pPr>
      <w:r>
        <w:rPr>
          <w:rFonts w:ascii="Arial" w:cs="Arial" w:eastAsia="Arial" w:hAnsi="Arial"/>
          <w:sz w:val="15"/>
          <w:szCs w:val="15"/>
          <w:color w:val="auto"/>
        </w:rPr>
        <w:t>If we intend to sell a fixed maturity security or it is more likely than not that we will be required to sell the security before recovery of its amortized cost basis and the fair value of the security is below amortized cost, we will write down the security to current fair value, with a corresponding charge, net of any amount previously recognized as an allowance for expected credit loss, to Recognized gains and losses, net in the accompanying Consolidated Statements of Earnings. If we do not intend to sell a fixed maturity security or it is more likely than not that we will not be required to sell a fixed maturity security before recovery of its amortized cost basis but believe amounts related to a security are uncollectible (generally based on proximity to expected credit loss), an impairment is deemed to have occurred and the amortized cost is written down to the estimated recovery value with a corresponding charge, net of any amount previously recognized as an allowance for expected credit loss, to Recognized gains and losses, net in the accompanying Consolidated Statements of Earnings. The remainder of unrealized loss is held in AOCI.</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activity in the allowance for expected credit losses of available-for-sale securities aggregated by investment category were as follows for the three and nine-month periods ended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2021 (in millions):</w:t>
      </w:r>
    </w:p>
    <w:p>
      <w:pPr>
        <w:sectPr>
          <w:pgSz w:w="11900" w:h="16838" w:orient="portrait"/>
          <w:cols w:equalWidth="0" w:num="1">
            <w:col w:w="11360"/>
          </w:cols>
          <w:pgMar w:left="300" w:top="12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60" w:right="100" w:firstLine="331"/>
        <w:spacing w:after="0" w:line="253" w:lineRule="auto"/>
        <w:rPr>
          <w:sz w:val="20"/>
          <w:szCs w:val="20"/>
          <w:color w:val="auto"/>
        </w:rPr>
      </w:pPr>
      <w:r>
        <w:rPr>
          <w:rFonts w:ascii="Arial" w:cs="Arial" w:eastAsia="Arial" w:hAnsi="Arial"/>
          <w:sz w:val="11"/>
          <w:szCs w:val="11"/>
          <w:b w:val="1"/>
          <w:bCs w:val="1"/>
          <w:color w:val="auto"/>
        </w:rPr>
        <w:t>Available-for-sale securities</w:t>
      </w:r>
    </w:p>
    <w:p>
      <w:pPr>
        <w:ind w:left="360" w:right="160" w:firstLine="331"/>
        <w:spacing w:after="0" w:line="225" w:lineRule="auto"/>
        <w:rPr>
          <w:sz w:val="20"/>
          <w:szCs w:val="20"/>
          <w:color w:val="auto"/>
        </w:rPr>
      </w:pPr>
      <w:r>
        <w:rPr>
          <w:rFonts w:ascii="Arial" w:cs="Arial" w:eastAsia="Arial" w:hAnsi="Arial"/>
          <w:sz w:val="12"/>
          <w:szCs w:val="12"/>
          <w:color w:val="auto"/>
        </w:rPr>
        <w:t>Asset-backed securities</w:t>
      </w:r>
    </w:p>
    <w:p>
      <w:pPr>
        <w:spacing w:after="0" w:line="6" w:lineRule="exact"/>
        <w:rPr>
          <w:sz w:val="20"/>
          <w:szCs w:val="20"/>
          <w:color w:val="auto"/>
        </w:rPr>
      </w:pPr>
    </w:p>
    <w:p>
      <w:pPr>
        <w:ind w:left="360" w:right="220" w:firstLine="331"/>
        <w:spacing w:after="0" w:line="290" w:lineRule="auto"/>
        <w:rPr>
          <w:sz w:val="20"/>
          <w:szCs w:val="20"/>
          <w:color w:val="auto"/>
        </w:rPr>
      </w:pPr>
      <w:r>
        <w:rPr>
          <w:rFonts w:ascii="Arial" w:cs="Arial" w:eastAsia="Arial" w:hAnsi="Arial"/>
          <w:sz w:val="9"/>
          <w:szCs w:val="9"/>
          <w:color w:val="auto"/>
        </w:rPr>
        <w:t>Commercial mortgage-backed securities</w:t>
      </w:r>
    </w:p>
    <w:p>
      <w:pPr>
        <w:ind w:left="680"/>
        <w:spacing w:after="0"/>
        <w:rPr>
          <w:sz w:val="20"/>
          <w:szCs w:val="20"/>
          <w:color w:val="auto"/>
        </w:rPr>
      </w:pPr>
      <w:r>
        <w:rPr>
          <w:rFonts w:ascii="Arial" w:cs="Arial" w:eastAsia="Arial" w:hAnsi="Arial"/>
          <w:sz w:val="12"/>
          <w:szCs w:val="12"/>
          <w:color w:val="auto"/>
        </w:rPr>
        <w:t>Corporates</w:t>
      </w:r>
    </w:p>
    <w:p>
      <w:pPr>
        <w:spacing w:after="0" w:line="17" w:lineRule="exact"/>
        <w:rPr>
          <w:sz w:val="20"/>
          <w:szCs w:val="20"/>
          <w:color w:val="auto"/>
        </w:rPr>
      </w:pPr>
    </w:p>
    <w:p>
      <w:pPr>
        <w:jc w:val="both"/>
        <w:ind w:left="360" w:right="260" w:firstLine="331"/>
        <w:spacing w:after="0" w:line="288" w:lineRule="auto"/>
        <w:rPr>
          <w:sz w:val="20"/>
          <w:szCs w:val="20"/>
          <w:color w:val="auto"/>
        </w:rPr>
      </w:pPr>
      <w:r>
        <w:rPr>
          <w:rFonts w:ascii="Arial" w:cs="Arial" w:eastAsia="Arial" w:hAnsi="Arial"/>
          <w:sz w:val="9"/>
          <w:szCs w:val="9"/>
          <w:color w:val="auto"/>
        </w:rPr>
        <w:t>Residential mortgage-backed securities</w:t>
      </w:r>
    </w:p>
    <w:p>
      <w:pPr>
        <w:ind w:left="960"/>
        <w:spacing w:after="0" w:line="214" w:lineRule="auto"/>
        <w:rPr>
          <w:sz w:val="20"/>
          <w:szCs w:val="20"/>
          <w:color w:val="auto"/>
        </w:rPr>
      </w:pPr>
      <w:r>
        <w:rPr>
          <w:rFonts w:ascii="Arial" w:cs="Arial" w:eastAsia="Arial" w:hAnsi="Arial"/>
          <w:sz w:val="12"/>
          <w:szCs w:val="12"/>
          <w:b w:val="1"/>
          <w:bCs w:val="1"/>
          <w:color w:val="auto"/>
        </w:rPr>
        <w:t>Total</w:t>
      </w:r>
    </w:p>
    <w:p>
      <w:pPr>
        <w:ind w:left="620"/>
        <w:spacing w:after="0"/>
        <w:rPr>
          <w:sz w:val="20"/>
          <w:szCs w:val="20"/>
          <w:color w:val="auto"/>
        </w:rPr>
      </w:pPr>
      <w:r>
        <w:rPr>
          <w:rFonts w:ascii="Arial" w:cs="Arial" w:eastAsia="Arial" w:hAnsi="Arial"/>
          <w:sz w:val="9"/>
          <w:szCs w:val="9"/>
          <w:b w:val="1"/>
          <w:bCs w:val="1"/>
          <w:color w:val="auto"/>
        </w:rPr>
        <w:t>available-for-sale</w:t>
      </w:r>
    </w:p>
    <w:p>
      <w:pPr>
        <w:spacing w:after="0" w:line="7" w:lineRule="exact"/>
        <w:rPr>
          <w:sz w:val="20"/>
          <w:szCs w:val="20"/>
          <w:color w:val="auto"/>
        </w:rPr>
      </w:pPr>
    </w:p>
    <w:p>
      <w:pPr>
        <w:ind w:left="620"/>
        <w:spacing w:after="0"/>
        <w:rPr>
          <w:sz w:val="20"/>
          <w:szCs w:val="20"/>
          <w:color w:val="auto"/>
        </w:rPr>
      </w:pPr>
      <w:r>
        <w:rPr>
          <w:rFonts w:ascii="Arial" w:cs="Arial" w:eastAsia="Arial" w:hAnsi="Arial"/>
          <w:sz w:val="12"/>
          <w:szCs w:val="12"/>
          <w:b w:val="1"/>
          <w:bCs w:val="1"/>
          <w:color w:val="auto"/>
        </w:rPr>
        <w:t>securities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0" w:type="dxa"/>
            <w:vAlign w:val="bottom"/>
            <w:gridSpan w:val="5"/>
          </w:tcPr>
          <w:p>
            <w:pPr>
              <w:jc w:val="right"/>
              <w:ind w:right="621"/>
              <w:spacing w:after="0"/>
              <w:rPr>
                <w:sz w:val="20"/>
                <w:szCs w:val="20"/>
                <w:color w:val="auto"/>
              </w:rPr>
            </w:pPr>
            <w:r>
              <w:rPr>
                <w:rFonts w:ascii="Arial" w:cs="Arial" w:eastAsia="Arial" w:hAnsi="Arial"/>
                <w:sz w:val="12"/>
                <w:szCs w:val="12"/>
                <w:b w:val="1"/>
                <w:bCs w:val="1"/>
                <w:color w:val="auto"/>
              </w:rPr>
              <w:t>Three Months Ended September 30, 2021</w:t>
            </w: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w w:val="93"/>
              </w:rPr>
              <w:t>Additions</w:t>
            </w: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41"/>
              <w:spacing w:after="0"/>
              <w:rPr>
                <w:sz w:val="20"/>
                <w:szCs w:val="20"/>
                <w:color w:val="auto"/>
              </w:rPr>
            </w:pPr>
            <w:r>
              <w:rPr>
                <w:rFonts w:ascii="Arial" w:cs="Arial" w:eastAsia="Arial" w:hAnsi="Arial"/>
                <w:sz w:val="12"/>
                <w:szCs w:val="12"/>
                <w:b w:val="1"/>
                <w:bCs w:val="1"/>
                <w:color w:val="auto"/>
                <w:w w:val="97"/>
              </w:rPr>
              <w:t>Reductions</w:t>
            </w:r>
          </w:p>
        </w:tc>
        <w:tc>
          <w:tcPr>
            <w:tcW w:w="4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For credit</w:t>
            </w:r>
          </w:p>
        </w:tc>
        <w:tc>
          <w:tcPr>
            <w:tcW w:w="440" w:type="dxa"/>
            <w:vAlign w:val="bottom"/>
          </w:tcPr>
          <w:p>
            <w:pPr>
              <w:spacing w:after="0"/>
              <w:rPr>
                <w:sz w:val="9"/>
                <w:szCs w:val="9"/>
                <w:color w:val="auto"/>
              </w:rPr>
            </w:pPr>
          </w:p>
        </w:tc>
        <w:tc>
          <w:tcPr>
            <w:tcW w:w="700" w:type="dxa"/>
            <w:vAlign w:val="bottom"/>
          </w:tcPr>
          <w:p>
            <w:pPr>
              <w:ind w:left="20"/>
              <w:spacing w:after="0" w:line="107" w:lineRule="exact"/>
              <w:rPr>
                <w:sz w:val="20"/>
                <w:szCs w:val="20"/>
                <w:color w:val="auto"/>
              </w:rPr>
            </w:pPr>
            <w:r>
              <w:rPr>
                <w:rFonts w:ascii="Arial" w:cs="Arial" w:eastAsia="Arial" w:hAnsi="Arial"/>
                <w:sz w:val="12"/>
                <w:szCs w:val="12"/>
                <w:b w:val="1"/>
                <w:bCs w:val="1"/>
                <w:color w:val="auto"/>
              </w:rPr>
              <w:t>For initial</w:t>
            </w:r>
          </w:p>
        </w:tc>
        <w:tc>
          <w:tcPr>
            <w:tcW w:w="440" w:type="dxa"/>
            <w:vAlign w:val="bottom"/>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gridSpan w:val="2"/>
          </w:tcPr>
          <w:p>
            <w:pPr>
              <w:jc w:val="center"/>
              <w:spacing w:after="0" w:line="111" w:lineRule="exact"/>
              <w:rPr>
                <w:sz w:val="20"/>
                <w:szCs w:val="20"/>
                <w:color w:val="auto"/>
              </w:rPr>
            </w:pPr>
            <w:r>
              <w:rPr>
                <w:rFonts w:ascii="Arial" w:cs="Arial" w:eastAsia="Arial" w:hAnsi="Arial"/>
                <w:sz w:val="12"/>
                <w:szCs w:val="12"/>
                <w:b w:val="1"/>
                <w:bCs w:val="1"/>
                <w:color w:val="auto"/>
                <w:w w:val="80"/>
              </w:rPr>
              <w:t>credit losses on</w:t>
            </w:r>
          </w:p>
        </w:tc>
        <w:tc>
          <w:tcPr>
            <w:tcW w:w="440" w:type="dxa"/>
            <w:vAlign w:val="bottom"/>
          </w:tcPr>
          <w:p>
            <w:pPr>
              <w:spacing w:after="0"/>
              <w:rPr>
                <w:sz w:val="9"/>
                <w:szCs w:val="9"/>
                <w:color w:val="auto"/>
              </w:rPr>
            </w:pPr>
          </w:p>
        </w:tc>
        <w:tc>
          <w:tcPr>
            <w:tcW w:w="880" w:type="dxa"/>
            <w:vAlign w:val="bottom"/>
            <w:tcBorders>
              <w:right w:val="single" w:sz="8" w:color="auto"/>
            </w:tcBorders>
            <w:vMerge w:val="restart"/>
          </w:tcPr>
          <w:p>
            <w:pPr>
              <w:jc w:val="right"/>
              <w:ind w:right="181"/>
              <w:spacing w:after="0"/>
              <w:rPr>
                <w:sz w:val="20"/>
                <w:szCs w:val="20"/>
                <w:color w:val="auto"/>
              </w:rPr>
            </w:pPr>
            <w:r>
              <w:rPr>
                <w:rFonts w:ascii="Arial" w:cs="Arial" w:eastAsia="Arial" w:hAnsi="Arial"/>
                <w:sz w:val="12"/>
                <w:szCs w:val="12"/>
                <w:b w:val="1"/>
                <w:bCs w:val="1"/>
                <w:color w:val="auto"/>
                <w:w w:val="97"/>
              </w:rPr>
              <w:t>(Additions)</w:t>
            </w: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vMerge w:val="restart"/>
          </w:tcPr>
          <w:p>
            <w:pPr>
              <w:jc w:val="right"/>
              <w:ind w:right="81"/>
              <w:spacing w:after="0"/>
              <w:rPr>
                <w:sz w:val="20"/>
                <w:szCs w:val="20"/>
                <w:color w:val="auto"/>
              </w:rPr>
            </w:pPr>
            <w:r>
              <w:rPr>
                <w:rFonts w:ascii="Arial" w:cs="Arial" w:eastAsia="Arial" w:hAnsi="Arial"/>
                <w:sz w:val="12"/>
                <w:szCs w:val="12"/>
                <w:b w:val="1"/>
                <w:bCs w:val="1"/>
                <w:color w:val="auto"/>
                <w:w w:val="88"/>
              </w:rPr>
              <w:t>For securities</w:t>
            </w: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gridSpan w:val="2"/>
          </w:tcPr>
          <w:p>
            <w:pPr>
              <w:jc w:val="center"/>
              <w:spacing w:after="0" w:line="111" w:lineRule="exact"/>
              <w:rPr>
                <w:sz w:val="20"/>
                <w:szCs w:val="20"/>
                <w:color w:val="auto"/>
              </w:rPr>
            </w:pPr>
            <w:r>
              <w:rPr>
                <w:rFonts w:ascii="Arial" w:cs="Arial" w:eastAsia="Arial" w:hAnsi="Arial"/>
                <w:sz w:val="12"/>
                <w:szCs w:val="12"/>
                <w:b w:val="1"/>
                <w:bCs w:val="1"/>
                <w:color w:val="auto"/>
                <w:w w:val="81"/>
              </w:rPr>
              <w:t>losses on securities</w:t>
            </w:r>
          </w:p>
        </w:tc>
        <w:tc>
          <w:tcPr>
            <w:tcW w:w="1140" w:type="dxa"/>
            <w:vAlign w:val="bottom"/>
            <w:gridSpan w:val="2"/>
          </w:tcPr>
          <w:p>
            <w:pPr>
              <w:jc w:val="center"/>
              <w:spacing w:after="0" w:line="111" w:lineRule="exact"/>
              <w:rPr>
                <w:sz w:val="20"/>
                <w:szCs w:val="20"/>
                <w:color w:val="auto"/>
              </w:rPr>
            </w:pPr>
            <w:r>
              <w:rPr>
                <w:rFonts w:ascii="Arial" w:cs="Arial" w:eastAsia="Arial" w:hAnsi="Arial"/>
                <w:sz w:val="12"/>
                <w:szCs w:val="12"/>
                <w:b w:val="1"/>
                <w:bCs w:val="1"/>
                <w:color w:val="auto"/>
                <w:w w:val="84"/>
              </w:rPr>
              <w:t>purchased securities</w:t>
            </w:r>
          </w:p>
        </w:tc>
        <w:tc>
          <w:tcPr>
            <w:tcW w:w="440" w:type="dxa"/>
            <w:vAlign w:val="bottom"/>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For</w:t>
            </w:r>
          </w:p>
        </w:tc>
        <w:tc>
          <w:tcPr>
            <w:tcW w:w="4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vMerge w:val="restart"/>
          </w:tcPr>
          <w:p>
            <w:pPr>
              <w:jc w:val="right"/>
              <w:ind w:right="41"/>
              <w:spacing w:after="0"/>
              <w:rPr>
                <w:sz w:val="20"/>
                <w:szCs w:val="20"/>
                <w:color w:val="auto"/>
              </w:rPr>
            </w:pPr>
            <w:r>
              <w:rPr>
                <w:rFonts w:ascii="Arial" w:cs="Arial" w:eastAsia="Arial" w:hAnsi="Arial"/>
                <w:sz w:val="12"/>
                <w:szCs w:val="12"/>
                <w:b w:val="1"/>
                <w:bCs w:val="1"/>
                <w:color w:val="auto"/>
                <w:w w:val="89"/>
              </w:rPr>
              <w:t>Write-offs</w:t>
            </w:r>
          </w:p>
        </w:tc>
        <w:tc>
          <w:tcPr>
            <w:tcW w:w="1140" w:type="dxa"/>
            <w:vAlign w:val="bottom"/>
            <w:gridSpan w:val="2"/>
            <w:vMerge w:val="restart"/>
          </w:tcPr>
          <w:p>
            <w:pPr>
              <w:ind w:left="360"/>
              <w:spacing w:after="0"/>
              <w:rPr>
                <w:sz w:val="20"/>
                <w:szCs w:val="20"/>
                <w:color w:val="auto"/>
              </w:rPr>
            </w:pPr>
            <w:r>
              <w:rPr>
                <w:rFonts w:ascii="Arial" w:cs="Arial" w:eastAsia="Arial" w:hAnsi="Arial"/>
                <w:sz w:val="12"/>
                <w:szCs w:val="12"/>
                <w:b w:val="1"/>
                <w:bCs w:val="1"/>
                <w:color w:val="auto"/>
                <w:w w:val="96"/>
              </w:rPr>
              <w:t>Recoveries of</w:t>
            </w: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420" w:type="dxa"/>
            <w:vAlign w:val="bottom"/>
          </w:tcPr>
          <w:p>
            <w:pPr>
              <w:spacing w:after="0"/>
              <w:rPr>
                <w:sz w:val="9"/>
                <w:szCs w:val="9"/>
                <w:color w:val="auto"/>
              </w:rPr>
            </w:pPr>
          </w:p>
        </w:tc>
        <w:tc>
          <w:tcPr>
            <w:tcW w:w="680" w:type="dxa"/>
            <w:vAlign w:val="bottom"/>
            <w:vMerge w:val="restart"/>
          </w:tcPr>
          <w:p>
            <w:pPr>
              <w:jc w:val="right"/>
              <w:ind w:right="61"/>
              <w:spacing w:after="0"/>
              <w:rPr>
                <w:sz w:val="20"/>
                <w:szCs w:val="20"/>
                <w:color w:val="auto"/>
              </w:rPr>
            </w:pPr>
            <w:r>
              <w:rPr>
                <w:rFonts w:ascii="Arial" w:cs="Arial" w:eastAsia="Arial" w:hAnsi="Arial"/>
                <w:sz w:val="12"/>
                <w:szCs w:val="12"/>
                <w:b w:val="1"/>
                <w:bCs w:val="1"/>
                <w:color w:val="auto"/>
                <w:w w:val="89"/>
              </w:rPr>
              <w:t>Balance at</w:t>
            </w:r>
          </w:p>
        </w:tc>
        <w:tc>
          <w:tcPr>
            <w:tcW w:w="1040" w:type="dxa"/>
            <w:vAlign w:val="bottom"/>
            <w:gridSpan w:val="2"/>
          </w:tcPr>
          <w:p>
            <w:pPr>
              <w:jc w:val="center"/>
              <w:spacing w:after="0" w:line="111" w:lineRule="exact"/>
              <w:rPr>
                <w:sz w:val="20"/>
                <w:szCs w:val="20"/>
                <w:color w:val="auto"/>
              </w:rPr>
            </w:pPr>
            <w:r>
              <w:rPr>
                <w:rFonts w:ascii="Arial" w:cs="Arial" w:eastAsia="Arial" w:hAnsi="Arial"/>
                <w:sz w:val="12"/>
                <w:szCs w:val="12"/>
                <w:b w:val="1"/>
                <w:bCs w:val="1"/>
                <w:color w:val="auto"/>
                <w:w w:val="82"/>
              </w:rPr>
              <w:t>for which losses</w:t>
            </w:r>
          </w:p>
        </w:tc>
        <w:tc>
          <w:tcPr>
            <w:tcW w:w="1140" w:type="dxa"/>
            <w:vAlign w:val="bottom"/>
            <w:gridSpan w:val="2"/>
          </w:tcPr>
          <w:p>
            <w:pPr>
              <w:jc w:val="center"/>
              <w:spacing w:after="0" w:line="111" w:lineRule="exact"/>
              <w:rPr>
                <w:sz w:val="20"/>
                <w:szCs w:val="20"/>
                <w:color w:val="auto"/>
              </w:rPr>
            </w:pPr>
            <w:r>
              <w:rPr>
                <w:rFonts w:ascii="Arial" w:cs="Arial" w:eastAsia="Arial" w:hAnsi="Arial"/>
                <w:sz w:val="12"/>
                <w:szCs w:val="12"/>
                <w:b w:val="1"/>
                <w:bCs w:val="1"/>
                <w:color w:val="auto"/>
                <w:w w:val="85"/>
              </w:rPr>
              <w:t>accounted for as</w:t>
            </w:r>
          </w:p>
        </w:tc>
        <w:tc>
          <w:tcPr>
            <w:tcW w:w="1320" w:type="dxa"/>
            <w:vAlign w:val="bottom"/>
            <w:tcBorders>
              <w:right w:val="single" w:sz="8" w:color="auto"/>
            </w:tcBorders>
            <w:gridSpan w:val="2"/>
          </w:tcPr>
          <w:p>
            <w:pPr>
              <w:jc w:val="center"/>
              <w:ind w:right="1"/>
              <w:spacing w:after="0" w:line="111" w:lineRule="exact"/>
              <w:rPr>
                <w:sz w:val="20"/>
                <w:szCs w:val="20"/>
                <w:color w:val="auto"/>
              </w:rPr>
            </w:pPr>
            <w:r>
              <w:rPr>
                <w:rFonts w:ascii="Arial" w:cs="Arial" w:eastAsia="Arial" w:hAnsi="Arial"/>
                <w:sz w:val="12"/>
                <w:szCs w:val="12"/>
                <w:b w:val="1"/>
                <w:bCs w:val="1"/>
                <w:color w:val="auto"/>
                <w:w w:val="86"/>
              </w:rPr>
              <w:t>reductions in allowance</w:t>
            </w:r>
          </w:p>
        </w:tc>
        <w:tc>
          <w:tcPr>
            <w:tcW w:w="4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320" w:type="dxa"/>
            <w:vAlign w:val="bottom"/>
            <w:gridSpan w:val="2"/>
          </w:tcPr>
          <w:p>
            <w:pPr>
              <w:jc w:val="right"/>
              <w:ind w:right="1"/>
              <w:spacing w:after="0" w:line="111" w:lineRule="exact"/>
              <w:rPr>
                <w:sz w:val="20"/>
                <w:szCs w:val="20"/>
                <w:color w:val="auto"/>
              </w:rPr>
            </w:pPr>
            <w:r>
              <w:rPr>
                <w:rFonts w:ascii="Arial" w:cs="Arial" w:eastAsia="Arial" w:hAnsi="Arial"/>
                <w:sz w:val="12"/>
                <w:szCs w:val="12"/>
                <w:b w:val="1"/>
                <w:bCs w:val="1"/>
                <w:color w:val="auto"/>
                <w:w w:val="92"/>
              </w:rPr>
              <w:t>intended/required to be</w:t>
            </w:r>
          </w:p>
        </w:tc>
        <w:tc>
          <w:tcPr>
            <w:tcW w:w="4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Balance</w:t>
            </w:r>
          </w:p>
        </w:tc>
        <w:tc>
          <w:tcPr>
            <w:tcW w:w="0" w:type="dxa"/>
            <w:vAlign w:val="bottom"/>
          </w:tcPr>
          <w:p>
            <w:pPr>
              <w:spacing w:after="0"/>
              <w:rPr>
                <w:sz w:val="1"/>
                <w:szCs w:val="1"/>
                <w:color w:val="auto"/>
              </w:rPr>
            </w:pPr>
          </w:p>
        </w:tc>
      </w:tr>
      <w:tr>
        <w:trPr>
          <w:trHeight w:val="110"/>
        </w:trPr>
        <w:tc>
          <w:tcPr>
            <w:tcW w:w="4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040" w:type="dxa"/>
            <w:vAlign w:val="bottom"/>
            <w:gridSpan w:val="2"/>
          </w:tcPr>
          <w:p>
            <w:pPr>
              <w:jc w:val="center"/>
              <w:spacing w:after="0" w:line="111" w:lineRule="exact"/>
              <w:rPr>
                <w:sz w:val="20"/>
                <w:szCs w:val="20"/>
                <w:color w:val="auto"/>
              </w:rPr>
            </w:pPr>
            <w:r>
              <w:rPr>
                <w:rFonts w:ascii="Arial" w:cs="Arial" w:eastAsia="Arial" w:hAnsi="Arial"/>
                <w:sz w:val="12"/>
                <w:szCs w:val="12"/>
                <w:b w:val="1"/>
                <w:bCs w:val="1"/>
                <w:color w:val="auto"/>
                <w:w w:val="86"/>
              </w:rPr>
              <w:t>were not previously</w:t>
            </w:r>
          </w:p>
        </w:tc>
        <w:tc>
          <w:tcPr>
            <w:tcW w:w="1140" w:type="dxa"/>
            <w:vAlign w:val="bottom"/>
            <w:gridSpan w:val="2"/>
          </w:tcPr>
          <w:p>
            <w:pPr>
              <w:jc w:val="center"/>
              <w:spacing w:after="0" w:line="111" w:lineRule="exact"/>
              <w:rPr>
                <w:sz w:val="20"/>
                <w:szCs w:val="20"/>
                <w:color w:val="auto"/>
              </w:rPr>
            </w:pPr>
            <w:r>
              <w:rPr>
                <w:rFonts w:ascii="Arial" w:cs="Arial" w:eastAsia="Arial" w:hAnsi="Arial"/>
                <w:sz w:val="12"/>
                <w:szCs w:val="12"/>
                <w:b w:val="1"/>
                <w:bCs w:val="1"/>
                <w:color w:val="auto"/>
                <w:w w:val="86"/>
              </w:rPr>
              <w:t>PCD financial assets</w:t>
            </w:r>
          </w:p>
        </w:tc>
        <w:tc>
          <w:tcPr>
            <w:tcW w:w="1320" w:type="dxa"/>
            <w:vAlign w:val="bottom"/>
            <w:tcBorders>
              <w:right w:val="single" w:sz="8" w:color="auto"/>
            </w:tcBorders>
            <w:gridSpan w:val="2"/>
          </w:tcPr>
          <w:p>
            <w:pPr>
              <w:jc w:val="center"/>
              <w:ind w:right="21"/>
              <w:spacing w:after="0" w:line="111" w:lineRule="exact"/>
              <w:rPr>
                <w:sz w:val="20"/>
                <w:szCs w:val="20"/>
                <w:color w:val="auto"/>
              </w:rPr>
            </w:pPr>
            <w:r>
              <w:rPr>
                <w:rFonts w:ascii="Arial" w:cs="Arial" w:eastAsia="Arial" w:hAnsi="Arial"/>
                <w:sz w:val="12"/>
                <w:szCs w:val="12"/>
                <w:b w:val="1"/>
                <w:bCs w:val="1"/>
                <w:color w:val="auto"/>
                <w:w w:val="87"/>
              </w:rPr>
              <w:t>recorded on previously</w:t>
            </w:r>
          </w:p>
        </w:tc>
        <w:tc>
          <w:tcPr>
            <w:tcW w:w="1000" w:type="dxa"/>
            <w:vAlign w:val="bottom"/>
            <w:gridSpan w:val="2"/>
          </w:tcPr>
          <w:p>
            <w:pPr>
              <w:jc w:val="center"/>
              <w:spacing w:after="0" w:line="111" w:lineRule="exact"/>
              <w:rPr>
                <w:sz w:val="20"/>
                <w:szCs w:val="20"/>
                <w:color w:val="auto"/>
              </w:rPr>
            </w:pPr>
            <w:r>
              <w:rPr>
                <w:rFonts w:ascii="Arial" w:cs="Arial" w:eastAsia="Arial" w:hAnsi="Arial"/>
                <w:sz w:val="12"/>
                <w:szCs w:val="12"/>
                <w:b w:val="1"/>
                <w:bCs w:val="1"/>
                <w:color w:val="auto"/>
                <w:w w:val="83"/>
              </w:rPr>
              <w:t>securities sold</w:t>
            </w:r>
          </w:p>
        </w:tc>
        <w:tc>
          <w:tcPr>
            <w:tcW w:w="1320" w:type="dxa"/>
            <w:vAlign w:val="bottom"/>
            <w:gridSpan w:val="2"/>
          </w:tcPr>
          <w:p>
            <w:pPr>
              <w:jc w:val="right"/>
              <w:spacing w:after="0" w:line="111" w:lineRule="exact"/>
              <w:rPr>
                <w:sz w:val="20"/>
                <w:szCs w:val="20"/>
                <w:color w:val="auto"/>
              </w:rPr>
            </w:pPr>
            <w:r>
              <w:rPr>
                <w:rFonts w:ascii="Arial" w:cs="Arial" w:eastAsia="Arial" w:hAnsi="Arial"/>
                <w:sz w:val="12"/>
                <w:szCs w:val="12"/>
                <w:b w:val="1"/>
                <w:bCs w:val="1"/>
                <w:color w:val="auto"/>
                <w:w w:val="91"/>
              </w:rPr>
              <w:t>sold prior to recovery of</w:t>
            </w:r>
          </w:p>
        </w:tc>
        <w:tc>
          <w:tcPr>
            <w:tcW w:w="1040" w:type="dxa"/>
            <w:vAlign w:val="bottom"/>
            <w:gridSpan w:val="2"/>
          </w:tcPr>
          <w:p>
            <w:pPr>
              <w:jc w:val="right"/>
              <w:spacing w:after="0" w:line="111" w:lineRule="exact"/>
              <w:rPr>
                <w:sz w:val="20"/>
                <w:szCs w:val="20"/>
                <w:color w:val="auto"/>
              </w:rPr>
            </w:pPr>
            <w:r>
              <w:rPr>
                <w:rFonts w:ascii="Arial" w:cs="Arial" w:eastAsia="Arial" w:hAnsi="Arial"/>
                <w:sz w:val="12"/>
                <w:szCs w:val="12"/>
                <w:b w:val="1"/>
                <w:bCs w:val="1"/>
                <w:color w:val="auto"/>
                <w:w w:val="88"/>
              </w:rPr>
              <w:t>charged against the</w:t>
            </w:r>
          </w:p>
        </w:tc>
        <w:tc>
          <w:tcPr>
            <w:tcW w:w="1140" w:type="dxa"/>
            <w:vAlign w:val="bottom"/>
            <w:gridSpan w:val="2"/>
          </w:tcPr>
          <w:p>
            <w:pPr>
              <w:jc w:val="center"/>
              <w:ind w:right="21"/>
              <w:spacing w:after="0" w:line="111" w:lineRule="exact"/>
              <w:rPr>
                <w:sz w:val="20"/>
                <w:szCs w:val="20"/>
                <w:color w:val="auto"/>
              </w:rPr>
            </w:pPr>
            <w:r>
              <w:rPr>
                <w:rFonts w:ascii="Arial" w:cs="Arial" w:eastAsia="Arial" w:hAnsi="Arial"/>
                <w:sz w:val="12"/>
                <w:szCs w:val="12"/>
                <w:b w:val="1"/>
                <w:bCs w:val="1"/>
                <w:color w:val="auto"/>
                <w:w w:val="86"/>
              </w:rPr>
              <w:t>amounts previously</w:t>
            </w: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10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2"/>
                <w:szCs w:val="12"/>
                <w:b w:val="1"/>
                <w:bCs w:val="1"/>
                <w:color w:val="auto"/>
                <w:w w:val="89"/>
              </w:rPr>
              <w:t>Beginning of Period</w:t>
            </w: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recorded</w:t>
            </w:r>
          </w:p>
        </w:tc>
        <w:tc>
          <w:tcPr>
            <w:tcW w:w="4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421"/>
              <w:spacing w:after="0"/>
              <w:rPr>
                <w:sz w:val="20"/>
                <w:szCs w:val="20"/>
                <w:color w:val="auto"/>
              </w:rPr>
            </w:pPr>
            <w:r>
              <w:rPr>
                <w:rFonts w:ascii="Arial" w:cs="Arial" w:eastAsia="Arial" w:hAnsi="Arial"/>
                <w:sz w:val="12"/>
                <w:szCs w:val="12"/>
                <w:b w:val="1"/>
                <w:bCs w:val="1"/>
                <w:color w:val="auto"/>
                <w:w w:val="95"/>
              </w:rPr>
              <w:t>(1)</w:t>
            </w:r>
          </w:p>
        </w:tc>
        <w:tc>
          <w:tcPr>
            <w:tcW w:w="1320" w:type="dxa"/>
            <w:vAlign w:val="bottom"/>
            <w:tcBorders>
              <w:bottom w:val="single" w:sz="8" w:color="auto"/>
              <w:right w:val="single" w:sz="8" w:color="auto"/>
            </w:tcBorders>
            <w:gridSpan w:val="2"/>
          </w:tcPr>
          <w:p>
            <w:pPr>
              <w:jc w:val="center"/>
              <w:ind w:right="21"/>
              <w:spacing w:after="0"/>
              <w:rPr>
                <w:sz w:val="20"/>
                <w:szCs w:val="20"/>
                <w:color w:val="auto"/>
              </w:rPr>
            </w:pPr>
            <w:r>
              <w:rPr>
                <w:rFonts w:ascii="Arial" w:cs="Arial" w:eastAsia="Arial" w:hAnsi="Arial"/>
                <w:sz w:val="12"/>
                <w:szCs w:val="12"/>
                <w:b w:val="1"/>
                <w:bCs w:val="1"/>
                <w:color w:val="auto"/>
                <w:w w:val="87"/>
              </w:rPr>
              <w:t>impaired securities</w:t>
            </w: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during the period</w:t>
            </w:r>
          </w:p>
        </w:tc>
        <w:tc>
          <w:tcPr>
            <w:tcW w:w="132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2"/>
                <w:szCs w:val="12"/>
                <w:b w:val="1"/>
                <w:bCs w:val="1"/>
                <w:color w:val="auto"/>
                <w:w w:val="97"/>
              </w:rPr>
              <w:t>amortized cost basis</w:t>
            </w:r>
          </w:p>
        </w:tc>
        <w:tc>
          <w:tcPr>
            <w:tcW w:w="1040" w:type="dxa"/>
            <w:vAlign w:val="bottom"/>
            <w:tcBorders>
              <w:bottom w:val="single" w:sz="8" w:color="auto"/>
            </w:tcBorders>
            <w:gridSpan w:val="2"/>
          </w:tcPr>
          <w:p>
            <w:pPr>
              <w:jc w:val="right"/>
              <w:ind w:right="221"/>
              <w:spacing w:after="0"/>
              <w:rPr>
                <w:sz w:val="20"/>
                <w:szCs w:val="20"/>
                <w:color w:val="auto"/>
              </w:rPr>
            </w:pPr>
            <w:r>
              <w:rPr>
                <w:rFonts w:ascii="Arial" w:cs="Arial" w:eastAsia="Arial" w:hAnsi="Arial"/>
                <w:sz w:val="12"/>
                <w:szCs w:val="12"/>
                <w:b w:val="1"/>
                <w:bCs w:val="1"/>
                <w:color w:val="auto"/>
              </w:rPr>
              <w:t>allowance</w:t>
            </w:r>
          </w:p>
        </w:tc>
        <w:tc>
          <w:tcPr>
            <w:tcW w:w="860" w:type="dxa"/>
            <w:vAlign w:val="bottom"/>
            <w:tcBorders>
              <w:bottom w:val="single" w:sz="8" w:color="auto"/>
            </w:tcBorders>
          </w:tcPr>
          <w:p>
            <w:pPr>
              <w:jc w:val="center"/>
              <w:ind w:left="141"/>
              <w:spacing w:after="0"/>
              <w:rPr>
                <w:sz w:val="20"/>
                <w:szCs w:val="20"/>
                <w:color w:val="auto"/>
              </w:rPr>
            </w:pPr>
            <w:r>
              <w:rPr>
                <w:rFonts w:ascii="Arial" w:cs="Arial" w:eastAsia="Arial" w:hAnsi="Arial"/>
                <w:sz w:val="12"/>
                <w:szCs w:val="12"/>
                <w:b w:val="1"/>
                <w:bCs w:val="1"/>
                <w:color w:val="auto"/>
                <w:w w:val="93"/>
              </w:rPr>
              <w:t>written off</w:t>
            </w: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8"/>
              </w:rPr>
              <w:t>End of Perio</w:t>
            </w:r>
          </w:p>
        </w:tc>
        <w:tc>
          <w:tcPr>
            <w:tcW w:w="0" w:type="dxa"/>
            <w:vAlign w:val="bottom"/>
          </w:tcPr>
          <w:p>
            <w:pPr>
              <w:spacing w:after="0"/>
              <w:rPr>
                <w:sz w:val="1"/>
                <w:szCs w:val="1"/>
                <w:color w:val="auto"/>
              </w:rPr>
            </w:pPr>
          </w:p>
        </w:tc>
      </w:tr>
      <w:tr>
        <w:trPr>
          <w:trHeight w:val="502"/>
        </w:trPr>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ind w:left="480"/>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ind w:left="480"/>
              <w:spacing w:after="0"/>
              <w:rPr>
                <w:sz w:val="20"/>
                <w:szCs w:val="20"/>
                <w:color w:val="auto"/>
              </w:rPr>
            </w:pPr>
            <w:r>
              <w:rPr>
                <w:rFonts w:ascii="Arial" w:cs="Arial" w:eastAsia="Arial" w:hAnsi="Arial"/>
                <w:sz w:val="12"/>
                <w:szCs w:val="12"/>
                <w:color w:val="auto"/>
              </w:rPr>
              <w:t>—</w:t>
            </w:r>
          </w:p>
        </w:tc>
        <w:tc>
          <w:tcPr>
            <w:tcW w:w="44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880" w:type="dxa"/>
            <w:vAlign w:val="bottom"/>
            <w:tcBorders>
              <w:right w:val="single" w:sz="8" w:color="auto"/>
            </w:tcBorders>
          </w:tcPr>
          <w:p>
            <w:pPr>
              <w:jc w:val="right"/>
              <w:ind w:right="21"/>
              <w:spacing w:after="0"/>
              <w:rPr>
                <w:sz w:val="20"/>
                <w:szCs w:val="20"/>
                <w:color w:val="auto"/>
              </w:rPr>
            </w:pPr>
            <w:r>
              <w:rPr>
                <w:rFonts w:ascii="Arial" w:cs="Arial" w:eastAsia="Arial" w:hAnsi="Arial"/>
                <w:sz w:val="12"/>
                <w:szCs w:val="12"/>
                <w:color w:val="auto"/>
              </w:rPr>
              <w:t>1</w:t>
            </w:r>
          </w:p>
        </w:tc>
        <w:tc>
          <w:tcPr>
            <w:tcW w:w="48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520" w:type="dxa"/>
            <w:vAlign w:val="bottom"/>
          </w:tcPr>
          <w:p>
            <w:pPr>
              <w:ind w:left="36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24"/>
                <w:szCs w:val="24"/>
                <w:color w:val="auto"/>
              </w:rPr>
            </w:pPr>
          </w:p>
        </w:tc>
        <w:tc>
          <w:tcPr>
            <w:tcW w:w="280" w:type="dxa"/>
            <w:vAlign w:val="bottom"/>
          </w:tcPr>
          <w:p>
            <w:pPr>
              <w:ind w:left="4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34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375"/>
        </w:trPr>
        <w:tc>
          <w:tcPr>
            <w:tcW w:w="4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w:t>
            </w:r>
          </w:p>
        </w:tc>
        <w:tc>
          <w:tcPr>
            <w:tcW w:w="400" w:type="dxa"/>
            <w:vAlign w:val="bottom"/>
          </w:tcPr>
          <w:p>
            <w:pPr>
              <w:spacing w:after="0"/>
              <w:rPr>
                <w:sz w:val="24"/>
                <w:szCs w:val="24"/>
                <w:color w:val="auto"/>
              </w:rPr>
            </w:pPr>
          </w:p>
        </w:tc>
        <w:tc>
          <w:tcPr>
            <w:tcW w:w="640" w:type="dxa"/>
            <w:vAlign w:val="bottom"/>
          </w:tcPr>
          <w:p>
            <w:pPr>
              <w:ind w:left="48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24"/>
                <w:szCs w:val="24"/>
                <w:color w:val="auto"/>
              </w:rPr>
            </w:pPr>
          </w:p>
        </w:tc>
        <w:tc>
          <w:tcPr>
            <w:tcW w:w="700" w:type="dxa"/>
            <w:vAlign w:val="bottom"/>
          </w:tcPr>
          <w:p>
            <w:pPr>
              <w:ind w:left="48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24"/>
                <w:szCs w:val="24"/>
                <w:color w:val="auto"/>
              </w:rPr>
            </w:pPr>
          </w:p>
        </w:tc>
        <w:tc>
          <w:tcPr>
            <w:tcW w:w="880" w:type="dxa"/>
            <w:vAlign w:val="bottom"/>
            <w:tcBorders>
              <w:right w:val="single" w:sz="8" w:color="auto"/>
            </w:tcBorders>
          </w:tcPr>
          <w:p>
            <w:pPr>
              <w:jc w:val="right"/>
              <w:ind w:right="21"/>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24"/>
                <w:szCs w:val="24"/>
                <w:color w:val="auto"/>
              </w:rPr>
            </w:pPr>
          </w:p>
        </w:tc>
        <w:tc>
          <w:tcPr>
            <w:tcW w:w="520" w:type="dxa"/>
            <w:vAlign w:val="bottom"/>
          </w:tcPr>
          <w:p>
            <w:pPr>
              <w:ind w:left="36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24"/>
                <w:szCs w:val="24"/>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24"/>
                <w:szCs w:val="24"/>
                <w:color w:val="auto"/>
              </w:rPr>
            </w:pPr>
          </w:p>
        </w:tc>
        <w:tc>
          <w:tcPr>
            <w:tcW w:w="280" w:type="dxa"/>
            <w:vAlign w:val="bottom"/>
          </w:tcPr>
          <w:p>
            <w:pPr>
              <w:ind w:left="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w:t>
            </w:r>
          </w:p>
        </w:tc>
        <w:tc>
          <w:tcPr>
            <w:tcW w:w="400" w:type="dxa"/>
            <w:vAlign w:val="bottom"/>
          </w:tcPr>
          <w:p>
            <w:pPr>
              <w:spacing w:after="0"/>
              <w:rPr>
                <w:sz w:val="13"/>
                <w:szCs w:val="13"/>
                <w:color w:val="auto"/>
              </w:rPr>
            </w:pPr>
          </w:p>
        </w:tc>
        <w:tc>
          <w:tcPr>
            <w:tcW w:w="640" w:type="dxa"/>
            <w:vAlign w:val="bottom"/>
          </w:tcPr>
          <w:p>
            <w:pPr>
              <w:ind w:left="48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700" w:type="dxa"/>
            <w:vAlign w:val="bottom"/>
          </w:tcPr>
          <w:p>
            <w:pPr>
              <w:ind w:left="48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880" w:type="dxa"/>
            <w:vAlign w:val="bottom"/>
            <w:tcBorders>
              <w:right w:val="single" w:sz="8" w:color="auto"/>
            </w:tcBorders>
          </w:tcPr>
          <w:p>
            <w:pPr>
              <w:jc w:val="right"/>
              <w:ind w:right="21"/>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520" w:type="dxa"/>
            <w:vAlign w:val="bottom"/>
          </w:tcPr>
          <w:p>
            <w:pPr>
              <w:ind w:left="36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5</w:t>
            </w:r>
          </w:p>
        </w:tc>
        <w:tc>
          <w:tcPr>
            <w:tcW w:w="860" w:type="dxa"/>
            <w:vAlign w:val="bottom"/>
          </w:tcPr>
          <w:p>
            <w:pPr>
              <w:spacing w:after="0"/>
              <w:rPr>
                <w:sz w:val="13"/>
                <w:szCs w:val="13"/>
                <w:color w:val="auto"/>
              </w:rPr>
            </w:pPr>
          </w:p>
        </w:tc>
        <w:tc>
          <w:tcPr>
            <w:tcW w:w="280" w:type="dxa"/>
            <w:vAlign w:val="bottom"/>
          </w:tcPr>
          <w:p>
            <w:pPr>
              <w:ind w:left="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480"/>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12"/>
                <w:szCs w:val="12"/>
                <w:color w:val="auto"/>
              </w:rPr>
              <w:t>(1)</w:t>
            </w:r>
          </w:p>
        </w:tc>
        <w:tc>
          <w:tcPr>
            <w:tcW w:w="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ind w:left="36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ind w:left="480"/>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tcPr>
          <w:p>
            <w:pPr>
              <w:ind w:left="36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w:t>
            </w:r>
          </w:p>
        </w:tc>
        <w:tc>
          <w:tcPr>
            <w:tcW w:w="860" w:type="dxa"/>
            <w:vAlign w:val="bottom"/>
            <w:tcBorders>
              <w:bottom w:val="single" w:sz="8" w:color="auto"/>
            </w:tcBorders>
          </w:tcPr>
          <w:p>
            <w:pPr>
              <w:jc w:val="right"/>
              <w:ind w:right="401"/>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ind w:right="34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-748665</wp:posOffset>
            </wp:positionH>
            <wp:positionV relativeFrom="paragraph">
              <wp:posOffset>-1163320</wp:posOffset>
            </wp:positionV>
            <wp:extent cx="6997700" cy="168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7700" cy="168275"/>
                    </a:xfrm>
                    <a:prstGeom prst="rect">
                      <a:avLst/>
                    </a:prstGeom>
                    <a:noFill/>
                  </pic:spPr>
                </pic:pic>
              </a:graphicData>
            </a:graphic>
          </wp:anchor>
        </w:drawing>
        <w:drawing>
          <wp:anchor simplePos="0" relativeHeight="251657728" behindDoc="1" locked="0" layoutInCell="0" allowOverlap="1">
            <wp:simplePos x="0" y="0"/>
            <wp:positionH relativeFrom="column">
              <wp:posOffset>-748665</wp:posOffset>
            </wp:positionH>
            <wp:positionV relativeFrom="paragraph">
              <wp:posOffset>-826770</wp:posOffset>
            </wp:positionV>
            <wp:extent cx="6997700" cy="2381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7700" cy="238125"/>
                    </a:xfrm>
                    <a:prstGeom prst="rect">
                      <a:avLst/>
                    </a:prstGeom>
                    <a:noFill/>
                  </pic:spPr>
                </pic:pic>
              </a:graphicData>
            </a:graphic>
          </wp:anchor>
        </w:drawing>
        <w:drawing>
          <wp:anchor simplePos="0" relativeHeight="251657728" behindDoc="1" locked="0" layoutInCell="0" allowOverlap="1">
            <wp:simplePos x="0" y="0"/>
            <wp:positionH relativeFrom="column">
              <wp:posOffset>-748665</wp:posOffset>
            </wp:positionH>
            <wp:positionV relativeFrom="paragraph">
              <wp:posOffset>-490220</wp:posOffset>
            </wp:positionV>
            <wp:extent cx="6997700" cy="2381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7700" cy="2381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80" w:space="40"/>
            <w:col w:w="9840"/>
          </w:cols>
          <w:pgMar w:left="300" w:top="12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82485" cy="39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type w:val="continuous"/>
        </w:sectPr>
      </w:pPr>
    </w:p>
    <w:bookmarkStart w:id="32" w:name="page33"/>
    <w:bookmarkEnd w:id="3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151"/>
        </w:trPr>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80" w:type="dxa"/>
            <w:vAlign w:val="bottom"/>
            <w:gridSpan w:val="5"/>
          </w:tcPr>
          <w:p>
            <w:pPr>
              <w:jc w:val="right"/>
              <w:ind w:right="101"/>
              <w:spacing w:after="0"/>
              <w:rPr>
                <w:sz w:val="20"/>
                <w:szCs w:val="20"/>
                <w:color w:val="auto"/>
              </w:rPr>
            </w:pPr>
            <w:r>
              <w:rPr>
                <w:rFonts w:ascii="Arial" w:cs="Arial" w:eastAsia="Arial" w:hAnsi="Arial"/>
                <w:sz w:val="12"/>
                <w:szCs w:val="12"/>
                <w:b w:val="1"/>
                <w:bCs w:val="1"/>
                <w:color w:val="auto"/>
                <w:w w:val="92"/>
              </w:rPr>
              <w:t>Nine Months Ended September 30, 2021</w:t>
            </w: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281"/>
              <w:spacing w:after="0"/>
              <w:rPr>
                <w:sz w:val="20"/>
                <w:szCs w:val="20"/>
                <w:color w:val="auto"/>
              </w:rPr>
            </w:pPr>
            <w:r>
              <w:rPr>
                <w:rFonts w:ascii="Arial" w:cs="Arial" w:eastAsia="Arial" w:hAnsi="Arial"/>
                <w:sz w:val="12"/>
                <w:szCs w:val="12"/>
                <w:b w:val="1"/>
                <w:bCs w:val="1"/>
                <w:color w:val="auto"/>
              </w:rPr>
              <w:t>Additions</w:t>
            </w:r>
          </w:p>
        </w:tc>
        <w:tc>
          <w:tcPr>
            <w:tcW w:w="9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41"/>
              <w:spacing w:after="0"/>
              <w:rPr>
                <w:sz w:val="20"/>
                <w:szCs w:val="20"/>
                <w:color w:val="auto"/>
              </w:rPr>
            </w:pPr>
            <w:r>
              <w:rPr>
                <w:rFonts w:ascii="Arial" w:cs="Arial" w:eastAsia="Arial" w:hAnsi="Arial"/>
                <w:sz w:val="12"/>
                <w:szCs w:val="12"/>
                <w:b w:val="1"/>
                <w:bCs w:val="1"/>
                <w:color w:val="auto"/>
                <w:w w:val="97"/>
              </w:rPr>
              <w:t>Reductions</w:t>
            </w:r>
          </w:p>
        </w:tc>
        <w:tc>
          <w:tcPr>
            <w:tcW w:w="3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gridSpan w:val="2"/>
            <w:vMerge w:val="restart"/>
          </w:tcPr>
          <w:p>
            <w:pPr>
              <w:ind w:left="400"/>
              <w:spacing w:after="0"/>
              <w:rPr>
                <w:sz w:val="20"/>
                <w:szCs w:val="20"/>
                <w:color w:val="auto"/>
              </w:rPr>
            </w:pPr>
            <w:r>
              <w:rPr>
                <w:rFonts w:ascii="Arial" w:cs="Arial" w:eastAsia="Arial" w:hAnsi="Arial"/>
                <w:sz w:val="12"/>
                <w:szCs w:val="12"/>
                <w:b w:val="1"/>
                <w:bCs w:val="1"/>
                <w:color w:val="auto"/>
                <w:w w:val="97"/>
              </w:rPr>
              <w:t>For credit</w:t>
            </w:r>
          </w:p>
        </w:tc>
        <w:tc>
          <w:tcPr>
            <w:tcW w:w="940" w:type="dxa"/>
            <w:vAlign w:val="bottom"/>
            <w:gridSpan w:val="2"/>
          </w:tcPr>
          <w:p>
            <w:pPr>
              <w:ind w:left="360"/>
              <w:spacing w:after="0" w:line="107" w:lineRule="exact"/>
              <w:rPr>
                <w:sz w:val="20"/>
                <w:szCs w:val="20"/>
                <w:color w:val="auto"/>
              </w:rPr>
            </w:pPr>
            <w:r>
              <w:rPr>
                <w:rFonts w:ascii="Arial" w:cs="Arial" w:eastAsia="Arial" w:hAnsi="Arial"/>
                <w:sz w:val="12"/>
                <w:szCs w:val="12"/>
                <w:b w:val="1"/>
                <w:bCs w:val="1"/>
                <w:color w:val="auto"/>
              </w:rPr>
              <w:t>For initial</w:t>
            </w: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940" w:type="dxa"/>
            <w:vAlign w:val="bottom"/>
            <w:gridSpan w:val="2"/>
          </w:tcPr>
          <w:p>
            <w:pPr>
              <w:jc w:val="center"/>
              <w:spacing w:after="0" w:line="111" w:lineRule="exact"/>
              <w:rPr>
                <w:sz w:val="20"/>
                <w:szCs w:val="20"/>
                <w:color w:val="auto"/>
              </w:rPr>
            </w:pPr>
            <w:r>
              <w:rPr>
                <w:rFonts w:ascii="Arial" w:cs="Arial" w:eastAsia="Arial" w:hAnsi="Arial"/>
                <w:sz w:val="12"/>
                <w:szCs w:val="12"/>
                <w:b w:val="1"/>
                <w:bCs w:val="1"/>
                <w:color w:val="auto"/>
                <w:w w:val="83"/>
              </w:rPr>
              <w:t>credit losses on</w:t>
            </w: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jc w:val="center"/>
              <w:ind w:left="161"/>
              <w:spacing w:after="0" w:line="111" w:lineRule="exact"/>
              <w:rPr>
                <w:sz w:val="20"/>
                <w:szCs w:val="20"/>
                <w:color w:val="auto"/>
              </w:rPr>
            </w:pPr>
            <w:r>
              <w:rPr>
                <w:rFonts w:ascii="Arial" w:cs="Arial" w:eastAsia="Arial" w:hAnsi="Arial"/>
                <w:sz w:val="12"/>
                <w:szCs w:val="12"/>
                <w:b w:val="1"/>
                <w:bCs w:val="1"/>
                <w:color w:val="auto"/>
                <w:w w:val="79"/>
              </w:rPr>
              <w:t>losses on</w:t>
            </w:r>
          </w:p>
        </w:tc>
        <w:tc>
          <w:tcPr>
            <w:tcW w:w="220" w:type="dxa"/>
            <w:vAlign w:val="bottom"/>
          </w:tcPr>
          <w:p>
            <w:pPr>
              <w:spacing w:after="0"/>
              <w:rPr>
                <w:sz w:val="9"/>
                <w:szCs w:val="9"/>
                <w:color w:val="auto"/>
              </w:rPr>
            </w:pPr>
          </w:p>
        </w:tc>
        <w:tc>
          <w:tcPr>
            <w:tcW w:w="740" w:type="dxa"/>
            <w:vAlign w:val="bottom"/>
          </w:tcPr>
          <w:p>
            <w:pPr>
              <w:jc w:val="center"/>
              <w:ind w:left="121"/>
              <w:spacing w:after="0" w:line="111" w:lineRule="exact"/>
              <w:rPr>
                <w:sz w:val="20"/>
                <w:szCs w:val="20"/>
                <w:color w:val="auto"/>
              </w:rPr>
            </w:pPr>
            <w:r>
              <w:rPr>
                <w:rFonts w:ascii="Arial" w:cs="Arial" w:eastAsia="Arial" w:hAnsi="Arial"/>
                <w:sz w:val="12"/>
                <w:szCs w:val="12"/>
                <w:b w:val="1"/>
                <w:bCs w:val="1"/>
                <w:color w:val="auto"/>
                <w:w w:val="85"/>
              </w:rPr>
              <w:t>purchased</w:t>
            </w: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vMerge w:val="restart"/>
          </w:tcPr>
          <w:p>
            <w:pPr>
              <w:jc w:val="right"/>
              <w:ind w:right="221"/>
              <w:spacing w:after="0"/>
              <w:rPr>
                <w:sz w:val="20"/>
                <w:szCs w:val="20"/>
                <w:color w:val="auto"/>
              </w:rPr>
            </w:pPr>
            <w:r>
              <w:rPr>
                <w:rFonts w:ascii="Arial" w:cs="Arial" w:eastAsia="Arial" w:hAnsi="Arial"/>
                <w:sz w:val="12"/>
                <w:szCs w:val="12"/>
                <w:b w:val="1"/>
                <w:bCs w:val="1"/>
                <w:color w:val="auto"/>
                <w:w w:val="94"/>
              </w:rPr>
              <w:t>(Additions)</w:t>
            </w:r>
          </w:p>
        </w:tc>
        <w:tc>
          <w:tcPr>
            <w:tcW w:w="50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vMerge w:val="restart"/>
          </w:tcPr>
          <w:p>
            <w:pPr>
              <w:jc w:val="right"/>
              <w:ind w:right="81"/>
              <w:spacing w:after="0"/>
              <w:rPr>
                <w:sz w:val="20"/>
                <w:szCs w:val="20"/>
                <w:color w:val="auto"/>
              </w:rPr>
            </w:pPr>
            <w:r>
              <w:rPr>
                <w:rFonts w:ascii="Arial" w:cs="Arial" w:eastAsia="Arial" w:hAnsi="Arial"/>
                <w:sz w:val="12"/>
                <w:szCs w:val="12"/>
                <w:b w:val="1"/>
                <w:bCs w:val="1"/>
                <w:color w:val="auto"/>
                <w:w w:val="88"/>
              </w:rPr>
              <w:t>For securities</w:t>
            </w: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20" w:type="dxa"/>
            <w:vAlign w:val="bottom"/>
            <w:gridSpan w:val="4"/>
            <w:vMerge w:val="restart"/>
          </w:tcPr>
          <w:p>
            <w:pPr>
              <w:ind w:left="300"/>
              <w:spacing w:after="0"/>
              <w:rPr>
                <w:sz w:val="20"/>
                <w:szCs w:val="20"/>
                <w:color w:val="auto"/>
              </w:rPr>
            </w:pPr>
            <w:r>
              <w:rPr>
                <w:rFonts w:ascii="Arial" w:cs="Arial" w:eastAsia="Arial" w:hAnsi="Arial"/>
                <w:sz w:val="12"/>
                <w:szCs w:val="12"/>
                <w:b w:val="1"/>
                <w:bCs w:val="1"/>
                <w:color w:val="auto"/>
              </w:rPr>
              <w:t>Recoveries</w:t>
            </w: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980" w:type="dxa"/>
            <w:vAlign w:val="bottom"/>
          </w:tcPr>
          <w:p>
            <w:pPr>
              <w:spacing w:after="0"/>
              <w:rPr>
                <w:sz w:val="9"/>
                <w:szCs w:val="9"/>
                <w:color w:val="auto"/>
              </w:rPr>
            </w:pPr>
          </w:p>
        </w:tc>
        <w:tc>
          <w:tcPr>
            <w:tcW w:w="960" w:type="dxa"/>
            <w:vAlign w:val="bottom"/>
            <w:gridSpan w:val="2"/>
            <w:vMerge w:val="restart"/>
          </w:tcPr>
          <w:p>
            <w:pPr>
              <w:jc w:val="right"/>
              <w:ind w:right="1"/>
              <w:spacing w:after="0"/>
              <w:rPr>
                <w:sz w:val="20"/>
                <w:szCs w:val="20"/>
                <w:color w:val="auto"/>
              </w:rPr>
            </w:pPr>
            <w:r>
              <w:rPr>
                <w:rFonts w:ascii="Arial" w:cs="Arial" w:eastAsia="Arial" w:hAnsi="Arial"/>
                <w:sz w:val="12"/>
                <w:szCs w:val="12"/>
                <w:b w:val="1"/>
                <w:bCs w:val="1"/>
                <w:color w:val="auto"/>
              </w:rPr>
              <w:t>Balance at</w:t>
            </w:r>
          </w:p>
        </w:tc>
        <w:tc>
          <w:tcPr>
            <w:tcW w:w="960" w:type="dxa"/>
            <w:vAlign w:val="bottom"/>
            <w:gridSpan w:val="2"/>
          </w:tcPr>
          <w:p>
            <w:pPr>
              <w:jc w:val="center"/>
              <w:spacing w:after="0" w:line="111" w:lineRule="exact"/>
              <w:rPr>
                <w:sz w:val="20"/>
                <w:szCs w:val="20"/>
                <w:color w:val="auto"/>
              </w:rPr>
            </w:pPr>
            <w:r>
              <w:rPr>
                <w:rFonts w:ascii="Arial" w:cs="Arial" w:eastAsia="Arial" w:hAnsi="Arial"/>
                <w:sz w:val="12"/>
                <w:szCs w:val="12"/>
                <w:b w:val="1"/>
                <w:bCs w:val="1"/>
                <w:color w:val="auto"/>
                <w:w w:val="84"/>
              </w:rPr>
              <w:t>securities for</w:t>
            </w:r>
          </w:p>
        </w:tc>
        <w:tc>
          <w:tcPr>
            <w:tcW w:w="740" w:type="dxa"/>
            <w:vAlign w:val="bottom"/>
          </w:tcPr>
          <w:p>
            <w:pPr>
              <w:jc w:val="center"/>
              <w:ind w:left="121"/>
              <w:spacing w:after="0" w:line="111" w:lineRule="exact"/>
              <w:rPr>
                <w:sz w:val="20"/>
                <w:szCs w:val="20"/>
                <w:color w:val="auto"/>
              </w:rPr>
            </w:pPr>
            <w:r>
              <w:rPr>
                <w:rFonts w:ascii="Arial" w:cs="Arial" w:eastAsia="Arial" w:hAnsi="Arial"/>
                <w:sz w:val="12"/>
                <w:szCs w:val="12"/>
                <w:b w:val="1"/>
                <w:bCs w:val="1"/>
                <w:color w:val="auto"/>
                <w:w w:val="85"/>
              </w:rPr>
              <w:t>securities</w:t>
            </w: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For</w:t>
            </w:r>
          </w:p>
        </w:tc>
        <w:tc>
          <w:tcPr>
            <w:tcW w:w="4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vMerge w:val="restart"/>
          </w:tcPr>
          <w:p>
            <w:pPr>
              <w:jc w:val="right"/>
              <w:ind w:right="81"/>
              <w:spacing w:after="0"/>
              <w:rPr>
                <w:sz w:val="20"/>
                <w:szCs w:val="20"/>
                <w:color w:val="auto"/>
              </w:rPr>
            </w:pPr>
            <w:r>
              <w:rPr>
                <w:rFonts w:ascii="Arial" w:cs="Arial" w:eastAsia="Arial" w:hAnsi="Arial"/>
                <w:sz w:val="12"/>
                <w:szCs w:val="12"/>
                <w:b w:val="1"/>
                <w:bCs w:val="1"/>
                <w:color w:val="auto"/>
                <w:w w:val="88"/>
              </w:rPr>
              <w:t>Writeoffs</w:t>
            </w:r>
          </w:p>
        </w:tc>
        <w:tc>
          <w:tcPr>
            <w:tcW w:w="1020" w:type="dxa"/>
            <w:vAlign w:val="bottom"/>
            <w:gridSpan w:val="4"/>
            <w:vMerge w:val="continue"/>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9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960" w:type="dxa"/>
            <w:vAlign w:val="bottom"/>
            <w:gridSpan w:val="2"/>
          </w:tcPr>
          <w:p>
            <w:pPr>
              <w:jc w:val="center"/>
              <w:spacing w:after="0" w:line="111" w:lineRule="exact"/>
              <w:rPr>
                <w:sz w:val="20"/>
                <w:szCs w:val="20"/>
                <w:color w:val="auto"/>
              </w:rPr>
            </w:pPr>
            <w:r>
              <w:rPr>
                <w:rFonts w:ascii="Arial" w:cs="Arial" w:eastAsia="Arial" w:hAnsi="Arial"/>
                <w:sz w:val="12"/>
                <w:szCs w:val="12"/>
                <w:b w:val="1"/>
                <w:bCs w:val="1"/>
                <w:color w:val="auto"/>
                <w:w w:val="83"/>
              </w:rPr>
              <w:t>which losses were</w:t>
            </w:r>
          </w:p>
        </w:tc>
        <w:tc>
          <w:tcPr>
            <w:tcW w:w="940" w:type="dxa"/>
            <w:vAlign w:val="bottom"/>
            <w:gridSpan w:val="2"/>
          </w:tcPr>
          <w:p>
            <w:pPr>
              <w:jc w:val="center"/>
              <w:spacing w:after="0" w:line="111" w:lineRule="exact"/>
              <w:rPr>
                <w:sz w:val="20"/>
                <w:szCs w:val="20"/>
                <w:color w:val="auto"/>
              </w:rPr>
            </w:pPr>
            <w:r>
              <w:rPr>
                <w:rFonts w:ascii="Arial" w:cs="Arial" w:eastAsia="Arial" w:hAnsi="Arial"/>
                <w:sz w:val="12"/>
                <w:szCs w:val="12"/>
                <w:b w:val="1"/>
                <w:bCs w:val="1"/>
                <w:color w:val="auto"/>
                <w:w w:val="85"/>
              </w:rPr>
              <w:t>accounted for as</w:t>
            </w:r>
          </w:p>
        </w:tc>
        <w:tc>
          <w:tcPr>
            <w:tcW w:w="1340" w:type="dxa"/>
            <w:vAlign w:val="bottom"/>
            <w:gridSpan w:val="2"/>
          </w:tcPr>
          <w:p>
            <w:pPr>
              <w:jc w:val="center"/>
              <w:ind w:right="61"/>
              <w:spacing w:after="0" w:line="111" w:lineRule="exact"/>
              <w:rPr>
                <w:sz w:val="20"/>
                <w:szCs w:val="20"/>
                <w:color w:val="auto"/>
              </w:rPr>
            </w:pPr>
            <w:r>
              <w:rPr>
                <w:rFonts w:ascii="Arial" w:cs="Arial" w:eastAsia="Arial" w:hAnsi="Arial"/>
                <w:sz w:val="12"/>
                <w:szCs w:val="12"/>
                <w:b w:val="1"/>
                <w:bCs w:val="1"/>
                <w:color w:val="auto"/>
                <w:w w:val="86"/>
              </w:rPr>
              <w:t>reductions in allowance</w:t>
            </w:r>
          </w:p>
        </w:tc>
        <w:tc>
          <w:tcPr>
            <w:tcW w:w="50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280" w:type="dxa"/>
            <w:vAlign w:val="bottom"/>
            <w:gridSpan w:val="2"/>
          </w:tcPr>
          <w:p>
            <w:pPr>
              <w:jc w:val="right"/>
              <w:ind w:right="1"/>
              <w:spacing w:after="0" w:line="111" w:lineRule="exact"/>
              <w:rPr>
                <w:sz w:val="20"/>
                <w:szCs w:val="20"/>
                <w:color w:val="auto"/>
              </w:rPr>
            </w:pPr>
            <w:r>
              <w:rPr>
                <w:rFonts w:ascii="Arial" w:cs="Arial" w:eastAsia="Arial" w:hAnsi="Arial"/>
                <w:sz w:val="12"/>
                <w:szCs w:val="12"/>
                <w:b w:val="1"/>
                <w:bCs w:val="1"/>
                <w:color w:val="auto"/>
                <w:w w:val="89"/>
              </w:rPr>
              <w:t>intended/required to be</w:t>
            </w:r>
          </w:p>
        </w:tc>
        <w:tc>
          <w:tcPr>
            <w:tcW w:w="3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80" w:type="dxa"/>
            <w:vAlign w:val="bottom"/>
          </w:tcPr>
          <w:p>
            <w:pPr>
              <w:jc w:val="center"/>
              <w:ind w:left="61"/>
              <w:spacing w:after="0" w:line="111" w:lineRule="exact"/>
              <w:rPr>
                <w:sz w:val="20"/>
                <w:szCs w:val="20"/>
                <w:color w:val="auto"/>
              </w:rPr>
            </w:pPr>
            <w:r>
              <w:rPr>
                <w:rFonts w:ascii="Arial" w:cs="Arial" w:eastAsia="Arial" w:hAnsi="Arial"/>
                <w:sz w:val="12"/>
                <w:szCs w:val="12"/>
                <w:b w:val="1"/>
                <w:bCs w:val="1"/>
                <w:color w:val="auto"/>
                <w:w w:val="86"/>
              </w:rPr>
              <w:t>of amounts</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Balan</w:t>
            </w:r>
          </w:p>
        </w:tc>
        <w:tc>
          <w:tcPr>
            <w:tcW w:w="0" w:type="dxa"/>
            <w:vAlign w:val="bottom"/>
          </w:tcPr>
          <w:p>
            <w:pPr>
              <w:spacing w:after="0"/>
              <w:rPr>
                <w:sz w:val="1"/>
                <w:szCs w:val="1"/>
                <w:color w:val="auto"/>
              </w:rPr>
            </w:pPr>
          </w:p>
        </w:tc>
      </w:tr>
      <w:tr>
        <w:trPr>
          <w:trHeight w:val="110"/>
        </w:trPr>
        <w:tc>
          <w:tcPr>
            <w:tcW w:w="980" w:type="dxa"/>
            <w:vAlign w:val="bottom"/>
          </w:tcPr>
          <w:p>
            <w:pPr>
              <w:spacing w:after="0"/>
              <w:rPr>
                <w:sz w:val="9"/>
                <w:szCs w:val="9"/>
                <w:color w:val="auto"/>
              </w:rPr>
            </w:pPr>
          </w:p>
        </w:tc>
        <w:tc>
          <w:tcPr>
            <w:tcW w:w="960" w:type="dxa"/>
            <w:vAlign w:val="bottom"/>
            <w:gridSpan w:val="2"/>
          </w:tcPr>
          <w:p>
            <w:pPr>
              <w:jc w:val="right"/>
              <w:ind w:right="101"/>
              <w:spacing w:after="0" w:line="111" w:lineRule="exact"/>
              <w:rPr>
                <w:sz w:val="20"/>
                <w:szCs w:val="20"/>
                <w:color w:val="auto"/>
              </w:rPr>
            </w:pPr>
            <w:r>
              <w:rPr>
                <w:rFonts w:ascii="Arial" w:cs="Arial" w:eastAsia="Arial" w:hAnsi="Arial"/>
                <w:sz w:val="12"/>
                <w:szCs w:val="12"/>
                <w:b w:val="1"/>
                <w:bCs w:val="1"/>
                <w:color w:val="auto"/>
              </w:rPr>
              <w:t>Beginning of</w:t>
            </w:r>
          </w:p>
        </w:tc>
        <w:tc>
          <w:tcPr>
            <w:tcW w:w="960" w:type="dxa"/>
            <w:vAlign w:val="bottom"/>
            <w:gridSpan w:val="2"/>
          </w:tcPr>
          <w:p>
            <w:pPr>
              <w:jc w:val="center"/>
              <w:spacing w:after="0" w:line="111" w:lineRule="exact"/>
              <w:rPr>
                <w:sz w:val="20"/>
                <w:szCs w:val="20"/>
                <w:color w:val="auto"/>
              </w:rPr>
            </w:pPr>
            <w:r>
              <w:rPr>
                <w:rFonts w:ascii="Arial" w:cs="Arial" w:eastAsia="Arial" w:hAnsi="Arial"/>
                <w:sz w:val="12"/>
                <w:szCs w:val="12"/>
                <w:b w:val="1"/>
                <w:bCs w:val="1"/>
                <w:color w:val="auto"/>
                <w:w w:val="87"/>
              </w:rPr>
              <w:t>not previously</w:t>
            </w:r>
          </w:p>
        </w:tc>
        <w:tc>
          <w:tcPr>
            <w:tcW w:w="940" w:type="dxa"/>
            <w:vAlign w:val="bottom"/>
            <w:gridSpan w:val="2"/>
          </w:tcPr>
          <w:p>
            <w:pPr>
              <w:jc w:val="center"/>
              <w:spacing w:after="0" w:line="111" w:lineRule="exact"/>
              <w:rPr>
                <w:sz w:val="20"/>
                <w:szCs w:val="20"/>
                <w:color w:val="auto"/>
              </w:rPr>
            </w:pPr>
            <w:r>
              <w:rPr>
                <w:rFonts w:ascii="Arial" w:cs="Arial" w:eastAsia="Arial" w:hAnsi="Arial"/>
                <w:sz w:val="12"/>
                <w:szCs w:val="12"/>
                <w:b w:val="1"/>
                <w:bCs w:val="1"/>
                <w:color w:val="auto"/>
                <w:w w:val="93"/>
              </w:rPr>
              <w:t>PCD financial</w:t>
            </w:r>
          </w:p>
        </w:tc>
        <w:tc>
          <w:tcPr>
            <w:tcW w:w="1340" w:type="dxa"/>
            <w:vAlign w:val="bottom"/>
            <w:gridSpan w:val="2"/>
          </w:tcPr>
          <w:p>
            <w:pPr>
              <w:jc w:val="center"/>
              <w:ind w:right="41"/>
              <w:spacing w:after="0" w:line="111" w:lineRule="exact"/>
              <w:rPr>
                <w:sz w:val="20"/>
                <w:szCs w:val="20"/>
                <w:color w:val="auto"/>
              </w:rPr>
            </w:pPr>
            <w:r>
              <w:rPr>
                <w:rFonts w:ascii="Arial" w:cs="Arial" w:eastAsia="Arial" w:hAnsi="Arial"/>
                <w:sz w:val="12"/>
                <w:szCs w:val="12"/>
                <w:b w:val="1"/>
                <w:bCs w:val="1"/>
                <w:color w:val="auto"/>
                <w:w w:val="87"/>
              </w:rPr>
              <w:t>recorded on previously</w:t>
            </w:r>
          </w:p>
        </w:tc>
        <w:tc>
          <w:tcPr>
            <w:tcW w:w="50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1000" w:type="dxa"/>
            <w:vAlign w:val="bottom"/>
            <w:gridSpan w:val="2"/>
          </w:tcPr>
          <w:p>
            <w:pPr>
              <w:jc w:val="center"/>
              <w:ind w:left="1"/>
              <w:spacing w:after="0" w:line="111" w:lineRule="exact"/>
              <w:rPr>
                <w:sz w:val="20"/>
                <w:szCs w:val="20"/>
                <w:color w:val="auto"/>
              </w:rPr>
            </w:pPr>
            <w:r>
              <w:rPr>
                <w:rFonts w:ascii="Arial" w:cs="Arial" w:eastAsia="Arial" w:hAnsi="Arial"/>
                <w:sz w:val="12"/>
                <w:szCs w:val="12"/>
                <w:b w:val="1"/>
                <w:bCs w:val="1"/>
                <w:color w:val="auto"/>
                <w:w w:val="83"/>
              </w:rPr>
              <w:t>securities sold</w:t>
            </w:r>
          </w:p>
        </w:tc>
        <w:tc>
          <w:tcPr>
            <w:tcW w:w="1280" w:type="dxa"/>
            <w:vAlign w:val="bottom"/>
            <w:gridSpan w:val="2"/>
          </w:tcPr>
          <w:p>
            <w:pPr>
              <w:jc w:val="right"/>
              <w:spacing w:after="0" w:line="111" w:lineRule="exact"/>
              <w:rPr>
                <w:sz w:val="20"/>
                <w:szCs w:val="20"/>
                <w:color w:val="auto"/>
              </w:rPr>
            </w:pPr>
            <w:r>
              <w:rPr>
                <w:rFonts w:ascii="Arial" w:cs="Arial" w:eastAsia="Arial" w:hAnsi="Arial"/>
                <w:sz w:val="12"/>
                <w:szCs w:val="12"/>
                <w:b w:val="1"/>
                <w:bCs w:val="1"/>
                <w:color w:val="auto"/>
                <w:w w:val="88"/>
              </w:rPr>
              <w:t>sold prior to recovery of</w:t>
            </w:r>
          </w:p>
        </w:tc>
        <w:tc>
          <w:tcPr>
            <w:tcW w:w="1000" w:type="dxa"/>
            <w:vAlign w:val="bottom"/>
            <w:gridSpan w:val="2"/>
          </w:tcPr>
          <w:p>
            <w:pPr>
              <w:jc w:val="right"/>
              <w:ind w:right="81"/>
              <w:spacing w:after="0" w:line="111" w:lineRule="exact"/>
              <w:rPr>
                <w:sz w:val="20"/>
                <w:szCs w:val="20"/>
                <w:color w:val="auto"/>
              </w:rPr>
            </w:pPr>
            <w:r>
              <w:rPr>
                <w:rFonts w:ascii="Arial" w:cs="Arial" w:eastAsia="Arial" w:hAnsi="Arial"/>
                <w:sz w:val="12"/>
                <w:szCs w:val="12"/>
                <w:b w:val="1"/>
                <w:bCs w:val="1"/>
                <w:color w:val="auto"/>
                <w:w w:val="91"/>
              </w:rPr>
              <w:t>charged against</w:t>
            </w:r>
          </w:p>
        </w:tc>
        <w:tc>
          <w:tcPr>
            <w:tcW w:w="680" w:type="dxa"/>
            <w:vAlign w:val="bottom"/>
          </w:tcPr>
          <w:p>
            <w:pPr>
              <w:jc w:val="center"/>
              <w:ind w:left="61"/>
              <w:spacing w:after="0" w:line="111" w:lineRule="exact"/>
              <w:rPr>
                <w:sz w:val="20"/>
                <w:szCs w:val="20"/>
                <w:color w:val="auto"/>
              </w:rPr>
            </w:pPr>
            <w:r>
              <w:rPr>
                <w:rFonts w:ascii="Arial" w:cs="Arial" w:eastAsia="Arial" w:hAnsi="Arial"/>
                <w:sz w:val="12"/>
                <w:szCs w:val="12"/>
                <w:b w:val="1"/>
                <w:bCs w:val="1"/>
                <w:color w:val="auto"/>
                <w:w w:val="86"/>
              </w:rPr>
              <w:t>previously</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9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Period</w:t>
            </w: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left="161"/>
              <w:spacing w:after="0"/>
              <w:rPr>
                <w:sz w:val="20"/>
                <w:szCs w:val="20"/>
                <w:color w:val="auto"/>
              </w:rPr>
            </w:pPr>
            <w:r>
              <w:rPr>
                <w:rFonts w:ascii="Arial" w:cs="Arial" w:eastAsia="Arial" w:hAnsi="Arial"/>
                <w:sz w:val="12"/>
                <w:szCs w:val="12"/>
                <w:b w:val="1"/>
                <w:bCs w:val="1"/>
                <w:color w:val="auto"/>
                <w:w w:val="85"/>
              </w:rPr>
              <w:t>recorded</w:t>
            </w: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left="101"/>
              <w:spacing w:after="0"/>
              <w:rPr>
                <w:sz w:val="20"/>
                <w:szCs w:val="20"/>
                <w:color w:val="auto"/>
              </w:rPr>
            </w:pPr>
            <w:r>
              <w:rPr>
                <w:rFonts w:ascii="Arial" w:cs="Arial" w:eastAsia="Arial" w:hAnsi="Arial"/>
                <w:sz w:val="12"/>
                <w:szCs w:val="12"/>
                <w:b w:val="1"/>
                <w:bCs w:val="1"/>
                <w:color w:val="auto"/>
                <w:w w:val="83"/>
              </w:rPr>
              <w:t>assets (1)</w:t>
            </w: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center"/>
              <w:ind w:right="41"/>
              <w:spacing w:after="0"/>
              <w:rPr>
                <w:sz w:val="20"/>
                <w:szCs w:val="20"/>
                <w:color w:val="auto"/>
              </w:rPr>
            </w:pPr>
            <w:r>
              <w:rPr>
                <w:rFonts w:ascii="Arial" w:cs="Arial" w:eastAsia="Arial" w:hAnsi="Arial"/>
                <w:sz w:val="12"/>
                <w:szCs w:val="12"/>
                <w:b w:val="1"/>
                <w:bCs w:val="1"/>
                <w:color w:val="auto"/>
                <w:w w:val="87"/>
              </w:rPr>
              <w:t>impaired securities</w:t>
            </w:r>
          </w:p>
        </w:tc>
        <w:tc>
          <w:tcPr>
            <w:tcW w:w="500" w:type="dxa"/>
            <w:vAlign w:val="bottom"/>
            <w:tcBorders>
              <w:bottom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during the period</w:t>
            </w:r>
          </w:p>
        </w:tc>
        <w:tc>
          <w:tcPr>
            <w:tcW w:w="128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2"/>
                <w:szCs w:val="12"/>
                <w:b w:val="1"/>
                <w:bCs w:val="1"/>
                <w:color w:val="auto"/>
                <w:w w:val="94"/>
              </w:rPr>
              <w:t>amortized cost basis</w:t>
            </w:r>
          </w:p>
        </w:tc>
        <w:tc>
          <w:tcPr>
            <w:tcW w:w="1000" w:type="dxa"/>
            <w:vAlign w:val="bottom"/>
            <w:tcBorders>
              <w:bottom w:val="single" w:sz="8" w:color="auto"/>
            </w:tcBorders>
            <w:gridSpan w:val="2"/>
          </w:tcPr>
          <w:p>
            <w:pPr>
              <w:jc w:val="right"/>
              <w:ind w:right="141"/>
              <w:spacing w:after="0"/>
              <w:rPr>
                <w:sz w:val="20"/>
                <w:szCs w:val="20"/>
                <w:color w:val="auto"/>
              </w:rPr>
            </w:pPr>
            <w:r>
              <w:rPr>
                <w:rFonts w:ascii="Arial" w:cs="Arial" w:eastAsia="Arial" w:hAnsi="Arial"/>
                <w:sz w:val="12"/>
                <w:szCs w:val="12"/>
                <w:b w:val="1"/>
                <w:bCs w:val="1"/>
                <w:color w:val="auto"/>
                <w:w w:val="99"/>
              </w:rPr>
              <w:t>the allowance</w:t>
            </w:r>
          </w:p>
        </w:tc>
        <w:tc>
          <w:tcPr>
            <w:tcW w:w="680" w:type="dxa"/>
            <w:vAlign w:val="bottom"/>
            <w:tcBorders>
              <w:bottom w:val="single" w:sz="8" w:color="auto"/>
            </w:tcBorders>
          </w:tcPr>
          <w:p>
            <w:pPr>
              <w:jc w:val="center"/>
              <w:ind w:left="61"/>
              <w:spacing w:after="0"/>
              <w:rPr>
                <w:sz w:val="20"/>
                <w:szCs w:val="20"/>
                <w:color w:val="auto"/>
              </w:rPr>
            </w:pPr>
            <w:r>
              <w:rPr>
                <w:rFonts w:ascii="Arial" w:cs="Arial" w:eastAsia="Arial" w:hAnsi="Arial"/>
                <w:sz w:val="12"/>
                <w:szCs w:val="12"/>
                <w:b w:val="1"/>
                <w:bCs w:val="1"/>
                <w:color w:val="auto"/>
                <w:w w:val="89"/>
              </w:rPr>
              <w:t>written off</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End of Peri</w:t>
            </w:r>
          </w:p>
        </w:tc>
        <w:tc>
          <w:tcPr>
            <w:tcW w:w="0" w:type="dxa"/>
            <w:vAlign w:val="bottom"/>
          </w:tcPr>
          <w:p>
            <w:pPr>
              <w:spacing w:after="0"/>
              <w:rPr>
                <w:sz w:val="1"/>
                <w:szCs w:val="1"/>
                <w:color w:val="auto"/>
              </w:rPr>
            </w:pPr>
          </w:p>
        </w:tc>
      </w:tr>
      <w:tr>
        <w:trPr>
          <w:trHeight w:val="92"/>
        </w:trPr>
        <w:tc>
          <w:tcPr>
            <w:tcW w:w="980" w:type="dxa"/>
            <w:vAlign w:val="bottom"/>
            <w:shd w:val="clear" w:color="auto" w:fill="CCEEFF"/>
          </w:tcPr>
          <w:p>
            <w:pPr>
              <w:ind w:left="340"/>
              <w:spacing w:after="0" w:line="92" w:lineRule="exact"/>
              <w:rPr>
                <w:sz w:val="20"/>
                <w:szCs w:val="20"/>
                <w:color w:val="auto"/>
              </w:rPr>
            </w:pPr>
            <w:r>
              <w:rPr>
                <w:rFonts w:ascii="Arial" w:cs="Arial" w:eastAsia="Arial" w:hAnsi="Arial"/>
                <w:sz w:val="9"/>
                <w:szCs w:val="9"/>
                <w:b w:val="1"/>
                <w:bCs w:val="1"/>
                <w:color w:val="auto"/>
              </w:rPr>
              <w:t>Available-</w:t>
            </w:r>
          </w:p>
        </w:tc>
        <w:tc>
          <w:tcPr>
            <w:tcW w:w="7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360" w:type="dxa"/>
            <w:vAlign w:val="bottom"/>
            <w:tcBorders>
              <w:right w:val="single" w:sz="8" w:color="auto"/>
            </w:tcBorders>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9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w w:val="91"/>
              </w:rPr>
              <w:t>for-sale securities</w:t>
            </w:r>
          </w:p>
        </w:tc>
        <w:tc>
          <w:tcPr>
            <w:tcW w:w="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60" w:type="dxa"/>
            <w:vAlign w:val="bottom"/>
            <w:tcBorders>
              <w:right w:val="single" w:sz="8" w:color="auto"/>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980" w:type="dxa"/>
            <w:vAlign w:val="bottom"/>
          </w:tcPr>
          <w:p>
            <w:pPr>
              <w:ind w:left="340"/>
              <w:spacing w:after="0" w:line="111" w:lineRule="exact"/>
              <w:rPr>
                <w:sz w:val="20"/>
                <w:szCs w:val="20"/>
                <w:color w:val="auto"/>
              </w:rPr>
            </w:pPr>
            <w:r>
              <w:rPr>
                <w:rFonts w:ascii="Arial" w:cs="Arial" w:eastAsia="Arial" w:hAnsi="Arial"/>
                <w:sz w:val="12"/>
                <w:szCs w:val="12"/>
                <w:color w:val="auto"/>
              </w:rPr>
              <w:t>Asset-</w:t>
            </w:r>
          </w:p>
        </w:tc>
        <w:tc>
          <w:tcPr>
            <w:tcW w:w="700" w:type="dxa"/>
            <w:vAlign w:val="bottom"/>
            <w:vMerge w:val="restart"/>
          </w:tcPr>
          <w:p>
            <w:pPr>
              <w:jc w:val="right"/>
              <w:ind w:right="241"/>
              <w:spacing w:after="0"/>
              <w:rPr>
                <w:sz w:val="20"/>
                <w:szCs w:val="20"/>
                <w:color w:val="auto"/>
              </w:rPr>
            </w:pPr>
            <w:r>
              <w:rPr>
                <w:rFonts w:ascii="Arial" w:cs="Arial" w:eastAsia="Arial" w:hAnsi="Arial"/>
                <w:sz w:val="12"/>
                <w:szCs w:val="12"/>
                <w:color w:val="auto"/>
              </w:rPr>
              <w:t>$</w:t>
            </w:r>
          </w:p>
        </w:tc>
        <w:tc>
          <w:tcPr>
            <w:tcW w:w="2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ind w:right="281"/>
              <w:spacing w:after="0"/>
              <w:rPr>
                <w:sz w:val="20"/>
                <w:szCs w:val="20"/>
                <w:color w:val="auto"/>
              </w:rPr>
            </w:pPr>
            <w:r>
              <w:rPr>
                <w:rFonts w:ascii="Arial" w:cs="Arial" w:eastAsia="Arial" w:hAnsi="Arial"/>
                <w:sz w:val="12"/>
                <w:szCs w:val="12"/>
                <w:color w:val="auto"/>
              </w:rPr>
              <w:t>$</w:t>
            </w:r>
          </w:p>
        </w:tc>
        <w:tc>
          <w:tcPr>
            <w:tcW w:w="220" w:type="dxa"/>
            <w:vAlign w:val="bottom"/>
            <w:vMerge w:val="restart"/>
          </w:tcPr>
          <w:p>
            <w:pPr>
              <w:ind w:left="40"/>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ind w:right="281"/>
              <w:spacing w:after="0"/>
              <w:rPr>
                <w:sz w:val="20"/>
                <w:szCs w:val="20"/>
                <w:color w:val="auto"/>
              </w:rPr>
            </w:pPr>
            <w:r>
              <w:rPr>
                <w:rFonts w:ascii="Arial" w:cs="Arial" w:eastAsia="Arial" w:hAnsi="Arial"/>
                <w:sz w:val="12"/>
                <w:szCs w:val="12"/>
                <w:color w:val="auto"/>
              </w:rPr>
              <w:t>$</w:t>
            </w:r>
          </w:p>
        </w:tc>
        <w:tc>
          <w:tcPr>
            <w:tcW w:w="200" w:type="dxa"/>
            <w:vAlign w:val="bottom"/>
            <w:vMerge w:val="restart"/>
          </w:tcPr>
          <w:p>
            <w:pPr>
              <w:ind w:left="20"/>
              <w:spacing w:after="0"/>
              <w:rPr>
                <w:sz w:val="20"/>
                <w:szCs w:val="20"/>
                <w:color w:val="auto"/>
              </w:rPr>
            </w:pPr>
            <w:r>
              <w:rPr>
                <w:rFonts w:ascii="Arial" w:cs="Arial" w:eastAsia="Arial" w:hAnsi="Arial"/>
                <w:sz w:val="12"/>
                <w:szCs w:val="12"/>
                <w:color w:val="auto"/>
              </w:rPr>
              <w:t>(1)</w:t>
            </w:r>
          </w:p>
        </w:tc>
        <w:tc>
          <w:tcPr>
            <w:tcW w:w="440" w:type="dxa"/>
            <w:vAlign w:val="bottom"/>
            <w:vMerge w:val="restart"/>
          </w:tcPr>
          <w:p>
            <w:pPr>
              <w:jc w:val="right"/>
              <w:ind w:right="1"/>
              <w:spacing w:after="0"/>
              <w:rPr>
                <w:sz w:val="20"/>
                <w:szCs w:val="20"/>
                <w:color w:val="auto"/>
              </w:rPr>
            </w:pPr>
            <w:r>
              <w:rPr>
                <w:rFonts w:ascii="Arial" w:cs="Arial" w:eastAsia="Arial" w:hAnsi="Arial"/>
                <w:sz w:val="12"/>
                <w:szCs w:val="12"/>
                <w:color w:val="auto"/>
              </w:rPr>
              <w:t>$</w:t>
            </w:r>
          </w:p>
        </w:tc>
        <w:tc>
          <w:tcPr>
            <w:tcW w:w="900" w:type="dxa"/>
            <w:vAlign w:val="bottom"/>
            <w:vMerge w:val="restart"/>
          </w:tcPr>
          <w:p>
            <w:pPr>
              <w:jc w:val="right"/>
              <w:ind w:right="41"/>
              <w:spacing w:after="0"/>
              <w:rPr>
                <w:sz w:val="20"/>
                <w:szCs w:val="20"/>
                <w:color w:val="auto"/>
              </w:rPr>
            </w:pPr>
            <w:r>
              <w:rPr>
                <w:rFonts w:ascii="Arial" w:cs="Arial" w:eastAsia="Arial" w:hAnsi="Arial"/>
                <w:sz w:val="12"/>
                <w:szCs w:val="12"/>
                <w:color w:val="auto"/>
              </w:rPr>
              <w:t>(2)</w:t>
            </w:r>
          </w:p>
        </w:tc>
        <w:tc>
          <w:tcPr>
            <w:tcW w:w="500" w:type="dxa"/>
            <w:vAlign w:val="bottom"/>
          </w:tcPr>
          <w:p>
            <w:pPr>
              <w:spacing w:after="0"/>
              <w:rPr>
                <w:sz w:val="9"/>
                <w:szCs w:val="9"/>
                <w:color w:val="auto"/>
              </w:rPr>
            </w:pPr>
          </w:p>
        </w:tc>
        <w:tc>
          <w:tcPr>
            <w:tcW w:w="3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2"/>
                <w:szCs w:val="12"/>
                <w:color w:val="auto"/>
              </w:rPr>
              <w:t>—</w:t>
            </w:r>
          </w:p>
        </w:tc>
        <w:tc>
          <w:tcPr>
            <w:tcW w:w="520" w:type="dxa"/>
            <w:vAlign w:val="bottom"/>
            <w:vMerge w:val="restart"/>
          </w:tcPr>
          <w:p>
            <w:pPr>
              <w:jc w:val="right"/>
              <w:ind w:right="1"/>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ind w:left="300"/>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60" w:type="dxa"/>
            <w:vAlign w:val="bottom"/>
            <w:vMerge w:val="restart"/>
          </w:tcPr>
          <w:p>
            <w:pPr>
              <w:jc w:val="right"/>
              <w:ind w:right="21"/>
              <w:spacing w:after="0"/>
              <w:rPr>
                <w:sz w:val="20"/>
                <w:szCs w:val="20"/>
                <w:color w:val="auto"/>
              </w:rPr>
            </w:pPr>
            <w:r>
              <w:rPr>
                <w:rFonts w:ascii="Arial" w:cs="Arial" w:eastAsia="Arial" w:hAnsi="Arial"/>
                <w:sz w:val="12"/>
                <w:szCs w:val="12"/>
                <w:color w:val="auto"/>
              </w:rPr>
              <w:t>—</w:t>
            </w: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ind w:right="61"/>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ind w:right="281"/>
              <w:spacing w:after="0"/>
              <w:rPr>
                <w:sz w:val="20"/>
                <w:szCs w:val="20"/>
                <w:color w:val="auto"/>
              </w:rPr>
            </w:pPr>
            <w:r>
              <w:rPr>
                <w:rFonts w:ascii="Arial" w:cs="Arial" w:eastAsia="Arial" w:hAnsi="Arial"/>
                <w:sz w:val="12"/>
                <w:szCs w:val="12"/>
                <w:color w:val="auto"/>
              </w:rPr>
              <w:t>$</w:t>
            </w:r>
          </w:p>
        </w:tc>
        <w:tc>
          <w:tcPr>
            <w:tcW w:w="340" w:type="dxa"/>
            <w:vAlign w:val="bottom"/>
            <w:gridSpan w:val="3"/>
            <w:vMerge w:val="restart"/>
          </w:tcPr>
          <w:p>
            <w:pPr>
              <w:jc w:val="right"/>
              <w:ind w:right="200"/>
              <w:spacing w:after="0"/>
              <w:rPr>
                <w:sz w:val="20"/>
                <w:szCs w:val="20"/>
                <w:color w:val="auto"/>
              </w:rPr>
            </w:pPr>
            <w:r>
              <w:rPr>
                <w:rFonts w:ascii="Arial" w:cs="Arial" w:eastAsia="Arial" w:hAnsi="Arial"/>
                <w:sz w:val="12"/>
                <w:szCs w:val="12"/>
                <w:color w:val="auto"/>
                <w:w w:val="99"/>
              </w:rPr>
              <w:t>—</w:t>
            </w:r>
          </w:p>
        </w:tc>
        <w:tc>
          <w:tcPr>
            <w:tcW w:w="680" w:type="dxa"/>
            <w:vAlign w:val="bottom"/>
            <w:vMerge w:val="restart"/>
          </w:tcPr>
          <w:p>
            <w:pPr>
              <w:jc w:val="right"/>
              <w:ind w:right="22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980" w:type="dxa"/>
            <w:vAlign w:val="bottom"/>
          </w:tcPr>
          <w:p>
            <w:pPr>
              <w:ind w:left="20"/>
              <w:spacing w:after="0"/>
              <w:rPr>
                <w:sz w:val="20"/>
                <w:szCs w:val="20"/>
                <w:color w:val="auto"/>
              </w:rPr>
            </w:pPr>
            <w:r>
              <w:rPr>
                <w:rFonts w:ascii="Arial" w:cs="Arial" w:eastAsia="Arial" w:hAnsi="Arial"/>
                <w:sz w:val="12"/>
                <w:szCs w:val="12"/>
                <w:color w:val="auto"/>
              </w:rPr>
              <w:t>backed securities</w:t>
            </w:r>
          </w:p>
        </w:tc>
        <w:tc>
          <w:tcPr>
            <w:tcW w:w="70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Borders>
              <w:right w:val="single" w:sz="8" w:color="auto"/>
            </w:tcBorders>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340" w:type="dxa"/>
            <w:vAlign w:val="bottom"/>
            <w:gridSpan w:val="3"/>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980" w:type="dxa"/>
            <w:vAlign w:val="bottom"/>
            <w:shd w:val="clear" w:color="auto" w:fill="CCEEFF"/>
          </w:tcPr>
          <w:p>
            <w:pPr>
              <w:ind w:left="340"/>
              <w:spacing w:after="0" w:line="113" w:lineRule="exact"/>
              <w:rPr>
                <w:sz w:val="20"/>
                <w:szCs w:val="20"/>
                <w:color w:val="auto"/>
              </w:rPr>
            </w:pPr>
            <w:r>
              <w:rPr>
                <w:rFonts w:ascii="Arial" w:cs="Arial" w:eastAsia="Arial" w:hAnsi="Arial"/>
                <w:sz w:val="12"/>
                <w:szCs w:val="12"/>
                <w:color w:val="auto"/>
                <w:w w:val="96"/>
              </w:rPr>
              <w:t>Commercial</w:t>
            </w:r>
          </w:p>
        </w:tc>
        <w:tc>
          <w:tcPr>
            <w:tcW w:w="7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360" w:type="dxa"/>
            <w:vAlign w:val="bottom"/>
            <w:tcBorders>
              <w:right w:val="single" w:sz="8" w:color="auto"/>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980" w:type="dxa"/>
            <w:vAlign w:val="bottom"/>
            <w:shd w:val="clear" w:color="auto" w:fill="CCEEFF"/>
          </w:tcPr>
          <w:p>
            <w:pPr>
              <w:ind w:left="20"/>
              <w:spacing w:after="0" w:line="111" w:lineRule="exact"/>
              <w:rPr>
                <w:sz w:val="20"/>
                <w:szCs w:val="20"/>
                <w:color w:val="auto"/>
              </w:rPr>
            </w:pPr>
            <w:r>
              <w:rPr>
                <w:rFonts w:ascii="Arial" w:cs="Arial" w:eastAsia="Arial" w:hAnsi="Arial"/>
                <w:sz w:val="12"/>
                <w:szCs w:val="12"/>
                <w:color w:val="auto"/>
              </w:rPr>
              <w:t>mortgage-backed</w:t>
            </w:r>
          </w:p>
        </w:tc>
        <w:tc>
          <w:tcPr>
            <w:tcW w:w="70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ind w:left="60"/>
              <w:spacing w:after="0"/>
              <w:rPr>
                <w:sz w:val="20"/>
                <w:szCs w:val="20"/>
                <w:color w:val="auto"/>
              </w:rPr>
            </w:pPr>
            <w:r>
              <w:rPr>
                <w:rFonts w:ascii="Arial" w:cs="Arial" w:eastAsia="Arial" w:hAnsi="Arial"/>
                <w:sz w:val="12"/>
                <w:szCs w:val="12"/>
                <w:color w:val="auto"/>
                <w:w w:val="95"/>
              </w:rPr>
              <w:t>(1)</w:t>
            </w:r>
          </w:p>
        </w:tc>
        <w:tc>
          <w:tcPr>
            <w:tcW w:w="74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ind w:right="81"/>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9"/>
                <w:szCs w:val="9"/>
                <w:color w:val="auto"/>
              </w:rPr>
            </w:pPr>
          </w:p>
        </w:tc>
        <w:tc>
          <w:tcPr>
            <w:tcW w:w="360" w:type="dxa"/>
            <w:vAlign w:val="bottom"/>
            <w:tcBorders>
              <w:right w:val="single" w:sz="8" w:color="auto"/>
            </w:tcBorders>
            <w:vMerge w:val="restart"/>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spacing w:after="0"/>
              <w:rPr>
                <w:sz w:val="9"/>
                <w:szCs w:val="9"/>
                <w:color w:val="auto"/>
              </w:rPr>
            </w:pPr>
          </w:p>
        </w:tc>
        <w:tc>
          <w:tcPr>
            <w:tcW w:w="34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2"/>
                <w:szCs w:val="12"/>
                <w:color w:val="auto"/>
                <w:w w:val="99"/>
              </w:rPr>
              <w:t>—</w:t>
            </w: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securities</w:t>
            </w:r>
          </w:p>
        </w:tc>
        <w:tc>
          <w:tcPr>
            <w:tcW w:w="700" w:type="dxa"/>
            <w:vAlign w:val="bottom"/>
            <w:shd w:val="clear" w:color="auto" w:fill="CCEEFF"/>
          </w:tcPr>
          <w:p>
            <w:pPr>
              <w:spacing w:after="0"/>
              <w:rPr>
                <w:sz w:val="13"/>
                <w:szCs w:val="13"/>
                <w:color w:val="auto"/>
              </w:rPr>
            </w:pPr>
          </w:p>
        </w:tc>
        <w:tc>
          <w:tcPr>
            <w:tcW w:w="260" w:type="dxa"/>
            <w:vAlign w:val="bottom"/>
            <w:vMerge w:val="continue"/>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60" w:type="dxa"/>
            <w:vAlign w:val="bottom"/>
            <w:tcBorders>
              <w:right w:val="single" w:sz="8" w:color="auto"/>
            </w:tcBorders>
            <w:vMerge w:val="continue"/>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40" w:type="dxa"/>
            <w:vAlign w:val="bottom"/>
            <w:gridSpan w:val="3"/>
            <w:vMerge w:val="continue"/>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80" w:type="dxa"/>
            <w:vAlign w:val="bottom"/>
          </w:tcPr>
          <w:p>
            <w:pPr>
              <w:ind w:left="340"/>
              <w:spacing w:after="0"/>
              <w:rPr>
                <w:sz w:val="20"/>
                <w:szCs w:val="20"/>
                <w:color w:val="auto"/>
              </w:rPr>
            </w:pPr>
            <w:r>
              <w:rPr>
                <w:rFonts w:ascii="Arial" w:cs="Arial" w:eastAsia="Arial" w:hAnsi="Arial"/>
                <w:sz w:val="12"/>
                <w:szCs w:val="12"/>
                <w:color w:val="auto"/>
              </w:rPr>
              <w:t>Corporates</w:t>
            </w:r>
          </w:p>
        </w:tc>
        <w:tc>
          <w:tcPr>
            <w:tcW w:w="7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(16)</w:t>
            </w:r>
          </w:p>
        </w:tc>
        <w:tc>
          <w:tcPr>
            <w:tcW w:w="740" w:type="dxa"/>
            <w:vAlign w:val="bottom"/>
          </w:tcPr>
          <w:p>
            <w:pPr>
              <w:spacing w:after="0"/>
              <w:rPr>
                <w:sz w:val="13"/>
                <w:szCs w:val="13"/>
                <w:color w:val="auto"/>
              </w:rPr>
            </w:pPr>
          </w:p>
        </w:tc>
        <w:tc>
          <w:tcPr>
            <w:tcW w:w="220" w:type="dxa"/>
            <w:vAlign w:val="bottom"/>
          </w:tcPr>
          <w:p>
            <w:pPr>
              <w:ind w:left="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900" w:type="dxa"/>
            <w:vAlign w:val="bottom"/>
          </w:tcPr>
          <w:p>
            <w:pPr>
              <w:jc w:val="right"/>
              <w:ind w:right="81"/>
              <w:spacing w:after="0"/>
              <w:rPr>
                <w:sz w:val="20"/>
                <w:szCs w:val="20"/>
                <w:color w:val="auto"/>
              </w:rPr>
            </w:pPr>
            <w:r>
              <w:rPr>
                <w:rFonts w:ascii="Arial" w:cs="Arial" w:eastAsia="Arial" w:hAnsi="Arial"/>
                <w:sz w:val="12"/>
                <w:szCs w:val="12"/>
                <w:color w:val="auto"/>
              </w:rPr>
              <w:t>4</w:t>
            </w:r>
          </w:p>
        </w:tc>
        <w:tc>
          <w:tcPr>
            <w:tcW w:w="500" w:type="dxa"/>
            <w:vAlign w:val="bottom"/>
          </w:tcPr>
          <w:p>
            <w:pPr>
              <w:spacing w:after="0"/>
              <w:rPr>
                <w:sz w:val="13"/>
                <w:szCs w:val="13"/>
                <w:color w:val="auto"/>
              </w:rPr>
            </w:pPr>
          </w:p>
        </w:tc>
        <w:tc>
          <w:tcPr>
            <w:tcW w:w="360" w:type="dxa"/>
            <w:vAlign w:val="bottom"/>
            <w:tcBorders>
              <w:right w:val="single" w:sz="8" w:color="auto"/>
            </w:tcBorders>
          </w:tcPr>
          <w:p>
            <w:pPr>
              <w:ind w:left="160"/>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3"/>
                <w:szCs w:val="13"/>
                <w:color w:val="auto"/>
              </w:rPr>
            </w:pPr>
          </w:p>
        </w:tc>
        <w:tc>
          <w:tcPr>
            <w:tcW w:w="480" w:type="dxa"/>
            <w:vAlign w:val="bottom"/>
          </w:tcPr>
          <w:p>
            <w:pPr>
              <w:ind w:left="30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86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8</w:t>
            </w:r>
          </w:p>
        </w:tc>
        <w:tc>
          <w:tcPr>
            <w:tcW w:w="6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980" w:type="dxa"/>
            <w:vAlign w:val="bottom"/>
            <w:shd w:val="clear" w:color="auto" w:fill="CCEEFF"/>
          </w:tcPr>
          <w:p>
            <w:pPr>
              <w:ind w:left="340"/>
              <w:spacing w:after="0" w:line="113" w:lineRule="exact"/>
              <w:rPr>
                <w:sz w:val="20"/>
                <w:szCs w:val="20"/>
                <w:color w:val="auto"/>
              </w:rPr>
            </w:pPr>
            <w:r>
              <w:rPr>
                <w:rFonts w:ascii="Arial" w:cs="Arial" w:eastAsia="Arial" w:hAnsi="Arial"/>
                <w:sz w:val="12"/>
                <w:szCs w:val="12"/>
                <w:color w:val="auto"/>
              </w:rPr>
              <w:t>Residential</w:t>
            </w:r>
          </w:p>
        </w:tc>
        <w:tc>
          <w:tcPr>
            <w:tcW w:w="7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360" w:type="dxa"/>
            <w:vAlign w:val="bottom"/>
            <w:tcBorders>
              <w:right w:val="single" w:sz="8" w:color="auto"/>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980" w:type="dxa"/>
            <w:vAlign w:val="bottom"/>
            <w:shd w:val="clear" w:color="auto" w:fill="CCEEFF"/>
          </w:tcPr>
          <w:p>
            <w:pPr>
              <w:ind w:left="20"/>
              <w:spacing w:after="0" w:line="111" w:lineRule="exact"/>
              <w:rPr>
                <w:sz w:val="20"/>
                <w:szCs w:val="20"/>
                <w:color w:val="auto"/>
              </w:rPr>
            </w:pPr>
            <w:r>
              <w:rPr>
                <w:rFonts w:ascii="Arial" w:cs="Arial" w:eastAsia="Arial" w:hAnsi="Arial"/>
                <w:sz w:val="12"/>
                <w:szCs w:val="12"/>
                <w:color w:val="auto"/>
              </w:rPr>
              <w:t>mortgage-backed</w:t>
            </w:r>
          </w:p>
        </w:tc>
        <w:tc>
          <w:tcPr>
            <w:tcW w:w="70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74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ind w:left="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ind w:right="41"/>
              <w:spacing w:after="0"/>
              <w:rPr>
                <w:sz w:val="20"/>
                <w:szCs w:val="20"/>
                <w:color w:val="auto"/>
              </w:rPr>
            </w:pPr>
            <w:r>
              <w:rPr>
                <w:rFonts w:ascii="Arial" w:cs="Arial" w:eastAsia="Arial" w:hAnsi="Arial"/>
                <w:sz w:val="12"/>
                <w:szCs w:val="12"/>
                <w:color w:val="auto"/>
              </w:rPr>
              <w:t>(1)</w:t>
            </w:r>
          </w:p>
        </w:tc>
        <w:tc>
          <w:tcPr>
            <w:tcW w:w="500" w:type="dxa"/>
            <w:vAlign w:val="bottom"/>
            <w:shd w:val="clear" w:color="auto" w:fill="CCEEFF"/>
          </w:tcPr>
          <w:p>
            <w:pPr>
              <w:spacing w:after="0"/>
              <w:rPr>
                <w:sz w:val="9"/>
                <w:szCs w:val="9"/>
                <w:color w:val="auto"/>
              </w:rPr>
            </w:pPr>
          </w:p>
        </w:tc>
        <w:tc>
          <w:tcPr>
            <w:tcW w:w="360" w:type="dxa"/>
            <w:vAlign w:val="bottom"/>
            <w:tcBorders>
              <w:right w:val="single" w:sz="8" w:color="auto"/>
            </w:tcBorders>
            <w:vMerge w:val="restart"/>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spacing w:after="0"/>
              <w:rPr>
                <w:sz w:val="9"/>
                <w:szCs w:val="9"/>
                <w:color w:val="auto"/>
              </w:rPr>
            </w:pPr>
          </w:p>
        </w:tc>
        <w:tc>
          <w:tcPr>
            <w:tcW w:w="34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2"/>
                <w:szCs w:val="12"/>
                <w:color w:val="auto"/>
                <w:w w:val="99"/>
              </w:rPr>
              <w:t>—</w:t>
            </w: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securities</w:t>
            </w:r>
          </w:p>
        </w:tc>
        <w:tc>
          <w:tcPr>
            <w:tcW w:w="700" w:type="dxa"/>
            <w:vAlign w:val="bottom"/>
            <w:shd w:val="clear" w:color="auto" w:fill="CCEEFF"/>
          </w:tcPr>
          <w:p>
            <w:pPr>
              <w:spacing w:after="0"/>
              <w:rPr>
                <w:sz w:val="13"/>
                <w:szCs w:val="13"/>
                <w:color w:val="auto"/>
              </w:rPr>
            </w:pPr>
          </w:p>
        </w:tc>
        <w:tc>
          <w:tcPr>
            <w:tcW w:w="260" w:type="dxa"/>
            <w:vAlign w:val="bottom"/>
            <w:vMerge w:val="continue"/>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60" w:type="dxa"/>
            <w:vAlign w:val="bottom"/>
            <w:tcBorders>
              <w:right w:val="single" w:sz="8" w:color="auto"/>
            </w:tcBorders>
            <w:vMerge w:val="continue"/>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40" w:type="dxa"/>
            <w:vAlign w:val="bottom"/>
            <w:gridSpan w:val="3"/>
            <w:vMerge w:val="continue"/>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80" w:type="dxa"/>
            <w:vAlign w:val="bottom"/>
          </w:tcPr>
          <w:p>
            <w:pPr>
              <w:ind w:left="620"/>
              <w:spacing w:after="0" w:line="91" w:lineRule="exact"/>
              <w:rPr>
                <w:sz w:val="20"/>
                <w:szCs w:val="20"/>
                <w:color w:val="auto"/>
              </w:rPr>
            </w:pPr>
            <w:r>
              <w:rPr>
                <w:rFonts w:ascii="Arial" w:cs="Arial" w:eastAsia="Arial" w:hAnsi="Arial"/>
                <w:sz w:val="9"/>
                <w:szCs w:val="9"/>
                <w:b w:val="1"/>
                <w:bCs w:val="1"/>
                <w:color w:val="auto"/>
              </w:rPr>
              <w:t>Total</w:t>
            </w:r>
          </w:p>
        </w:tc>
        <w:tc>
          <w:tcPr>
            <w:tcW w:w="70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360" w:type="dxa"/>
            <w:vAlign w:val="bottom"/>
            <w:tcBorders>
              <w:top w:val="single" w:sz="8" w:color="auto"/>
              <w:right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980" w:type="dxa"/>
            <w:vAlign w:val="bottom"/>
          </w:tcPr>
          <w:p>
            <w:pPr>
              <w:ind w:left="280"/>
              <w:spacing w:after="0" w:line="111" w:lineRule="exact"/>
              <w:rPr>
                <w:sz w:val="20"/>
                <w:szCs w:val="20"/>
                <w:color w:val="auto"/>
              </w:rPr>
            </w:pPr>
            <w:r>
              <w:rPr>
                <w:rFonts w:ascii="Arial" w:cs="Arial" w:eastAsia="Arial" w:hAnsi="Arial"/>
                <w:sz w:val="12"/>
                <w:szCs w:val="12"/>
                <w:b w:val="1"/>
                <w:bCs w:val="1"/>
                <w:color w:val="auto"/>
                <w:w w:val="90"/>
              </w:rPr>
              <w:t>available-for-</w:t>
            </w: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980" w:type="dxa"/>
            <w:vAlign w:val="bottom"/>
          </w:tcPr>
          <w:p>
            <w:pPr>
              <w:ind w:left="280"/>
              <w:spacing w:after="0" w:line="111" w:lineRule="exact"/>
              <w:rPr>
                <w:sz w:val="20"/>
                <w:szCs w:val="20"/>
                <w:color w:val="auto"/>
              </w:rPr>
            </w:pPr>
            <w:r>
              <w:rPr>
                <w:rFonts w:ascii="Arial" w:cs="Arial" w:eastAsia="Arial" w:hAnsi="Arial"/>
                <w:sz w:val="12"/>
                <w:szCs w:val="12"/>
                <w:b w:val="1"/>
                <w:bCs w:val="1"/>
                <w:color w:val="auto"/>
              </w:rPr>
              <w:t>sale</w:t>
            </w:r>
          </w:p>
        </w:tc>
        <w:tc>
          <w:tcPr>
            <w:tcW w:w="700" w:type="dxa"/>
            <w:vAlign w:val="bottom"/>
            <w:vMerge w:val="restart"/>
          </w:tcPr>
          <w:p>
            <w:pPr>
              <w:jc w:val="right"/>
              <w:ind w:right="241"/>
              <w:spacing w:after="0"/>
              <w:rPr>
                <w:sz w:val="20"/>
                <w:szCs w:val="20"/>
                <w:color w:val="auto"/>
              </w:rPr>
            </w:pPr>
            <w:r>
              <w:rPr>
                <w:rFonts w:ascii="Arial" w:cs="Arial" w:eastAsia="Arial" w:hAnsi="Arial"/>
                <w:sz w:val="12"/>
                <w:szCs w:val="12"/>
                <w:color w:val="auto"/>
              </w:rPr>
              <w:t>$</w:t>
            </w:r>
          </w:p>
        </w:tc>
        <w:tc>
          <w:tcPr>
            <w:tcW w:w="260" w:type="dxa"/>
            <w:vAlign w:val="bottom"/>
            <w:vMerge w:val="restart"/>
          </w:tcPr>
          <w:p>
            <w:pPr>
              <w:jc w:val="right"/>
              <w:spacing w:after="0"/>
              <w:rPr>
                <w:sz w:val="20"/>
                <w:szCs w:val="20"/>
                <w:color w:val="auto"/>
              </w:rPr>
            </w:pPr>
            <w:r>
              <w:rPr>
                <w:rFonts w:ascii="Arial" w:cs="Arial" w:eastAsia="Arial" w:hAnsi="Arial"/>
                <w:sz w:val="12"/>
                <w:szCs w:val="12"/>
                <w:color w:val="auto"/>
              </w:rPr>
              <w:t>(19)</w:t>
            </w:r>
          </w:p>
        </w:tc>
        <w:tc>
          <w:tcPr>
            <w:tcW w:w="740" w:type="dxa"/>
            <w:vAlign w:val="bottom"/>
            <w:vMerge w:val="restart"/>
          </w:tcPr>
          <w:p>
            <w:pPr>
              <w:jc w:val="right"/>
              <w:ind w:right="281"/>
              <w:spacing w:after="0"/>
              <w:rPr>
                <w:sz w:val="20"/>
                <w:szCs w:val="20"/>
                <w:color w:val="auto"/>
              </w:rPr>
            </w:pPr>
            <w:r>
              <w:rPr>
                <w:rFonts w:ascii="Arial" w:cs="Arial" w:eastAsia="Arial" w:hAnsi="Arial"/>
                <w:sz w:val="12"/>
                <w:szCs w:val="12"/>
                <w:color w:val="auto"/>
              </w:rPr>
              <w:t>$</w:t>
            </w:r>
          </w:p>
        </w:tc>
        <w:tc>
          <w:tcPr>
            <w:tcW w:w="220" w:type="dxa"/>
            <w:vAlign w:val="bottom"/>
            <w:vMerge w:val="restart"/>
          </w:tcPr>
          <w:p>
            <w:pPr>
              <w:ind w:left="60"/>
              <w:spacing w:after="0"/>
              <w:rPr>
                <w:sz w:val="20"/>
                <w:szCs w:val="20"/>
                <w:color w:val="auto"/>
              </w:rPr>
            </w:pPr>
            <w:r>
              <w:rPr>
                <w:rFonts w:ascii="Arial" w:cs="Arial" w:eastAsia="Arial" w:hAnsi="Arial"/>
                <w:sz w:val="12"/>
                <w:szCs w:val="12"/>
                <w:color w:val="auto"/>
                <w:w w:val="95"/>
              </w:rPr>
              <w:t>(1)</w:t>
            </w:r>
          </w:p>
        </w:tc>
        <w:tc>
          <w:tcPr>
            <w:tcW w:w="740" w:type="dxa"/>
            <w:vAlign w:val="bottom"/>
            <w:vMerge w:val="restart"/>
          </w:tcPr>
          <w:p>
            <w:pPr>
              <w:jc w:val="right"/>
              <w:ind w:right="281"/>
              <w:spacing w:after="0"/>
              <w:rPr>
                <w:sz w:val="20"/>
                <w:szCs w:val="20"/>
                <w:color w:val="auto"/>
              </w:rPr>
            </w:pPr>
            <w:r>
              <w:rPr>
                <w:rFonts w:ascii="Arial" w:cs="Arial" w:eastAsia="Arial" w:hAnsi="Arial"/>
                <w:sz w:val="12"/>
                <w:szCs w:val="12"/>
                <w:color w:val="auto"/>
              </w:rPr>
              <w:t>$</w:t>
            </w:r>
          </w:p>
        </w:tc>
        <w:tc>
          <w:tcPr>
            <w:tcW w:w="200" w:type="dxa"/>
            <w:vAlign w:val="bottom"/>
            <w:vMerge w:val="restart"/>
          </w:tcPr>
          <w:p>
            <w:pPr>
              <w:ind w:left="20"/>
              <w:spacing w:after="0"/>
              <w:rPr>
                <w:sz w:val="20"/>
                <w:szCs w:val="20"/>
                <w:color w:val="auto"/>
              </w:rPr>
            </w:pPr>
            <w:r>
              <w:rPr>
                <w:rFonts w:ascii="Arial" w:cs="Arial" w:eastAsia="Arial" w:hAnsi="Arial"/>
                <w:sz w:val="12"/>
                <w:szCs w:val="12"/>
                <w:color w:val="auto"/>
              </w:rPr>
              <w:t>(1)</w:t>
            </w:r>
          </w:p>
        </w:tc>
        <w:tc>
          <w:tcPr>
            <w:tcW w:w="440" w:type="dxa"/>
            <w:vAlign w:val="bottom"/>
            <w:vMerge w:val="restart"/>
          </w:tcPr>
          <w:p>
            <w:pPr>
              <w:jc w:val="right"/>
              <w:ind w:right="1"/>
              <w:spacing w:after="0"/>
              <w:rPr>
                <w:sz w:val="20"/>
                <w:szCs w:val="20"/>
                <w:color w:val="auto"/>
              </w:rPr>
            </w:pPr>
            <w:r>
              <w:rPr>
                <w:rFonts w:ascii="Arial" w:cs="Arial" w:eastAsia="Arial" w:hAnsi="Arial"/>
                <w:sz w:val="12"/>
                <w:szCs w:val="12"/>
                <w:color w:val="auto"/>
              </w:rPr>
              <w:t>$</w:t>
            </w:r>
          </w:p>
        </w:tc>
        <w:tc>
          <w:tcPr>
            <w:tcW w:w="900" w:type="dxa"/>
            <w:vAlign w:val="bottom"/>
            <w:vMerge w:val="restart"/>
          </w:tcPr>
          <w:p>
            <w:pPr>
              <w:jc w:val="right"/>
              <w:ind w:right="81"/>
              <w:spacing w:after="0"/>
              <w:rPr>
                <w:sz w:val="20"/>
                <w:szCs w:val="20"/>
                <w:color w:val="auto"/>
              </w:rPr>
            </w:pPr>
            <w:r>
              <w:rPr>
                <w:rFonts w:ascii="Arial" w:cs="Arial" w:eastAsia="Arial" w:hAnsi="Arial"/>
                <w:sz w:val="12"/>
                <w:szCs w:val="12"/>
                <w:color w:val="auto"/>
              </w:rPr>
              <w:t>1</w:t>
            </w:r>
          </w:p>
        </w:tc>
        <w:tc>
          <w:tcPr>
            <w:tcW w:w="500" w:type="dxa"/>
            <w:vAlign w:val="bottom"/>
            <w:vMerge w:val="restart"/>
          </w:tcPr>
          <w:p>
            <w:pPr>
              <w:jc w:val="right"/>
              <w:ind w:right="121"/>
              <w:spacing w:after="0"/>
              <w:rPr>
                <w:sz w:val="20"/>
                <w:szCs w:val="20"/>
                <w:color w:val="auto"/>
              </w:rPr>
            </w:pPr>
            <w:r>
              <w:rPr>
                <w:rFonts w:ascii="Arial" w:cs="Arial" w:eastAsia="Arial" w:hAnsi="Arial"/>
                <w:sz w:val="12"/>
                <w:szCs w:val="12"/>
                <w:color w:val="auto"/>
              </w:rPr>
              <w:t>$</w:t>
            </w:r>
          </w:p>
        </w:tc>
        <w:tc>
          <w:tcPr>
            <w:tcW w:w="3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2"/>
                <w:szCs w:val="12"/>
                <w:color w:val="auto"/>
              </w:rPr>
              <w:t>—</w:t>
            </w:r>
          </w:p>
        </w:tc>
        <w:tc>
          <w:tcPr>
            <w:tcW w:w="520" w:type="dxa"/>
            <w:vAlign w:val="bottom"/>
            <w:vMerge w:val="restart"/>
          </w:tcPr>
          <w:p>
            <w:pPr>
              <w:jc w:val="right"/>
              <w:ind w:right="1"/>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ind w:left="300"/>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60" w:type="dxa"/>
            <w:vAlign w:val="bottom"/>
            <w:vMerge w:val="restart"/>
          </w:tcPr>
          <w:p>
            <w:pPr>
              <w:jc w:val="right"/>
              <w:ind w:right="21"/>
              <w:spacing w:after="0"/>
              <w:rPr>
                <w:sz w:val="20"/>
                <w:szCs w:val="20"/>
                <w:color w:val="auto"/>
              </w:rPr>
            </w:pPr>
            <w:r>
              <w:rPr>
                <w:rFonts w:ascii="Arial" w:cs="Arial" w:eastAsia="Arial" w:hAnsi="Arial"/>
                <w:sz w:val="12"/>
                <w:szCs w:val="12"/>
                <w:color w:val="auto"/>
              </w:rPr>
              <w:t>—</w:t>
            </w: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ind w:right="61"/>
              <w:spacing w:after="0"/>
              <w:rPr>
                <w:sz w:val="20"/>
                <w:szCs w:val="20"/>
                <w:color w:val="auto"/>
              </w:rPr>
            </w:pPr>
            <w:r>
              <w:rPr>
                <w:rFonts w:ascii="Arial" w:cs="Arial" w:eastAsia="Arial" w:hAnsi="Arial"/>
                <w:sz w:val="12"/>
                <w:szCs w:val="12"/>
                <w:color w:val="auto"/>
              </w:rPr>
              <w:t>8</w:t>
            </w:r>
          </w:p>
        </w:tc>
        <w:tc>
          <w:tcPr>
            <w:tcW w:w="680" w:type="dxa"/>
            <w:vAlign w:val="bottom"/>
            <w:vMerge w:val="restart"/>
          </w:tcPr>
          <w:p>
            <w:pPr>
              <w:jc w:val="right"/>
              <w:ind w:right="281"/>
              <w:spacing w:after="0"/>
              <w:rPr>
                <w:sz w:val="20"/>
                <w:szCs w:val="20"/>
                <w:color w:val="auto"/>
              </w:rPr>
            </w:pPr>
            <w:r>
              <w:rPr>
                <w:rFonts w:ascii="Arial" w:cs="Arial" w:eastAsia="Arial" w:hAnsi="Arial"/>
                <w:sz w:val="12"/>
                <w:szCs w:val="12"/>
                <w:color w:val="auto"/>
              </w:rPr>
              <w:t>$</w:t>
            </w:r>
          </w:p>
        </w:tc>
        <w:tc>
          <w:tcPr>
            <w:tcW w:w="180" w:type="dxa"/>
            <w:vAlign w:val="bottom"/>
            <w:vMerge w:val="restart"/>
          </w:tcPr>
          <w:p>
            <w:pPr>
              <w:jc w:val="right"/>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22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9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Borders>
              <w:bottom w:val="single" w:sz="8" w:color="auto"/>
            </w:tcBorders>
            <w:vMerge w:val="continue"/>
          </w:tcPr>
          <w:p>
            <w:pPr>
              <w:spacing w:after="0"/>
              <w:rPr>
                <w:sz w:val="11"/>
                <w:szCs w:val="11"/>
                <w:color w:val="auto"/>
              </w:rPr>
            </w:pPr>
          </w:p>
        </w:tc>
        <w:tc>
          <w:tcPr>
            <w:tcW w:w="260" w:type="dxa"/>
            <w:vAlign w:val="bottom"/>
            <w:tcBorders>
              <w:bottom w:val="single" w:sz="8" w:color="auto"/>
            </w:tcBorders>
            <w:vMerge w:val="continue"/>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220" w:type="dxa"/>
            <w:vAlign w:val="bottom"/>
            <w:tcBorders>
              <w:bottom w:val="single" w:sz="8" w:color="auto"/>
            </w:tcBorders>
            <w:vMerge w:val="continue"/>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auto"/>
            </w:tcBorders>
            <w:vMerge w:val="continue"/>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360" w:type="dxa"/>
            <w:vAlign w:val="bottom"/>
            <w:tcBorders>
              <w:bottom w:val="single" w:sz="8" w:color="auto"/>
              <w:right w:val="single" w:sz="8" w:color="auto"/>
            </w:tcBorders>
            <w:vMerge w:val="continue"/>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380" w:type="dxa"/>
            <w:vAlign w:val="bottom"/>
            <w:tcBorders>
              <w:bottom w:val="single" w:sz="8" w:color="auto"/>
            </w:tcBorders>
            <w:vMerge w:val="continue"/>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540" w:hanging="200"/>
        <w:spacing w:after="0"/>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Purchased credit deteriorated financial assets ("PCD")</w:t>
      </w:r>
    </w:p>
    <w:p>
      <w:pPr>
        <w:spacing w:after="0" w:line="14"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3"/>
          <w:szCs w:val="13"/>
          <w:color w:val="auto"/>
        </w:rPr>
        <w:t>Purchased credit-deteriorated available-for-sale debt securities ("PCD"s) are AFS securities purchased at a discount, where part of that discount is attributable to credit. Credit loss</w:t>
      </w:r>
    </w:p>
    <w:p>
      <w:pPr>
        <w:spacing w:after="0" w:line="27" w:lineRule="exact"/>
        <w:rPr>
          <w:sz w:val="20"/>
          <w:szCs w:val="20"/>
          <w:color w:val="auto"/>
        </w:rPr>
      </w:pPr>
    </w:p>
    <w:p>
      <w:pPr>
        <w:ind w:right="80"/>
        <w:spacing w:after="0" w:line="251" w:lineRule="auto"/>
        <w:rPr>
          <w:sz w:val="20"/>
          <w:szCs w:val="20"/>
          <w:color w:val="auto"/>
        </w:rPr>
      </w:pPr>
      <w:r>
        <w:rPr>
          <w:rFonts w:ascii="Arial" w:cs="Arial" w:eastAsia="Arial" w:hAnsi="Arial"/>
          <w:sz w:val="15"/>
          <w:szCs w:val="15"/>
          <w:color w:val="auto"/>
        </w:rPr>
        <w:t>allowances are calculated for these securities as of the date of their acquisition, with the initial allowance serving to increase amortized cost. The following table summarizes purchases of PCD AFS securities during the three and nine-month periods ended September 30, 2021 (in millions).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151"/>
        </w:trPr>
        <w:tc>
          <w:tcPr>
            <w:tcW w:w="740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b w:val="1"/>
                <w:bCs w:val="1"/>
                <w:color w:val="auto"/>
              </w:rPr>
              <w:t>Nine months ended</w:t>
            </w:r>
          </w:p>
        </w:tc>
      </w:tr>
      <w:tr>
        <w:trPr>
          <w:trHeight w:val="160"/>
        </w:trPr>
        <w:tc>
          <w:tcPr>
            <w:tcW w:w="7400" w:type="dxa"/>
            <w:vAlign w:val="bottom"/>
            <w:tcBorders>
              <w:bottom w:val="single" w:sz="8" w:color="CCEEFF"/>
            </w:tcBorders>
          </w:tcPr>
          <w:p>
            <w:pPr>
              <w:ind w:left="340"/>
              <w:spacing w:after="0"/>
              <w:rPr>
                <w:sz w:val="20"/>
                <w:szCs w:val="20"/>
                <w:color w:val="auto"/>
              </w:rPr>
            </w:pPr>
            <w:r>
              <w:rPr>
                <w:rFonts w:ascii="Arial" w:cs="Arial" w:eastAsia="Arial" w:hAnsi="Arial"/>
                <w:sz w:val="12"/>
                <w:szCs w:val="12"/>
                <w:b w:val="1"/>
                <w:bCs w:val="1"/>
                <w:color w:val="auto"/>
              </w:rPr>
              <w:t>Purchased credit-deteriorated available-for-sale debt securities</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September 30, 2021</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September 30, 2021</w:t>
            </w:r>
          </w:p>
        </w:tc>
      </w:tr>
      <w:tr>
        <w:trPr>
          <w:trHeight w:val="184"/>
        </w:trPr>
        <w:tc>
          <w:tcPr>
            <w:tcW w:w="74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Purchase price</w:t>
            </w:r>
          </w:p>
        </w:tc>
        <w:tc>
          <w:tcPr>
            <w:tcW w:w="1660" w:type="dxa"/>
            <w:vAlign w:val="bottom"/>
            <w:shd w:val="clear" w:color="auto" w:fill="CCEEFF"/>
          </w:tcPr>
          <w:p>
            <w:pPr>
              <w:jc w:val="right"/>
              <w:ind w:right="1174"/>
              <w:spacing w:after="0"/>
              <w:rPr>
                <w:sz w:val="20"/>
                <w:szCs w:val="20"/>
                <w:color w:val="auto"/>
              </w:rPr>
            </w:pPr>
            <w:r>
              <w:rPr>
                <w:rFonts w:ascii="Arial" w:cs="Arial" w:eastAsia="Arial" w:hAnsi="Arial"/>
                <w:sz w:val="15"/>
                <w:szCs w:val="15"/>
                <w:color w:val="auto"/>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640" w:type="dxa"/>
            <w:vAlign w:val="bottom"/>
            <w:shd w:val="clear" w:color="auto" w:fill="CCEEFF"/>
          </w:tcPr>
          <w:p>
            <w:pPr>
              <w:jc w:val="right"/>
              <w:ind w:right="1154"/>
              <w:spacing w:after="0"/>
              <w:rPr>
                <w:sz w:val="20"/>
                <w:szCs w:val="20"/>
                <w:color w:val="auto"/>
              </w:rPr>
            </w:pPr>
            <w:r>
              <w:rPr>
                <w:rFonts w:ascii="Arial" w:cs="Arial" w:eastAsia="Arial" w:hAnsi="Arial"/>
                <w:sz w:val="15"/>
                <w:szCs w:val="15"/>
                <w:color w:val="auto"/>
              </w:rPr>
              <w:t>$</w:t>
            </w:r>
          </w:p>
        </w:tc>
      </w:tr>
      <w:tr>
        <w:trPr>
          <w:trHeight w:val="188"/>
        </w:trPr>
        <w:tc>
          <w:tcPr>
            <w:tcW w:w="740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Allowance for credit losses at acquisition</w:t>
            </w:r>
          </w:p>
        </w:tc>
        <w:tc>
          <w:tcPr>
            <w:tcW w:w="1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auto"/>
            </w:tcBorders>
          </w:tcPr>
          <w:p>
            <w:pPr>
              <w:spacing w:after="0"/>
              <w:rPr>
                <w:sz w:val="16"/>
                <w:szCs w:val="16"/>
                <w:color w:val="auto"/>
              </w:rPr>
            </w:pPr>
          </w:p>
        </w:tc>
      </w:tr>
      <w:tr>
        <w:trPr>
          <w:trHeight w:val="204"/>
        </w:trPr>
        <w:tc>
          <w:tcPr>
            <w:tcW w:w="7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AFS purchased credit-deteriorated par value</w:t>
            </w:r>
          </w:p>
        </w:tc>
        <w:tc>
          <w:tcPr>
            <w:tcW w:w="1660" w:type="dxa"/>
            <w:vAlign w:val="bottom"/>
            <w:tcBorders>
              <w:bottom w:val="single" w:sz="8" w:color="auto"/>
            </w:tcBorders>
            <w:shd w:val="clear" w:color="auto" w:fill="CCEEFF"/>
          </w:tcPr>
          <w:p>
            <w:pPr>
              <w:jc w:val="right"/>
              <w:ind w:right="1174"/>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auto"/>
            </w:tcBorders>
            <w:shd w:val="clear" w:color="auto" w:fill="CCEEFF"/>
          </w:tcPr>
          <w:p>
            <w:pPr>
              <w:jc w:val="right"/>
              <w:ind w:right="1154"/>
              <w:spacing w:after="0"/>
              <w:rPr>
                <w:sz w:val="20"/>
                <w:szCs w:val="20"/>
                <w:color w:val="auto"/>
              </w:rPr>
            </w:pPr>
            <w:r>
              <w:rPr>
                <w:rFonts w:ascii="Arial" w:cs="Arial" w:eastAsia="Arial" w:hAnsi="Arial"/>
                <w:sz w:val="15"/>
                <w:szCs w:val="15"/>
                <w:color w:val="auto"/>
              </w:rPr>
              <w:t>$</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80" w:firstLine="331"/>
        <w:spacing w:after="0" w:line="302" w:lineRule="auto"/>
        <w:rPr>
          <w:sz w:val="20"/>
          <w:szCs w:val="20"/>
          <w:color w:val="auto"/>
        </w:rPr>
      </w:pPr>
      <w:r>
        <w:rPr>
          <w:rFonts w:ascii="Arial" w:cs="Arial" w:eastAsia="Arial" w:hAnsi="Arial"/>
          <w:sz w:val="14"/>
          <w:szCs w:val="14"/>
          <w:color w:val="auto"/>
        </w:rPr>
        <w:t>The fair value and gross unrealized losses of AFS securities, excluding securities in an unrealized loss position with an allowance for expected credit loss, aggregated by investment category and duration of fair value below amortized cost as of September 30, 2021 and December 31, 2020 were as follows (dollars in millions):</w:t>
      </w:r>
    </w:p>
    <w:p>
      <w:pPr>
        <w:spacing w:after="0" w:line="200" w:lineRule="exact"/>
        <w:rPr>
          <w:sz w:val="20"/>
          <w:szCs w:val="20"/>
          <w:color w:val="auto"/>
        </w:rPr>
      </w:pPr>
    </w:p>
    <w:p>
      <w:pPr>
        <w:spacing w:after="0" w:line="300"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33" w:name="page34"/>
    <w:bookmarkEnd w:id="33"/>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2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center"/>
              <w:ind w:left="521"/>
              <w:spacing w:after="0"/>
              <w:rPr>
                <w:sz w:val="20"/>
                <w:szCs w:val="20"/>
                <w:color w:val="auto"/>
              </w:rPr>
            </w:pPr>
            <w:r>
              <w:rPr>
                <w:rFonts w:ascii="Arial" w:cs="Arial" w:eastAsia="Arial" w:hAnsi="Arial"/>
                <w:sz w:val="12"/>
                <w:szCs w:val="12"/>
                <w:b w:val="1"/>
                <w:bCs w:val="1"/>
                <w:color w:val="auto"/>
                <w:w w:val="87"/>
              </w:rPr>
              <w:t>September 30, 2021</w:t>
            </w: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740" w:type="dxa"/>
            <w:vAlign w:val="bottom"/>
            <w:gridSpan w:val="6"/>
          </w:tcPr>
          <w:p>
            <w:pPr>
              <w:ind w:left="800"/>
              <w:spacing w:after="0"/>
              <w:rPr>
                <w:sz w:val="20"/>
                <w:szCs w:val="20"/>
                <w:color w:val="auto"/>
              </w:rPr>
            </w:pPr>
            <w:r>
              <w:rPr>
                <w:rFonts w:ascii="Arial" w:cs="Arial" w:eastAsia="Arial" w:hAnsi="Arial"/>
                <w:sz w:val="12"/>
                <w:szCs w:val="12"/>
                <w:b w:val="1"/>
                <w:bCs w:val="1"/>
                <w:color w:val="auto"/>
              </w:rPr>
              <w:t>Less than 12 months</w:t>
            </w:r>
          </w:p>
        </w:tc>
        <w:tc>
          <w:tcPr>
            <w:tcW w:w="220" w:type="dxa"/>
            <w:vAlign w:val="bottom"/>
          </w:tcPr>
          <w:p>
            <w:pPr>
              <w:spacing w:after="0"/>
              <w:rPr>
                <w:sz w:val="12"/>
                <w:szCs w:val="12"/>
                <w:color w:val="auto"/>
              </w:rPr>
            </w:pPr>
          </w:p>
        </w:tc>
        <w:tc>
          <w:tcPr>
            <w:tcW w:w="1600" w:type="dxa"/>
            <w:vAlign w:val="bottom"/>
            <w:gridSpan w:val="3"/>
          </w:tcPr>
          <w:p>
            <w:pPr>
              <w:jc w:val="center"/>
              <w:ind w:left="501"/>
              <w:spacing w:after="0"/>
              <w:rPr>
                <w:sz w:val="20"/>
                <w:szCs w:val="20"/>
                <w:color w:val="auto"/>
              </w:rPr>
            </w:pPr>
            <w:r>
              <w:rPr>
                <w:rFonts w:ascii="Arial" w:cs="Arial" w:eastAsia="Arial" w:hAnsi="Arial"/>
                <w:sz w:val="12"/>
                <w:szCs w:val="12"/>
                <w:b w:val="1"/>
                <w:bCs w:val="1"/>
                <w:color w:val="auto"/>
                <w:w w:val="86"/>
              </w:rPr>
              <w:t>12 months or longer</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3"/>
          </w:tcPr>
          <w:p>
            <w:pPr>
              <w:jc w:val="right"/>
              <w:ind w:right="1"/>
              <w:spacing w:after="0"/>
              <w:rPr>
                <w:sz w:val="20"/>
                <w:szCs w:val="20"/>
                <w:color w:val="auto"/>
              </w:rPr>
            </w:pPr>
            <w:r>
              <w:rPr>
                <w:rFonts w:ascii="Arial" w:cs="Arial" w:eastAsia="Arial" w:hAnsi="Arial"/>
                <w:sz w:val="12"/>
                <w:szCs w:val="12"/>
                <w:b w:val="1"/>
                <w:bCs w:val="1"/>
                <w:color w:val="auto"/>
              </w:rPr>
              <w:t>Total</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200" w:type="dxa"/>
            <w:vAlign w:val="bottom"/>
          </w:tcPr>
          <w:p>
            <w:pPr>
              <w:spacing w:after="0"/>
              <w:rPr>
                <w:sz w:val="8"/>
                <w:szCs w:val="8"/>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b w:val="1"/>
                <w:bCs w:val="1"/>
                <w:color w:val="auto"/>
              </w:rPr>
              <w:t>Fair Value</w:t>
            </w:r>
          </w:p>
        </w:tc>
        <w:tc>
          <w:tcPr>
            <w:tcW w:w="3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jc w:val="right"/>
              <w:ind w:right="142"/>
              <w:spacing w:after="0" w:line="103" w:lineRule="exact"/>
              <w:rPr>
                <w:sz w:val="20"/>
                <w:szCs w:val="20"/>
                <w:color w:val="auto"/>
              </w:rPr>
            </w:pPr>
            <w:r>
              <w:rPr>
                <w:rFonts w:ascii="Arial" w:cs="Arial" w:eastAsia="Arial" w:hAnsi="Arial"/>
                <w:sz w:val="11"/>
                <w:szCs w:val="11"/>
                <w:b w:val="1"/>
                <w:bCs w:val="1"/>
                <w:color w:val="auto"/>
                <w:w w:val="99"/>
              </w:rPr>
              <w:t>Gross Unrealized</w:t>
            </w:r>
          </w:p>
        </w:tc>
        <w:tc>
          <w:tcPr>
            <w:tcW w:w="1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2"/>
                <w:szCs w:val="12"/>
                <w:b w:val="1"/>
                <w:bCs w:val="1"/>
                <w:color w:val="auto"/>
              </w:rPr>
              <w:t>Fair Value</w:t>
            </w:r>
          </w:p>
        </w:tc>
        <w:tc>
          <w:tcPr>
            <w:tcW w:w="1260" w:type="dxa"/>
            <w:vAlign w:val="bottom"/>
            <w:tcBorders>
              <w:top w:val="single" w:sz="8" w:color="auto"/>
            </w:tcBorders>
            <w:gridSpan w:val="2"/>
          </w:tcPr>
          <w:p>
            <w:pPr>
              <w:jc w:val="right"/>
              <w:ind w:right="161"/>
              <w:spacing w:after="0" w:line="103" w:lineRule="exact"/>
              <w:rPr>
                <w:sz w:val="20"/>
                <w:szCs w:val="20"/>
                <w:color w:val="auto"/>
              </w:rPr>
            </w:pPr>
            <w:r>
              <w:rPr>
                <w:rFonts w:ascii="Arial" w:cs="Arial" w:eastAsia="Arial" w:hAnsi="Arial"/>
                <w:sz w:val="11"/>
                <w:szCs w:val="11"/>
                <w:b w:val="1"/>
                <w:bCs w:val="1"/>
                <w:color w:val="auto"/>
              </w:rPr>
              <w:t>Gross Unrealized</w:t>
            </w:r>
          </w:p>
        </w:tc>
        <w:tc>
          <w:tcPr>
            <w:tcW w:w="10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2"/>
                <w:szCs w:val="12"/>
                <w:b w:val="1"/>
                <w:bCs w:val="1"/>
                <w:color w:val="auto"/>
              </w:rPr>
              <w:t>Fair Value</w:t>
            </w:r>
          </w:p>
        </w:tc>
        <w:tc>
          <w:tcPr>
            <w:tcW w:w="14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jc w:val="right"/>
              <w:ind w:right="162"/>
              <w:spacing w:after="0" w:line="103" w:lineRule="exact"/>
              <w:rPr>
                <w:sz w:val="20"/>
                <w:szCs w:val="20"/>
                <w:color w:val="auto"/>
              </w:rPr>
            </w:pPr>
            <w:r>
              <w:rPr>
                <w:rFonts w:ascii="Arial" w:cs="Arial" w:eastAsia="Arial" w:hAnsi="Arial"/>
                <w:sz w:val="11"/>
                <w:szCs w:val="11"/>
                <w:b w:val="1"/>
                <w:bCs w:val="1"/>
                <w:color w:val="auto"/>
                <w:w w:val="97"/>
              </w:rPr>
              <w:t>Gross Unrealized</w:t>
            </w: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340"/>
              <w:spacing w:after="0"/>
              <w:rPr>
                <w:sz w:val="20"/>
                <w:szCs w:val="20"/>
                <w:color w:val="auto"/>
              </w:rPr>
            </w:pPr>
            <w:r>
              <w:rPr>
                <w:rFonts w:ascii="Arial" w:cs="Arial" w:eastAsia="Arial" w:hAnsi="Arial"/>
                <w:sz w:val="12"/>
                <w:szCs w:val="12"/>
                <w:b w:val="1"/>
                <w:bCs w:val="1"/>
                <w:color w:val="auto"/>
              </w:rPr>
              <w:t>Losses</w:t>
            </w:r>
          </w:p>
        </w:tc>
        <w:tc>
          <w:tcPr>
            <w:tcW w:w="2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Losses</w:t>
            </w:r>
          </w:p>
        </w:tc>
        <w:tc>
          <w:tcPr>
            <w:tcW w:w="2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ind w:right="402"/>
              <w:spacing w:after="0"/>
              <w:rPr>
                <w:sz w:val="20"/>
                <w:szCs w:val="20"/>
                <w:color w:val="auto"/>
              </w:rPr>
            </w:pPr>
            <w:r>
              <w:rPr>
                <w:rFonts w:ascii="Arial" w:cs="Arial" w:eastAsia="Arial" w:hAnsi="Arial"/>
                <w:sz w:val="12"/>
                <w:szCs w:val="12"/>
                <w:b w:val="1"/>
                <w:bCs w:val="1"/>
                <w:color w:val="auto"/>
              </w:rPr>
              <w:t>Losses</w:t>
            </w:r>
          </w:p>
        </w:tc>
        <w:tc>
          <w:tcPr>
            <w:tcW w:w="0" w:type="dxa"/>
            <w:vAlign w:val="bottom"/>
          </w:tcPr>
          <w:p>
            <w:pPr>
              <w:spacing w:after="0"/>
              <w:rPr>
                <w:sz w:val="1"/>
                <w:szCs w:val="1"/>
                <w:color w:val="auto"/>
              </w:rPr>
            </w:pPr>
          </w:p>
        </w:tc>
      </w:tr>
      <w:tr>
        <w:trPr>
          <w:trHeight w:val="136"/>
        </w:trPr>
        <w:tc>
          <w:tcPr>
            <w:tcW w:w="320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2"/>
                <w:szCs w:val="12"/>
                <w:b w:val="1"/>
                <w:bCs w:val="1"/>
                <w:color w:val="auto"/>
              </w:rPr>
              <w:t>Available-for-sale securities</w:t>
            </w:r>
          </w:p>
        </w:tc>
        <w:tc>
          <w:tcPr>
            <w:tcW w:w="9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200" w:type="dxa"/>
            <w:vAlign w:val="bottom"/>
          </w:tcPr>
          <w:p>
            <w:pPr>
              <w:ind w:left="20"/>
              <w:spacing w:after="0"/>
              <w:rPr>
                <w:sz w:val="20"/>
                <w:szCs w:val="20"/>
                <w:color w:val="auto"/>
              </w:rPr>
            </w:pPr>
            <w:r>
              <w:rPr>
                <w:rFonts w:ascii="Arial" w:cs="Arial" w:eastAsia="Arial" w:hAnsi="Arial"/>
                <w:sz w:val="12"/>
                <w:szCs w:val="12"/>
                <w:color w:val="auto"/>
              </w:rPr>
              <w:t>Asset-backed securities</w:t>
            </w:r>
          </w:p>
        </w:tc>
        <w:tc>
          <w:tcPr>
            <w:tcW w:w="920" w:type="dxa"/>
            <w:vAlign w:val="bottom"/>
          </w:tcPr>
          <w:p>
            <w:pPr>
              <w:jc w:val="right"/>
              <w:ind w:right="781"/>
              <w:spacing w:after="0"/>
              <w:rPr>
                <w:sz w:val="20"/>
                <w:szCs w:val="20"/>
                <w:color w:val="auto"/>
              </w:rPr>
            </w:pPr>
            <w:r>
              <w:rPr>
                <w:rFonts w:ascii="Arial" w:cs="Arial" w:eastAsia="Arial" w:hAnsi="Arial"/>
                <w:sz w:val="12"/>
                <w:szCs w:val="12"/>
                <w:color w:val="auto"/>
                <w:w w:val="89"/>
              </w:rPr>
              <w:t>$</w:t>
            </w:r>
          </w:p>
        </w:tc>
        <w:tc>
          <w:tcPr>
            <w:tcW w:w="340" w:type="dxa"/>
            <w:vAlign w:val="bottom"/>
          </w:tcPr>
          <w:p>
            <w:pPr>
              <w:jc w:val="right"/>
              <w:ind w:right="1"/>
              <w:spacing w:after="0"/>
              <w:rPr>
                <w:sz w:val="20"/>
                <w:szCs w:val="20"/>
                <w:color w:val="auto"/>
              </w:rPr>
            </w:pPr>
            <w:r>
              <w:rPr>
                <w:rFonts w:ascii="Arial" w:cs="Arial" w:eastAsia="Arial" w:hAnsi="Arial"/>
                <w:sz w:val="12"/>
                <w:szCs w:val="12"/>
                <w:color w:val="auto"/>
                <w:w w:val="86"/>
              </w:rPr>
              <w:t>1,462</w:t>
            </w:r>
          </w:p>
        </w:tc>
        <w:tc>
          <w:tcPr>
            <w:tcW w:w="100" w:type="dxa"/>
            <w:vAlign w:val="bottom"/>
          </w:tcPr>
          <w:p>
            <w:pPr>
              <w:spacing w:after="0"/>
              <w:rPr>
                <w:sz w:val="13"/>
                <w:szCs w:val="13"/>
                <w:color w:val="auto"/>
              </w:rPr>
            </w:pP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3"/>
                <w:szCs w:val="13"/>
                <w:color w:val="auto"/>
              </w:rPr>
            </w:pPr>
          </w:p>
        </w:tc>
        <w:tc>
          <w:tcPr>
            <w:tcW w:w="220" w:type="dxa"/>
            <w:vAlign w:val="bottom"/>
          </w:tcPr>
          <w:p>
            <w:pPr>
              <w:jc w:val="right"/>
              <w:ind w:right="81"/>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121</w:t>
            </w:r>
          </w:p>
        </w:tc>
        <w:tc>
          <w:tcPr>
            <w:tcW w:w="120" w:type="dxa"/>
            <w:vAlign w:val="bottom"/>
          </w:tcPr>
          <w:p>
            <w:pPr>
              <w:spacing w:after="0"/>
              <w:rPr>
                <w:sz w:val="13"/>
                <w:szCs w:val="13"/>
                <w:color w:val="auto"/>
              </w:rPr>
            </w:pPr>
          </w:p>
        </w:tc>
        <w:tc>
          <w:tcPr>
            <w:tcW w:w="460" w:type="dxa"/>
            <w:vAlign w:val="bottom"/>
          </w:tcPr>
          <w:p>
            <w:pPr>
              <w:jc w:val="right"/>
              <w:ind w:right="351"/>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220" w:type="dxa"/>
            <w:vAlign w:val="bottom"/>
          </w:tcPr>
          <w:p>
            <w:pPr>
              <w:jc w:val="right"/>
              <w:ind w:right="81"/>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1,583</w:t>
            </w:r>
          </w:p>
        </w:tc>
        <w:tc>
          <w:tcPr>
            <w:tcW w:w="100" w:type="dxa"/>
            <w:vAlign w:val="bottom"/>
          </w:tcPr>
          <w:p>
            <w:pPr>
              <w:spacing w:after="0"/>
              <w:rPr>
                <w:sz w:val="13"/>
                <w:szCs w:val="13"/>
                <w:color w:val="auto"/>
              </w:rPr>
            </w:pP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57"/>
        </w:trPr>
        <w:tc>
          <w:tcPr>
            <w:tcW w:w="3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Commercial mortgage-backed securities</w:t>
            </w:r>
          </w:p>
        </w:tc>
        <w:tc>
          <w:tcPr>
            <w:tcW w:w="92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258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261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52"/>
        </w:trPr>
        <w:tc>
          <w:tcPr>
            <w:tcW w:w="3200" w:type="dxa"/>
            <w:vAlign w:val="bottom"/>
          </w:tcPr>
          <w:p>
            <w:pPr>
              <w:ind w:left="20"/>
              <w:spacing w:after="0"/>
              <w:rPr>
                <w:sz w:val="20"/>
                <w:szCs w:val="20"/>
                <w:color w:val="auto"/>
              </w:rPr>
            </w:pPr>
            <w:r>
              <w:rPr>
                <w:rFonts w:ascii="Arial" w:cs="Arial" w:eastAsia="Arial" w:hAnsi="Arial"/>
                <w:sz w:val="12"/>
                <w:szCs w:val="12"/>
                <w:color w:val="auto"/>
              </w:rPr>
              <w:t>Corporates</w:t>
            </w:r>
          </w:p>
        </w:tc>
        <w:tc>
          <w:tcPr>
            <w:tcW w:w="920" w:type="dxa"/>
            <w:vAlign w:val="bottom"/>
          </w:tcPr>
          <w:p>
            <w:pPr>
              <w:spacing w:after="0"/>
              <w:rPr>
                <w:sz w:val="13"/>
                <w:szCs w:val="13"/>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w w:val="86"/>
              </w:rPr>
              <w:t>4,190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(130)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219</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4,409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(150)</w:t>
            </w:r>
          </w:p>
        </w:tc>
        <w:tc>
          <w:tcPr>
            <w:tcW w:w="0" w:type="dxa"/>
            <w:vAlign w:val="bottom"/>
          </w:tcPr>
          <w:p>
            <w:pPr>
              <w:spacing w:after="0"/>
              <w:rPr>
                <w:sz w:val="1"/>
                <w:szCs w:val="1"/>
                <w:color w:val="auto"/>
              </w:rPr>
            </w:pPr>
          </w:p>
        </w:tc>
      </w:tr>
      <w:tr>
        <w:trPr>
          <w:trHeight w:val="157"/>
        </w:trPr>
        <w:tc>
          <w:tcPr>
            <w:tcW w:w="3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Hybrids</w:t>
            </w:r>
          </w:p>
        </w:tc>
        <w:tc>
          <w:tcPr>
            <w:tcW w:w="92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3200" w:type="dxa"/>
            <w:vAlign w:val="bottom"/>
          </w:tcPr>
          <w:p>
            <w:pPr>
              <w:ind w:left="20"/>
              <w:spacing w:after="0"/>
              <w:rPr>
                <w:sz w:val="20"/>
                <w:szCs w:val="20"/>
                <w:color w:val="auto"/>
              </w:rPr>
            </w:pPr>
            <w:r>
              <w:rPr>
                <w:rFonts w:ascii="Arial" w:cs="Arial" w:eastAsia="Arial" w:hAnsi="Arial"/>
                <w:sz w:val="12"/>
                <w:szCs w:val="12"/>
                <w:color w:val="auto"/>
              </w:rPr>
              <w:t>Municipals</w:t>
            </w:r>
          </w:p>
        </w:tc>
        <w:tc>
          <w:tcPr>
            <w:tcW w:w="920" w:type="dxa"/>
            <w:vAlign w:val="bottom"/>
          </w:tcPr>
          <w:p>
            <w:pPr>
              <w:spacing w:after="0"/>
              <w:rPr>
                <w:sz w:val="13"/>
                <w:szCs w:val="13"/>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234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53</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287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57"/>
        </w:trPr>
        <w:tc>
          <w:tcPr>
            <w:tcW w:w="3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Residential mortgage-backed securities</w:t>
            </w:r>
          </w:p>
        </w:tc>
        <w:tc>
          <w:tcPr>
            <w:tcW w:w="92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52"/>
        </w:trPr>
        <w:tc>
          <w:tcPr>
            <w:tcW w:w="3200" w:type="dxa"/>
            <w:vAlign w:val="bottom"/>
          </w:tcPr>
          <w:p>
            <w:pPr>
              <w:ind w:left="20"/>
              <w:spacing w:after="0"/>
              <w:rPr>
                <w:sz w:val="20"/>
                <w:szCs w:val="20"/>
                <w:color w:val="auto"/>
              </w:rPr>
            </w:pPr>
            <w:r>
              <w:rPr>
                <w:rFonts w:ascii="Arial" w:cs="Arial" w:eastAsia="Arial" w:hAnsi="Arial"/>
                <w:sz w:val="12"/>
                <w:szCs w:val="12"/>
                <w:color w:val="auto"/>
              </w:rPr>
              <w:t>U.S. Government</w:t>
            </w:r>
          </w:p>
        </w:tc>
        <w:tc>
          <w:tcPr>
            <w:tcW w:w="920" w:type="dxa"/>
            <w:vAlign w:val="bottom"/>
          </w:tcPr>
          <w:p>
            <w:pPr>
              <w:spacing w:after="0"/>
              <w:rPr>
                <w:sz w:val="13"/>
                <w:szCs w:val="13"/>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567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569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55"/>
        </w:trPr>
        <w:tc>
          <w:tcPr>
            <w:tcW w:w="3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Foreign Government</w:t>
            </w:r>
          </w:p>
        </w:tc>
        <w:tc>
          <w:tcPr>
            <w:tcW w:w="92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8"/>
        </w:trPr>
        <w:tc>
          <w:tcPr>
            <w:tcW w:w="3200" w:type="dxa"/>
            <w:vAlign w:val="bottom"/>
          </w:tcPr>
          <w:p>
            <w:pPr>
              <w:ind w:left="180"/>
              <w:spacing w:after="0"/>
              <w:rPr>
                <w:sz w:val="20"/>
                <w:szCs w:val="20"/>
                <w:color w:val="auto"/>
              </w:rPr>
            </w:pPr>
            <w:r>
              <w:rPr>
                <w:rFonts w:ascii="Arial" w:cs="Arial" w:eastAsia="Arial" w:hAnsi="Arial"/>
                <w:sz w:val="12"/>
                <w:szCs w:val="12"/>
                <w:b w:val="1"/>
                <w:bCs w:val="1"/>
                <w:color w:val="auto"/>
              </w:rPr>
              <w:t>Total available-for-sale securities</w:t>
            </w:r>
          </w:p>
        </w:tc>
        <w:tc>
          <w:tcPr>
            <w:tcW w:w="920" w:type="dxa"/>
            <w:vAlign w:val="bottom"/>
            <w:tcBorders>
              <w:top w:val="single" w:sz="8" w:color="auto"/>
              <w:bottom w:val="single" w:sz="8" w:color="auto"/>
            </w:tcBorders>
          </w:tcPr>
          <w:p>
            <w:pPr>
              <w:jc w:val="right"/>
              <w:ind w:right="781"/>
              <w:spacing w:after="0"/>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w w:val="86"/>
              </w:rPr>
              <w:t>6,781</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(161)</w:t>
            </w:r>
          </w:p>
        </w:tc>
        <w:tc>
          <w:tcPr>
            <w:tcW w:w="12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409</w:t>
            </w:r>
          </w:p>
        </w:tc>
        <w:tc>
          <w:tcPr>
            <w:tcW w:w="12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9"/>
                <w:szCs w:val="9"/>
                <w:color w:val="auto"/>
                <w:w w:val="7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7,190</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(191)</w:t>
            </w: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3200" w:type="dxa"/>
            <w:vAlign w:val="bottom"/>
            <w:shd w:val="clear" w:color="auto" w:fill="CCEEFF"/>
          </w:tcPr>
          <w:p>
            <w:pPr>
              <w:ind w:left="20"/>
              <w:spacing w:after="0" w:line="73" w:lineRule="exact"/>
              <w:rPr>
                <w:sz w:val="20"/>
                <w:szCs w:val="20"/>
                <w:color w:val="auto"/>
              </w:rPr>
            </w:pPr>
            <w:r>
              <w:rPr>
                <w:rFonts w:ascii="Arial" w:cs="Arial" w:eastAsia="Arial" w:hAnsi="Arial"/>
                <w:sz w:val="8"/>
                <w:szCs w:val="8"/>
                <w:color w:val="auto"/>
              </w:rPr>
              <w:t>Total number of available-for-sale securities in an unrealized loss</w:t>
            </w:r>
          </w:p>
        </w:tc>
        <w:tc>
          <w:tcPr>
            <w:tcW w:w="9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916</w:t>
            </w:r>
          </w:p>
        </w:tc>
        <w:tc>
          <w:tcPr>
            <w:tcW w:w="0" w:type="dxa"/>
            <w:vAlign w:val="bottom"/>
          </w:tcPr>
          <w:p>
            <w:pPr>
              <w:spacing w:after="0"/>
              <w:rPr>
                <w:sz w:val="1"/>
                <w:szCs w:val="1"/>
                <w:color w:val="auto"/>
              </w:rPr>
            </w:pPr>
          </w:p>
        </w:tc>
      </w:tr>
      <w:tr>
        <w:trPr>
          <w:trHeight w:val="152"/>
        </w:trPr>
        <w:tc>
          <w:tcPr>
            <w:tcW w:w="3200" w:type="dxa"/>
            <w:vAlign w:val="bottom"/>
            <w:tcBorders>
              <w:bottom w:val="single" w:sz="8" w:color="CCEEFF"/>
            </w:tcBorders>
            <w:shd w:val="clear" w:color="auto" w:fill="CCEEFF"/>
          </w:tcPr>
          <w:p>
            <w:pPr>
              <w:ind w:left="20"/>
              <w:spacing w:after="0" w:line="133" w:lineRule="exact"/>
              <w:rPr>
                <w:sz w:val="20"/>
                <w:szCs w:val="20"/>
                <w:color w:val="auto"/>
              </w:rPr>
            </w:pPr>
            <w:r>
              <w:rPr>
                <w:rFonts w:ascii="Arial" w:cs="Arial" w:eastAsia="Arial" w:hAnsi="Arial"/>
                <w:sz w:val="12"/>
                <w:szCs w:val="12"/>
                <w:color w:val="auto"/>
              </w:rPr>
              <w:t>position less than twelve months</w:t>
            </w:r>
          </w:p>
        </w:tc>
        <w:tc>
          <w:tcPr>
            <w:tcW w:w="9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ind w:left="20"/>
              <w:spacing w:after="0" w:line="93" w:lineRule="exact"/>
              <w:rPr>
                <w:sz w:val="20"/>
                <w:szCs w:val="20"/>
                <w:color w:val="auto"/>
              </w:rPr>
            </w:pPr>
            <w:r>
              <w:rPr>
                <w:rFonts w:ascii="Arial" w:cs="Arial" w:eastAsia="Arial" w:hAnsi="Arial"/>
                <w:sz w:val="9"/>
                <w:szCs w:val="9"/>
                <w:color w:val="auto"/>
              </w:rPr>
              <w:t>Total number of available-for-sale securities in an unrealized loss</w:t>
            </w:r>
          </w:p>
        </w:tc>
        <w:tc>
          <w:tcPr>
            <w:tcW w:w="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320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vMerge w:val="restart"/>
          </w:tcPr>
          <w:p>
            <w:pPr>
              <w:jc w:val="right"/>
              <w:spacing w:after="0"/>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32"/>
        </w:trPr>
        <w:tc>
          <w:tcPr>
            <w:tcW w:w="3200" w:type="dxa"/>
            <w:vAlign w:val="bottom"/>
          </w:tcPr>
          <w:p>
            <w:pPr>
              <w:ind w:left="20"/>
              <w:spacing w:after="0" w:line="133" w:lineRule="exact"/>
              <w:rPr>
                <w:sz w:val="20"/>
                <w:szCs w:val="20"/>
                <w:color w:val="auto"/>
              </w:rPr>
            </w:pPr>
            <w:r>
              <w:rPr>
                <w:rFonts w:ascii="Arial" w:cs="Arial" w:eastAsia="Arial" w:hAnsi="Arial"/>
                <w:sz w:val="12"/>
                <w:szCs w:val="12"/>
                <w:color w:val="auto"/>
              </w:rPr>
              <w:t>position twelve months or longer</w:t>
            </w: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3200" w:type="dxa"/>
            <w:vAlign w:val="bottom"/>
            <w:shd w:val="clear" w:color="auto" w:fill="CCEEFF"/>
          </w:tcPr>
          <w:p>
            <w:pPr>
              <w:ind w:left="20"/>
              <w:spacing w:after="0" w:line="73" w:lineRule="exact"/>
              <w:rPr>
                <w:sz w:val="20"/>
                <w:szCs w:val="20"/>
                <w:color w:val="auto"/>
              </w:rPr>
            </w:pPr>
            <w:r>
              <w:rPr>
                <w:rFonts w:ascii="Arial" w:cs="Arial" w:eastAsia="Arial" w:hAnsi="Arial"/>
                <w:sz w:val="8"/>
                <w:szCs w:val="8"/>
                <w:color w:val="auto"/>
              </w:rPr>
              <w:t>Total number of available-for-sale securities in an unrealized loss</w:t>
            </w:r>
          </w:p>
        </w:tc>
        <w:tc>
          <w:tcPr>
            <w:tcW w:w="9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969</w:t>
            </w:r>
          </w:p>
        </w:tc>
        <w:tc>
          <w:tcPr>
            <w:tcW w:w="0" w:type="dxa"/>
            <w:vAlign w:val="bottom"/>
          </w:tcPr>
          <w:p>
            <w:pPr>
              <w:spacing w:after="0"/>
              <w:rPr>
                <w:sz w:val="1"/>
                <w:szCs w:val="1"/>
                <w:color w:val="auto"/>
              </w:rPr>
            </w:pPr>
          </w:p>
        </w:tc>
      </w:tr>
      <w:tr>
        <w:trPr>
          <w:trHeight w:val="152"/>
        </w:trPr>
        <w:tc>
          <w:tcPr>
            <w:tcW w:w="3200" w:type="dxa"/>
            <w:vAlign w:val="bottom"/>
            <w:tcBorders>
              <w:bottom w:val="single" w:sz="8" w:color="CCEEFF"/>
            </w:tcBorders>
            <w:shd w:val="clear" w:color="auto" w:fill="CCEEFF"/>
          </w:tcPr>
          <w:p>
            <w:pPr>
              <w:ind w:left="20"/>
              <w:spacing w:after="0" w:line="133" w:lineRule="exact"/>
              <w:rPr>
                <w:sz w:val="20"/>
                <w:szCs w:val="20"/>
                <w:color w:val="auto"/>
              </w:rPr>
            </w:pPr>
            <w:r>
              <w:rPr>
                <w:rFonts w:ascii="Arial" w:cs="Arial" w:eastAsia="Arial" w:hAnsi="Arial"/>
                <w:sz w:val="12"/>
                <w:szCs w:val="12"/>
                <w:color w:val="auto"/>
              </w:rPr>
              <w:t>position</w:t>
            </w:r>
          </w:p>
        </w:tc>
        <w:tc>
          <w:tcPr>
            <w:tcW w:w="9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CCEEFF"/>
            </w:tcBorders>
            <w:gridSpan w:val="3"/>
            <w:vMerge w:val="restart"/>
          </w:tcPr>
          <w:p>
            <w:pPr>
              <w:jc w:val="center"/>
              <w:ind w:left="501"/>
              <w:spacing w:after="0"/>
              <w:rPr>
                <w:sz w:val="20"/>
                <w:szCs w:val="20"/>
                <w:color w:val="auto"/>
              </w:rPr>
            </w:pPr>
            <w:r>
              <w:rPr>
                <w:rFonts w:ascii="Arial" w:cs="Arial" w:eastAsia="Arial" w:hAnsi="Arial"/>
                <w:sz w:val="12"/>
                <w:szCs w:val="12"/>
                <w:b w:val="1"/>
                <w:bCs w:val="1"/>
                <w:color w:val="auto"/>
                <w:w w:val="88"/>
              </w:rPr>
              <w:t>December 31, 2020</w:t>
            </w: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2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vMerge w:val="continue"/>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740" w:type="dxa"/>
            <w:vAlign w:val="bottom"/>
            <w:gridSpan w:val="6"/>
          </w:tcPr>
          <w:p>
            <w:pPr>
              <w:ind w:left="800"/>
              <w:spacing w:after="0"/>
              <w:rPr>
                <w:sz w:val="20"/>
                <w:szCs w:val="20"/>
                <w:color w:val="auto"/>
              </w:rPr>
            </w:pPr>
            <w:r>
              <w:rPr>
                <w:rFonts w:ascii="Arial" w:cs="Arial" w:eastAsia="Arial" w:hAnsi="Arial"/>
                <w:sz w:val="12"/>
                <w:szCs w:val="12"/>
                <w:b w:val="1"/>
                <w:bCs w:val="1"/>
                <w:color w:val="auto"/>
              </w:rPr>
              <w:t>Less than 12 months</w:t>
            </w:r>
          </w:p>
        </w:tc>
        <w:tc>
          <w:tcPr>
            <w:tcW w:w="220" w:type="dxa"/>
            <w:vAlign w:val="bottom"/>
          </w:tcPr>
          <w:p>
            <w:pPr>
              <w:spacing w:after="0"/>
              <w:rPr>
                <w:sz w:val="12"/>
                <w:szCs w:val="12"/>
                <w:color w:val="auto"/>
              </w:rPr>
            </w:pPr>
          </w:p>
        </w:tc>
        <w:tc>
          <w:tcPr>
            <w:tcW w:w="1600" w:type="dxa"/>
            <w:vAlign w:val="bottom"/>
            <w:gridSpan w:val="3"/>
          </w:tcPr>
          <w:p>
            <w:pPr>
              <w:jc w:val="center"/>
              <w:ind w:left="501"/>
              <w:spacing w:after="0"/>
              <w:rPr>
                <w:sz w:val="20"/>
                <w:szCs w:val="20"/>
                <w:color w:val="auto"/>
              </w:rPr>
            </w:pPr>
            <w:r>
              <w:rPr>
                <w:rFonts w:ascii="Arial" w:cs="Arial" w:eastAsia="Arial" w:hAnsi="Arial"/>
                <w:sz w:val="12"/>
                <w:szCs w:val="12"/>
                <w:b w:val="1"/>
                <w:bCs w:val="1"/>
                <w:color w:val="auto"/>
                <w:w w:val="86"/>
              </w:rPr>
              <w:t>12 months or longer</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3"/>
          </w:tcPr>
          <w:p>
            <w:pPr>
              <w:jc w:val="right"/>
              <w:ind w:right="1"/>
              <w:spacing w:after="0"/>
              <w:rPr>
                <w:sz w:val="20"/>
                <w:szCs w:val="20"/>
                <w:color w:val="auto"/>
              </w:rPr>
            </w:pPr>
            <w:r>
              <w:rPr>
                <w:rFonts w:ascii="Arial" w:cs="Arial" w:eastAsia="Arial" w:hAnsi="Arial"/>
                <w:sz w:val="12"/>
                <w:szCs w:val="12"/>
                <w:b w:val="1"/>
                <w:bCs w:val="1"/>
                <w:color w:val="auto"/>
              </w:rPr>
              <w:t>Total</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200" w:type="dxa"/>
            <w:vAlign w:val="bottom"/>
          </w:tcPr>
          <w:p>
            <w:pPr>
              <w:spacing w:after="0"/>
              <w:rPr>
                <w:sz w:val="8"/>
                <w:szCs w:val="8"/>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b w:val="1"/>
                <w:bCs w:val="1"/>
                <w:color w:val="auto"/>
              </w:rPr>
              <w:t>Fair Value</w:t>
            </w:r>
          </w:p>
        </w:tc>
        <w:tc>
          <w:tcPr>
            <w:tcW w:w="3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jc w:val="right"/>
              <w:ind w:right="142"/>
              <w:spacing w:after="0" w:line="103" w:lineRule="exact"/>
              <w:rPr>
                <w:sz w:val="20"/>
                <w:szCs w:val="20"/>
                <w:color w:val="auto"/>
              </w:rPr>
            </w:pPr>
            <w:r>
              <w:rPr>
                <w:rFonts w:ascii="Arial" w:cs="Arial" w:eastAsia="Arial" w:hAnsi="Arial"/>
                <w:sz w:val="11"/>
                <w:szCs w:val="11"/>
                <w:b w:val="1"/>
                <w:bCs w:val="1"/>
                <w:color w:val="auto"/>
                <w:w w:val="99"/>
              </w:rPr>
              <w:t>Gross Unrealized</w:t>
            </w:r>
          </w:p>
        </w:tc>
        <w:tc>
          <w:tcPr>
            <w:tcW w:w="1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2"/>
                <w:szCs w:val="12"/>
                <w:b w:val="1"/>
                <w:bCs w:val="1"/>
                <w:color w:val="auto"/>
              </w:rPr>
              <w:t>Fair Value</w:t>
            </w:r>
          </w:p>
        </w:tc>
        <w:tc>
          <w:tcPr>
            <w:tcW w:w="1260" w:type="dxa"/>
            <w:vAlign w:val="bottom"/>
            <w:tcBorders>
              <w:top w:val="single" w:sz="8" w:color="auto"/>
            </w:tcBorders>
            <w:gridSpan w:val="2"/>
          </w:tcPr>
          <w:p>
            <w:pPr>
              <w:jc w:val="right"/>
              <w:ind w:right="161"/>
              <w:spacing w:after="0" w:line="103" w:lineRule="exact"/>
              <w:rPr>
                <w:sz w:val="20"/>
                <w:szCs w:val="20"/>
                <w:color w:val="auto"/>
              </w:rPr>
            </w:pPr>
            <w:r>
              <w:rPr>
                <w:rFonts w:ascii="Arial" w:cs="Arial" w:eastAsia="Arial" w:hAnsi="Arial"/>
                <w:sz w:val="11"/>
                <w:szCs w:val="11"/>
                <w:b w:val="1"/>
                <w:bCs w:val="1"/>
                <w:color w:val="auto"/>
              </w:rPr>
              <w:t>Gross Unrealized</w:t>
            </w:r>
          </w:p>
        </w:tc>
        <w:tc>
          <w:tcPr>
            <w:tcW w:w="10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2"/>
                <w:szCs w:val="12"/>
                <w:b w:val="1"/>
                <w:bCs w:val="1"/>
                <w:color w:val="auto"/>
              </w:rPr>
              <w:t>Fair Value</w:t>
            </w:r>
          </w:p>
        </w:tc>
        <w:tc>
          <w:tcPr>
            <w:tcW w:w="14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jc w:val="right"/>
              <w:ind w:right="162"/>
              <w:spacing w:after="0" w:line="103" w:lineRule="exact"/>
              <w:rPr>
                <w:sz w:val="20"/>
                <w:szCs w:val="20"/>
                <w:color w:val="auto"/>
              </w:rPr>
            </w:pPr>
            <w:r>
              <w:rPr>
                <w:rFonts w:ascii="Arial" w:cs="Arial" w:eastAsia="Arial" w:hAnsi="Arial"/>
                <w:sz w:val="11"/>
                <w:szCs w:val="11"/>
                <w:b w:val="1"/>
                <w:bCs w:val="1"/>
                <w:color w:val="auto"/>
                <w:w w:val="97"/>
              </w:rPr>
              <w:t>Gross Unrealized</w:t>
            </w: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340"/>
              <w:spacing w:after="0"/>
              <w:rPr>
                <w:sz w:val="20"/>
                <w:szCs w:val="20"/>
                <w:color w:val="auto"/>
              </w:rPr>
            </w:pPr>
            <w:r>
              <w:rPr>
                <w:rFonts w:ascii="Arial" w:cs="Arial" w:eastAsia="Arial" w:hAnsi="Arial"/>
                <w:sz w:val="12"/>
                <w:szCs w:val="12"/>
                <w:b w:val="1"/>
                <w:bCs w:val="1"/>
                <w:color w:val="auto"/>
              </w:rPr>
              <w:t>Losses</w:t>
            </w:r>
          </w:p>
        </w:tc>
        <w:tc>
          <w:tcPr>
            <w:tcW w:w="2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Losses</w:t>
            </w:r>
          </w:p>
        </w:tc>
        <w:tc>
          <w:tcPr>
            <w:tcW w:w="2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ind w:right="402"/>
              <w:spacing w:after="0"/>
              <w:rPr>
                <w:sz w:val="20"/>
                <w:szCs w:val="20"/>
                <w:color w:val="auto"/>
              </w:rPr>
            </w:pPr>
            <w:r>
              <w:rPr>
                <w:rFonts w:ascii="Arial" w:cs="Arial" w:eastAsia="Arial" w:hAnsi="Arial"/>
                <w:sz w:val="12"/>
                <w:szCs w:val="12"/>
                <w:b w:val="1"/>
                <w:bCs w:val="1"/>
                <w:color w:val="auto"/>
              </w:rPr>
              <w:t>Losses</w:t>
            </w:r>
          </w:p>
        </w:tc>
        <w:tc>
          <w:tcPr>
            <w:tcW w:w="0" w:type="dxa"/>
            <w:vAlign w:val="bottom"/>
          </w:tcPr>
          <w:p>
            <w:pPr>
              <w:spacing w:after="0"/>
              <w:rPr>
                <w:sz w:val="1"/>
                <w:szCs w:val="1"/>
                <w:color w:val="auto"/>
              </w:rPr>
            </w:pPr>
          </w:p>
        </w:tc>
      </w:tr>
      <w:tr>
        <w:trPr>
          <w:trHeight w:val="136"/>
        </w:trPr>
        <w:tc>
          <w:tcPr>
            <w:tcW w:w="320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2"/>
                <w:szCs w:val="12"/>
                <w:b w:val="1"/>
                <w:bCs w:val="1"/>
                <w:color w:val="auto"/>
              </w:rPr>
              <w:t>Available-for-sale securities</w:t>
            </w:r>
          </w:p>
        </w:tc>
        <w:tc>
          <w:tcPr>
            <w:tcW w:w="9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200" w:type="dxa"/>
            <w:vAlign w:val="bottom"/>
          </w:tcPr>
          <w:p>
            <w:pPr>
              <w:ind w:left="20"/>
              <w:spacing w:after="0"/>
              <w:rPr>
                <w:sz w:val="20"/>
                <w:szCs w:val="20"/>
                <w:color w:val="auto"/>
              </w:rPr>
            </w:pPr>
            <w:r>
              <w:rPr>
                <w:rFonts w:ascii="Arial" w:cs="Arial" w:eastAsia="Arial" w:hAnsi="Arial"/>
                <w:sz w:val="12"/>
                <w:szCs w:val="12"/>
                <w:color w:val="auto"/>
              </w:rPr>
              <w:t>Asset-backed securities</w:t>
            </w:r>
          </w:p>
        </w:tc>
        <w:tc>
          <w:tcPr>
            <w:tcW w:w="920" w:type="dxa"/>
            <w:vAlign w:val="bottom"/>
          </w:tcPr>
          <w:p>
            <w:pPr>
              <w:jc w:val="right"/>
              <w:ind w:right="781"/>
              <w:spacing w:after="0"/>
              <w:rPr>
                <w:sz w:val="20"/>
                <w:szCs w:val="20"/>
                <w:color w:val="auto"/>
              </w:rPr>
            </w:pPr>
            <w:r>
              <w:rPr>
                <w:rFonts w:ascii="Arial" w:cs="Arial" w:eastAsia="Arial" w:hAnsi="Arial"/>
                <w:sz w:val="12"/>
                <w:szCs w:val="12"/>
                <w:color w:val="auto"/>
                <w:w w:val="89"/>
              </w:rPr>
              <w:t>$</w:t>
            </w: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477</w:t>
            </w:r>
          </w:p>
        </w:tc>
        <w:tc>
          <w:tcPr>
            <w:tcW w:w="100" w:type="dxa"/>
            <w:vAlign w:val="bottom"/>
          </w:tcPr>
          <w:p>
            <w:pPr>
              <w:spacing w:after="0"/>
              <w:rPr>
                <w:sz w:val="13"/>
                <w:szCs w:val="13"/>
                <w:color w:val="auto"/>
              </w:rPr>
            </w:pP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(18)</w:t>
            </w:r>
          </w:p>
        </w:tc>
        <w:tc>
          <w:tcPr>
            <w:tcW w:w="120" w:type="dxa"/>
            <w:vAlign w:val="bottom"/>
          </w:tcPr>
          <w:p>
            <w:pPr>
              <w:spacing w:after="0"/>
              <w:rPr>
                <w:sz w:val="13"/>
                <w:szCs w:val="13"/>
                <w:color w:val="auto"/>
              </w:rPr>
            </w:pPr>
          </w:p>
        </w:tc>
        <w:tc>
          <w:tcPr>
            <w:tcW w:w="220" w:type="dxa"/>
            <w:vAlign w:val="bottom"/>
          </w:tcPr>
          <w:p>
            <w:pPr>
              <w:jc w:val="right"/>
              <w:ind w:right="81"/>
              <w:spacing w:after="0"/>
              <w:rPr>
                <w:sz w:val="20"/>
                <w:szCs w:val="20"/>
                <w:color w:val="auto"/>
              </w:rPr>
            </w:pPr>
            <w:r>
              <w:rPr>
                <w:rFonts w:ascii="Arial" w:cs="Arial" w:eastAsia="Arial" w:hAnsi="Arial"/>
                <w:sz w:val="12"/>
                <w:szCs w:val="12"/>
                <w:color w:val="auto"/>
                <w:w w:val="89"/>
              </w:rPr>
              <w:t>$</w:t>
            </w:r>
          </w:p>
        </w:tc>
        <w:tc>
          <w:tcPr>
            <w:tcW w:w="11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351"/>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81"/>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477</w:t>
            </w:r>
          </w:p>
        </w:tc>
        <w:tc>
          <w:tcPr>
            <w:tcW w:w="100" w:type="dxa"/>
            <w:vAlign w:val="bottom"/>
          </w:tcPr>
          <w:p>
            <w:pPr>
              <w:spacing w:after="0"/>
              <w:rPr>
                <w:sz w:val="13"/>
                <w:szCs w:val="13"/>
                <w:color w:val="auto"/>
              </w:rPr>
            </w:pP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57"/>
        </w:trPr>
        <w:tc>
          <w:tcPr>
            <w:tcW w:w="3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Commercial mortgage-backed securities</w:t>
            </w:r>
          </w:p>
        </w:tc>
        <w:tc>
          <w:tcPr>
            <w:tcW w:w="92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52"/>
        </w:trPr>
        <w:tc>
          <w:tcPr>
            <w:tcW w:w="3200" w:type="dxa"/>
            <w:vAlign w:val="bottom"/>
          </w:tcPr>
          <w:p>
            <w:pPr>
              <w:ind w:left="20"/>
              <w:spacing w:after="0"/>
              <w:rPr>
                <w:sz w:val="20"/>
                <w:szCs w:val="20"/>
                <w:color w:val="auto"/>
              </w:rPr>
            </w:pPr>
            <w:r>
              <w:rPr>
                <w:rFonts w:ascii="Arial" w:cs="Arial" w:eastAsia="Arial" w:hAnsi="Arial"/>
                <w:sz w:val="12"/>
                <w:szCs w:val="12"/>
                <w:color w:val="auto"/>
              </w:rPr>
              <w:t>Corporates</w:t>
            </w:r>
          </w:p>
        </w:tc>
        <w:tc>
          <w:tcPr>
            <w:tcW w:w="920" w:type="dxa"/>
            <w:vAlign w:val="bottom"/>
          </w:tcPr>
          <w:p>
            <w:pPr>
              <w:spacing w:after="0"/>
              <w:rPr>
                <w:sz w:val="13"/>
                <w:szCs w:val="13"/>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865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36</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901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57"/>
        </w:trPr>
        <w:tc>
          <w:tcPr>
            <w:tcW w:w="3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Hybrids</w:t>
            </w:r>
          </w:p>
        </w:tc>
        <w:tc>
          <w:tcPr>
            <w:tcW w:w="92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3200" w:type="dxa"/>
            <w:vAlign w:val="bottom"/>
          </w:tcPr>
          <w:p>
            <w:pPr>
              <w:ind w:left="20"/>
              <w:spacing w:after="0"/>
              <w:rPr>
                <w:sz w:val="20"/>
                <w:szCs w:val="20"/>
                <w:color w:val="auto"/>
              </w:rPr>
            </w:pPr>
            <w:r>
              <w:rPr>
                <w:rFonts w:ascii="Arial" w:cs="Arial" w:eastAsia="Arial" w:hAnsi="Arial"/>
                <w:sz w:val="12"/>
                <w:szCs w:val="12"/>
                <w:color w:val="auto"/>
              </w:rPr>
              <w:t>Municipals</w:t>
            </w:r>
          </w:p>
        </w:tc>
        <w:tc>
          <w:tcPr>
            <w:tcW w:w="920" w:type="dxa"/>
            <w:vAlign w:val="bottom"/>
          </w:tcPr>
          <w:p>
            <w:pPr>
              <w:spacing w:after="0"/>
              <w:rPr>
                <w:sz w:val="13"/>
                <w:szCs w:val="13"/>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115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90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115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57"/>
        </w:trPr>
        <w:tc>
          <w:tcPr>
            <w:tcW w:w="3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Residential mortgage-backed securities</w:t>
            </w:r>
          </w:p>
        </w:tc>
        <w:tc>
          <w:tcPr>
            <w:tcW w:w="92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2"/>
        </w:trPr>
        <w:tc>
          <w:tcPr>
            <w:tcW w:w="3200" w:type="dxa"/>
            <w:vAlign w:val="bottom"/>
          </w:tcPr>
          <w:p>
            <w:pPr>
              <w:ind w:left="20"/>
              <w:spacing w:after="0"/>
              <w:rPr>
                <w:sz w:val="20"/>
                <w:szCs w:val="20"/>
                <w:color w:val="auto"/>
              </w:rPr>
            </w:pPr>
            <w:r>
              <w:rPr>
                <w:rFonts w:ascii="Arial" w:cs="Arial" w:eastAsia="Arial" w:hAnsi="Arial"/>
                <w:sz w:val="12"/>
                <w:szCs w:val="12"/>
                <w:color w:val="auto"/>
              </w:rPr>
              <w:t>U.S. Government</w:t>
            </w:r>
          </w:p>
        </w:tc>
        <w:tc>
          <w:tcPr>
            <w:tcW w:w="920" w:type="dxa"/>
            <w:vAlign w:val="bottom"/>
          </w:tcPr>
          <w:p>
            <w:pPr>
              <w:spacing w:after="0"/>
              <w:rPr>
                <w:sz w:val="13"/>
                <w:szCs w:val="13"/>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9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90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3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2"/>
                <w:szCs w:val="12"/>
                <w:b w:val="1"/>
                <w:bCs w:val="1"/>
                <w:color w:val="auto"/>
              </w:rPr>
              <w:t>Total available-for-sale securities</w:t>
            </w:r>
          </w:p>
        </w:tc>
        <w:tc>
          <w:tcPr>
            <w:tcW w:w="920" w:type="dxa"/>
            <w:vAlign w:val="bottom"/>
            <w:tcBorders>
              <w:top w:val="single" w:sz="8" w:color="auto"/>
              <w:bottom w:val="single" w:sz="8" w:color="auto"/>
            </w:tcBorders>
            <w:shd w:val="clear" w:color="auto" w:fill="CCEEFF"/>
          </w:tcPr>
          <w:p>
            <w:pPr>
              <w:jc w:val="right"/>
              <w:ind w:right="781"/>
              <w:spacing w:after="0"/>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6"/>
              </w:rPr>
              <w:t>1,550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ind w:right="351"/>
              <w:spacing w:after="0"/>
              <w:rPr>
                <w:sz w:val="20"/>
                <w:szCs w:val="20"/>
                <w:color w:val="auto"/>
              </w:rPr>
            </w:pPr>
            <w:r>
              <w:rPr>
                <w:rFonts w:ascii="Arial" w:cs="Arial" w:eastAsia="Arial" w:hAnsi="Arial"/>
                <w:sz w:val="9"/>
                <w:szCs w:val="9"/>
                <w:color w:val="auto"/>
                <w:w w:val="78"/>
              </w:rPr>
              <w:t>$</w:t>
            </w:r>
          </w:p>
        </w:tc>
        <w:tc>
          <w:tcPr>
            <w:tcW w:w="80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1,586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ind w:left="20"/>
              <w:spacing w:after="0" w:line="93" w:lineRule="exact"/>
              <w:rPr>
                <w:sz w:val="20"/>
                <w:szCs w:val="20"/>
                <w:color w:val="auto"/>
              </w:rPr>
            </w:pPr>
            <w:r>
              <w:rPr>
                <w:rFonts w:ascii="Arial" w:cs="Arial" w:eastAsia="Arial" w:hAnsi="Arial"/>
                <w:sz w:val="9"/>
                <w:szCs w:val="9"/>
                <w:color w:val="auto"/>
              </w:rPr>
              <w:t>Total number of available-for-sale securities in an unrealized loss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320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vMerge w:val="restart"/>
          </w:tcPr>
          <w:p>
            <w:pPr>
              <w:jc w:val="right"/>
              <w:spacing w:after="0"/>
              <w:rPr>
                <w:sz w:val="20"/>
                <w:szCs w:val="20"/>
                <w:color w:val="auto"/>
              </w:rPr>
            </w:pPr>
            <w:r>
              <w:rPr>
                <w:rFonts w:ascii="Arial" w:cs="Arial" w:eastAsia="Arial" w:hAnsi="Arial"/>
                <w:sz w:val="12"/>
                <w:szCs w:val="12"/>
                <w:color w:val="auto"/>
              </w:rPr>
              <w:t>222</w:t>
            </w:r>
          </w:p>
        </w:tc>
        <w:tc>
          <w:tcPr>
            <w:tcW w:w="0" w:type="dxa"/>
            <w:vAlign w:val="bottom"/>
          </w:tcPr>
          <w:p>
            <w:pPr>
              <w:spacing w:after="0"/>
              <w:rPr>
                <w:sz w:val="1"/>
                <w:szCs w:val="1"/>
                <w:color w:val="auto"/>
              </w:rPr>
            </w:pPr>
          </w:p>
        </w:tc>
      </w:tr>
      <w:tr>
        <w:trPr>
          <w:trHeight w:val="132"/>
        </w:trPr>
        <w:tc>
          <w:tcPr>
            <w:tcW w:w="3200" w:type="dxa"/>
            <w:vAlign w:val="bottom"/>
          </w:tcPr>
          <w:p>
            <w:pPr>
              <w:ind w:left="20"/>
              <w:spacing w:after="0" w:line="133" w:lineRule="exact"/>
              <w:rPr>
                <w:sz w:val="20"/>
                <w:szCs w:val="20"/>
                <w:color w:val="auto"/>
              </w:rPr>
            </w:pPr>
            <w:r>
              <w:rPr>
                <w:rFonts w:ascii="Arial" w:cs="Arial" w:eastAsia="Arial" w:hAnsi="Arial"/>
                <w:sz w:val="12"/>
                <w:szCs w:val="12"/>
                <w:color w:val="auto"/>
              </w:rPr>
              <w:t>position less than twelve months</w:t>
            </w: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3200" w:type="dxa"/>
            <w:vAlign w:val="bottom"/>
            <w:shd w:val="clear" w:color="auto" w:fill="CCEEFF"/>
          </w:tcPr>
          <w:p>
            <w:pPr>
              <w:ind w:left="20"/>
              <w:spacing w:after="0" w:line="73" w:lineRule="exact"/>
              <w:rPr>
                <w:sz w:val="20"/>
                <w:szCs w:val="20"/>
                <w:color w:val="auto"/>
              </w:rPr>
            </w:pPr>
            <w:r>
              <w:rPr>
                <w:rFonts w:ascii="Arial" w:cs="Arial" w:eastAsia="Arial" w:hAnsi="Arial"/>
                <w:sz w:val="8"/>
                <w:szCs w:val="8"/>
                <w:color w:val="auto"/>
              </w:rPr>
              <w:t>Total number of available-for-sale securities in an unrealized loss</w:t>
            </w:r>
          </w:p>
        </w:tc>
        <w:tc>
          <w:tcPr>
            <w:tcW w:w="9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52"/>
        </w:trPr>
        <w:tc>
          <w:tcPr>
            <w:tcW w:w="3200" w:type="dxa"/>
            <w:vAlign w:val="bottom"/>
            <w:tcBorders>
              <w:bottom w:val="single" w:sz="8" w:color="CCEEFF"/>
            </w:tcBorders>
            <w:shd w:val="clear" w:color="auto" w:fill="CCEEFF"/>
          </w:tcPr>
          <w:p>
            <w:pPr>
              <w:ind w:left="20"/>
              <w:spacing w:after="0" w:line="133" w:lineRule="exact"/>
              <w:rPr>
                <w:sz w:val="20"/>
                <w:szCs w:val="20"/>
                <w:color w:val="auto"/>
              </w:rPr>
            </w:pPr>
            <w:r>
              <w:rPr>
                <w:rFonts w:ascii="Arial" w:cs="Arial" w:eastAsia="Arial" w:hAnsi="Arial"/>
                <w:sz w:val="12"/>
                <w:szCs w:val="12"/>
                <w:color w:val="auto"/>
              </w:rPr>
              <w:t>position twelve months or longer</w:t>
            </w:r>
          </w:p>
        </w:tc>
        <w:tc>
          <w:tcPr>
            <w:tcW w:w="9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ind w:left="20"/>
              <w:spacing w:after="0" w:line="93" w:lineRule="exact"/>
              <w:rPr>
                <w:sz w:val="20"/>
                <w:szCs w:val="20"/>
                <w:color w:val="auto"/>
              </w:rPr>
            </w:pPr>
            <w:r>
              <w:rPr>
                <w:rFonts w:ascii="Arial" w:cs="Arial" w:eastAsia="Arial" w:hAnsi="Arial"/>
                <w:sz w:val="9"/>
                <w:szCs w:val="9"/>
                <w:color w:val="auto"/>
              </w:rPr>
              <w:t>Total number of available-for-sale securities in an unrealized loss</w:t>
            </w:r>
          </w:p>
        </w:tc>
        <w:tc>
          <w:tcPr>
            <w:tcW w:w="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320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vMerge w:val="restart"/>
          </w:tcPr>
          <w:p>
            <w:pPr>
              <w:jc w:val="right"/>
              <w:ind w:right="2"/>
              <w:spacing w:after="0"/>
              <w:rPr>
                <w:sz w:val="20"/>
                <w:szCs w:val="20"/>
                <w:color w:val="auto"/>
              </w:rPr>
            </w:pPr>
            <w:r>
              <w:rPr>
                <w:rFonts w:ascii="Arial" w:cs="Arial" w:eastAsia="Arial" w:hAnsi="Arial"/>
                <w:sz w:val="12"/>
                <w:szCs w:val="12"/>
                <w:color w:val="auto"/>
              </w:rPr>
              <w:t>233</w:t>
            </w:r>
          </w:p>
        </w:tc>
        <w:tc>
          <w:tcPr>
            <w:tcW w:w="0" w:type="dxa"/>
            <w:vAlign w:val="bottom"/>
          </w:tcPr>
          <w:p>
            <w:pPr>
              <w:spacing w:after="0"/>
              <w:rPr>
                <w:sz w:val="1"/>
                <w:szCs w:val="1"/>
                <w:color w:val="auto"/>
              </w:rPr>
            </w:pPr>
          </w:p>
        </w:tc>
      </w:tr>
      <w:tr>
        <w:trPr>
          <w:trHeight w:val="132"/>
        </w:trPr>
        <w:tc>
          <w:tcPr>
            <w:tcW w:w="3200" w:type="dxa"/>
            <w:vAlign w:val="bottom"/>
          </w:tcPr>
          <w:p>
            <w:pPr>
              <w:ind w:left="20"/>
              <w:spacing w:after="0" w:line="133" w:lineRule="exact"/>
              <w:rPr>
                <w:sz w:val="20"/>
                <w:szCs w:val="20"/>
                <w:color w:val="auto"/>
              </w:rPr>
            </w:pPr>
            <w:r>
              <w:rPr>
                <w:rFonts w:ascii="Arial" w:cs="Arial" w:eastAsia="Arial" w:hAnsi="Arial"/>
                <w:sz w:val="12"/>
                <w:szCs w:val="12"/>
                <w:color w:val="auto"/>
              </w:rPr>
              <w:t>position</w:t>
            </w: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jc w:val="both"/>
        <w:ind w:firstLine="331"/>
        <w:spacing w:after="0" w:line="250" w:lineRule="auto"/>
        <w:rPr>
          <w:sz w:val="20"/>
          <w:szCs w:val="20"/>
          <w:color w:val="auto"/>
        </w:rPr>
      </w:pPr>
      <w:r>
        <w:rPr>
          <w:rFonts w:ascii="Arial" w:cs="Arial" w:eastAsia="Arial" w:hAnsi="Arial"/>
          <w:sz w:val="15"/>
          <w:szCs w:val="15"/>
          <w:color w:val="auto"/>
        </w:rPr>
        <w:t>We determined the increase in unrealized losses as of September 30, 2021 was caused by higher treasury rates, offset by narrower spreads in certain sectors. This in part is expected as the economy continues its anticipated path to recovery. For securities in an unrealized loss position as of September 30, 2021 an expected credit loss was not determined, and we believe that the unrealized loss is being driven by interest rate increases or near-term illiquidity and uncertainty of the impact of COVID-19 on the economy as opposed to issuer specific credit concerns. Specific to asset-backed and mortgage-backed securities for which an expected credit loss was not determined, the effect of any increased expectations of underlying collateral defaults has not risen to the level of impacting the tranches of those securities.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4" w:name="page35"/>
    <w:bookmarkEnd w:id="34"/>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Mortgage Loans</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color w:val="auto"/>
        </w:rPr>
        <w:t>Our mortgage loans are collateralized by commercial and residential properties.</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Commercial Mortgage Loans</w:t>
      </w:r>
    </w:p>
    <w:p>
      <w:pPr>
        <w:spacing w:after="0" w:line="96" w:lineRule="exact"/>
        <w:rPr>
          <w:sz w:val="20"/>
          <w:szCs w:val="20"/>
          <w:color w:val="auto"/>
        </w:rPr>
      </w:pPr>
    </w:p>
    <w:p>
      <w:pPr>
        <w:jc w:val="both"/>
        <w:ind w:firstLine="331"/>
        <w:spacing w:after="0" w:line="303" w:lineRule="auto"/>
        <w:rPr>
          <w:sz w:val="20"/>
          <w:szCs w:val="20"/>
          <w:color w:val="auto"/>
        </w:rPr>
      </w:pPr>
      <w:r>
        <w:rPr>
          <w:rFonts w:ascii="Arial" w:cs="Arial" w:eastAsia="Arial" w:hAnsi="Arial"/>
          <w:sz w:val="13"/>
          <w:szCs w:val="13"/>
          <w:color w:val="auto"/>
        </w:rPr>
        <w:t>Commercial mortgage loans ("CMLs") represented approximately 6% of our total investments as of September 30, 2021. We primarily invest in mortgage loans on income producing properties including hotels, industrial properties, retail buildings, multifamily properties and office buildings. We diversify our CML portfolio by geographic region and property type to attempt to reduce concentration risk. We continuously evaluate CMLs based on relevant current information to ensure properties are performing at a consistent and acceptable level to secure the related debt. The distribution of CMLs, gross of valuation allowances, by property type and geographic region is reflected in the following tables (dollars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8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3"/>
          </w:tcPr>
          <w:p>
            <w:pPr>
              <w:ind w:left="1060"/>
              <w:spacing w:after="0"/>
              <w:rPr>
                <w:sz w:val="20"/>
                <w:szCs w:val="20"/>
                <w:color w:val="auto"/>
              </w:rPr>
            </w:pPr>
            <w:r>
              <w:rPr>
                <w:rFonts w:ascii="Arial" w:cs="Arial" w:eastAsia="Arial" w:hAnsi="Arial"/>
                <w:sz w:val="12"/>
                <w:szCs w:val="12"/>
                <w:b w:val="1"/>
                <w:bCs w:val="1"/>
                <w:color w:val="auto"/>
                <w:w w:val="90"/>
              </w:rPr>
              <w:t>September 30, 2021</w:t>
            </w: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00" w:type="dxa"/>
            <w:vAlign w:val="bottom"/>
            <w:gridSpan w:val="3"/>
          </w:tcPr>
          <w:p>
            <w:pPr>
              <w:ind w:left="80"/>
              <w:spacing w:after="0"/>
              <w:rPr>
                <w:sz w:val="20"/>
                <w:szCs w:val="20"/>
                <w:color w:val="auto"/>
              </w:rPr>
            </w:pPr>
            <w:r>
              <w:rPr>
                <w:rFonts w:ascii="Arial" w:cs="Arial" w:eastAsia="Arial" w:hAnsi="Arial"/>
                <w:sz w:val="12"/>
                <w:szCs w:val="12"/>
                <w:b w:val="1"/>
                <w:bCs w:val="1"/>
                <w:color w:val="auto"/>
              </w:rPr>
              <w:t>Gross Carrying Value</w:t>
            </w:r>
          </w:p>
        </w:tc>
        <w:tc>
          <w:tcPr>
            <w:tcW w:w="1180" w:type="dxa"/>
            <w:vAlign w:val="bottom"/>
          </w:tcPr>
          <w:p>
            <w:pPr>
              <w:jc w:val="right"/>
              <w:ind w:right="541"/>
              <w:spacing w:after="0"/>
              <w:rPr>
                <w:sz w:val="20"/>
                <w:szCs w:val="20"/>
                <w:color w:val="auto"/>
              </w:rPr>
            </w:pPr>
            <w:r>
              <w:rPr>
                <w:rFonts w:ascii="Arial" w:cs="Arial" w:eastAsia="Arial" w:hAnsi="Arial"/>
                <w:sz w:val="12"/>
                <w:szCs w:val="12"/>
                <w:b w:val="1"/>
                <w:bCs w:val="1"/>
                <w:color w:val="auto"/>
                <w:w w:val="97"/>
              </w:rPr>
              <w:t>% of Total</w:t>
            </w:r>
          </w:p>
        </w:tc>
        <w:tc>
          <w:tcPr>
            <w:tcW w:w="0" w:type="dxa"/>
            <w:vAlign w:val="bottom"/>
          </w:tcPr>
          <w:p>
            <w:pPr>
              <w:spacing w:after="0"/>
              <w:rPr>
                <w:sz w:val="1"/>
                <w:szCs w:val="1"/>
                <w:color w:val="auto"/>
              </w:rPr>
            </w:pPr>
          </w:p>
        </w:tc>
      </w:tr>
      <w:tr>
        <w:trPr>
          <w:trHeight w:val="136"/>
        </w:trPr>
        <w:tc>
          <w:tcPr>
            <w:tcW w:w="782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2"/>
                <w:szCs w:val="12"/>
                <w:b w:val="1"/>
                <w:bCs w:val="1"/>
                <w:color w:val="auto"/>
              </w:rPr>
              <w:t>Property Type:</w:t>
            </w:r>
          </w:p>
        </w:tc>
        <w:tc>
          <w:tcPr>
            <w:tcW w:w="180" w:type="dxa"/>
            <w:vAlign w:val="bottom"/>
            <w:tcBorders>
              <w:top w:val="single" w:sz="8" w:color="auto"/>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820" w:type="dxa"/>
            <w:vAlign w:val="bottom"/>
          </w:tcPr>
          <w:p>
            <w:pPr>
              <w:ind w:left="120"/>
              <w:spacing w:after="0"/>
              <w:rPr>
                <w:sz w:val="20"/>
                <w:szCs w:val="20"/>
                <w:color w:val="auto"/>
              </w:rPr>
            </w:pPr>
            <w:r>
              <w:rPr>
                <w:rFonts w:ascii="Arial" w:cs="Arial" w:eastAsia="Arial" w:hAnsi="Arial"/>
                <w:sz w:val="12"/>
                <w:szCs w:val="12"/>
                <w:color w:val="auto"/>
              </w:rPr>
              <w:t>Hotel</w:t>
            </w:r>
          </w:p>
        </w:tc>
        <w:tc>
          <w:tcPr>
            <w:tcW w:w="1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19</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1 %</w:t>
            </w:r>
          </w:p>
        </w:tc>
        <w:tc>
          <w:tcPr>
            <w:tcW w:w="0" w:type="dxa"/>
            <w:vAlign w:val="bottom"/>
          </w:tcPr>
          <w:p>
            <w:pPr>
              <w:spacing w:after="0"/>
              <w:rPr>
                <w:sz w:val="1"/>
                <w:szCs w:val="1"/>
                <w:color w:val="auto"/>
              </w:rPr>
            </w:pPr>
          </w:p>
        </w:tc>
      </w:tr>
      <w:tr>
        <w:trPr>
          <w:trHeight w:val="157"/>
        </w:trPr>
        <w:tc>
          <w:tcPr>
            <w:tcW w:w="7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Industrial - General</w:t>
            </w:r>
          </w:p>
        </w:tc>
        <w:tc>
          <w:tcPr>
            <w:tcW w:w="18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486</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24 %</w:t>
            </w:r>
          </w:p>
        </w:tc>
        <w:tc>
          <w:tcPr>
            <w:tcW w:w="0" w:type="dxa"/>
            <w:vAlign w:val="bottom"/>
          </w:tcPr>
          <w:p>
            <w:pPr>
              <w:spacing w:after="0"/>
              <w:rPr>
                <w:sz w:val="1"/>
                <w:szCs w:val="1"/>
                <w:color w:val="auto"/>
              </w:rPr>
            </w:pPr>
          </w:p>
        </w:tc>
      </w:tr>
      <w:tr>
        <w:trPr>
          <w:trHeight w:val="152"/>
        </w:trPr>
        <w:tc>
          <w:tcPr>
            <w:tcW w:w="7820" w:type="dxa"/>
            <w:vAlign w:val="bottom"/>
          </w:tcPr>
          <w:p>
            <w:pPr>
              <w:ind w:left="120"/>
              <w:spacing w:after="0"/>
              <w:rPr>
                <w:sz w:val="20"/>
                <w:szCs w:val="20"/>
                <w:color w:val="auto"/>
              </w:rPr>
            </w:pPr>
            <w:r>
              <w:rPr>
                <w:rFonts w:ascii="Arial" w:cs="Arial" w:eastAsia="Arial" w:hAnsi="Arial"/>
                <w:sz w:val="12"/>
                <w:szCs w:val="12"/>
                <w:color w:val="auto"/>
              </w:rPr>
              <w:t>Industrial - Warehouse</w:t>
            </w:r>
          </w:p>
        </w:tc>
        <w:tc>
          <w:tcPr>
            <w:tcW w:w="1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1 %</w:t>
            </w:r>
          </w:p>
        </w:tc>
        <w:tc>
          <w:tcPr>
            <w:tcW w:w="0" w:type="dxa"/>
            <w:vAlign w:val="bottom"/>
          </w:tcPr>
          <w:p>
            <w:pPr>
              <w:spacing w:after="0"/>
              <w:rPr>
                <w:sz w:val="1"/>
                <w:szCs w:val="1"/>
                <w:color w:val="auto"/>
              </w:rPr>
            </w:pPr>
          </w:p>
        </w:tc>
      </w:tr>
      <w:tr>
        <w:trPr>
          <w:trHeight w:val="157"/>
        </w:trPr>
        <w:tc>
          <w:tcPr>
            <w:tcW w:w="7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Multifamily</w:t>
            </w:r>
          </w:p>
        </w:tc>
        <w:tc>
          <w:tcPr>
            <w:tcW w:w="18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791</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40 %</w:t>
            </w:r>
          </w:p>
        </w:tc>
        <w:tc>
          <w:tcPr>
            <w:tcW w:w="0" w:type="dxa"/>
            <w:vAlign w:val="bottom"/>
          </w:tcPr>
          <w:p>
            <w:pPr>
              <w:spacing w:after="0"/>
              <w:rPr>
                <w:sz w:val="1"/>
                <w:szCs w:val="1"/>
                <w:color w:val="auto"/>
              </w:rPr>
            </w:pPr>
          </w:p>
        </w:tc>
      </w:tr>
      <w:tr>
        <w:trPr>
          <w:trHeight w:val="152"/>
        </w:trPr>
        <w:tc>
          <w:tcPr>
            <w:tcW w:w="7820" w:type="dxa"/>
            <w:vAlign w:val="bottom"/>
          </w:tcPr>
          <w:p>
            <w:pPr>
              <w:ind w:left="120"/>
              <w:spacing w:after="0"/>
              <w:rPr>
                <w:sz w:val="20"/>
                <w:szCs w:val="20"/>
                <w:color w:val="auto"/>
              </w:rPr>
            </w:pPr>
            <w:r>
              <w:rPr>
                <w:rFonts w:ascii="Arial" w:cs="Arial" w:eastAsia="Arial" w:hAnsi="Arial"/>
                <w:sz w:val="12"/>
                <w:szCs w:val="12"/>
                <w:color w:val="auto"/>
              </w:rPr>
              <w:t>Office</w:t>
            </w:r>
          </w:p>
        </w:tc>
        <w:tc>
          <w:tcPr>
            <w:tcW w:w="1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127</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6 %</w:t>
            </w:r>
          </w:p>
        </w:tc>
        <w:tc>
          <w:tcPr>
            <w:tcW w:w="0" w:type="dxa"/>
            <w:vAlign w:val="bottom"/>
          </w:tcPr>
          <w:p>
            <w:pPr>
              <w:spacing w:after="0"/>
              <w:rPr>
                <w:sz w:val="1"/>
                <w:szCs w:val="1"/>
                <w:color w:val="auto"/>
              </w:rPr>
            </w:pPr>
          </w:p>
        </w:tc>
      </w:tr>
      <w:tr>
        <w:trPr>
          <w:trHeight w:val="157"/>
        </w:trPr>
        <w:tc>
          <w:tcPr>
            <w:tcW w:w="7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Retail</w:t>
            </w:r>
          </w:p>
        </w:tc>
        <w:tc>
          <w:tcPr>
            <w:tcW w:w="18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303</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15 %</w:t>
            </w:r>
          </w:p>
        </w:tc>
        <w:tc>
          <w:tcPr>
            <w:tcW w:w="0" w:type="dxa"/>
            <w:vAlign w:val="bottom"/>
          </w:tcPr>
          <w:p>
            <w:pPr>
              <w:spacing w:after="0"/>
              <w:rPr>
                <w:sz w:val="1"/>
                <w:szCs w:val="1"/>
                <w:color w:val="auto"/>
              </w:rPr>
            </w:pPr>
          </w:p>
        </w:tc>
      </w:tr>
      <w:tr>
        <w:trPr>
          <w:trHeight w:val="152"/>
        </w:trPr>
        <w:tc>
          <w:tcPr>
            <w:tcW w:w="7820" w:type="dxa"/>
            <w:vAlign w:val="bottom"/>
          </w:tcPr>
          <w:p>
            <w:pPr>
              <w:ind w:left="120"/>
              <w:spacing w:after="0"/>
              <w:rPr>
                <w:sz w:val="20"/>
                <w:szCs w:val="20"/>
                <w:color w:val="auto"/>
              </w:rPr>
            </w:pPr>
            <w:r>
              <w:rPr>
                <w:rFonts w:ascii="Arial" w:cs="Arial" w:eastAsia="Arial" w:hAnsi="Arial"/>
                <w:sz w:val="12"/>
                <w:szCs w:val="12"/>
                <w:color w:val="auto"/>
              </w:rPr>
              <w:t>Other</w:t>
            </w:r>
          </w:p>
        </w:tc>
        <w:tc>
          <w:tcPr>
            <w:tcW w:w="1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168</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9 %</w:t>
            </w:r>
          </w:p>
        </w:tc>
        <w:tc>
          <w:tcPr>
            <w:tcW w:w="0" w:type="dxa"/>
            <w:vAlign w:val="bottom"/>
          </w:tcPr>
          <w:p>
            <w:pPr>
              <w:spacing w:after="0"/>
              <w:rPr>
                <w:sz w:val="1"/>
                <w:szCs w:val="1"/>
                <w:color w:val="auto"/>
              </w:rPr>
            </w:pPr>
          </w:p>
        </w:tc>
      </w:tr>
      <w:tr>
        <w:trPr>
          <w:trHeight w:val="155"/>
        </w:trPr>
        <w:tc>
          <w:tcPr>
            <w:tcW w:w="7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Student Housing</w:t>
            </w:r>
          </w:p>
        </w:tc>
        <w:tc>
          <w:tcPr>
            <w:tcW w:w="18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w:t>
            </w:r>
          </w:p>
        </w:tc>
        <w:tc>
          <w:tcPr>
            <w:tcW w:w="12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4 %</w:t>
            </w:r>
          </w:p>
        </w:tc>
        <w:tc>
          <w:tcPr>
            <w:tcW w:w="0" w:type="dxa"/>
            <w:vAlign w:val="bottom"/>
          </w:tcPr>
          <w:p>
            <w:pPr>
              <w:spacing w:after="0"/>
              <w:rPr>
                <w:sz w:val="1"/>
                <w:szCs w:val="1"/>
                <w:color w:val="auto"/>
              </w:rPr>
            </w:pPr>
          </w:p>
        </w:tc>
      </w:tr>
      <w:tr>
        <w:trPr>
          <w:trHeight w:val="148"/>
        </w:trPr>
        <w:tc>
          <w:tcPr>
            <w:tcW w:w="7820" w:type="dxa"/>
            <w:vAlign w:val="bottom"/>
          </w:tcPr>
          <w:p>
            <w:pPr>
              <w:ind w:left="280"/>
              <w:spacing w:after="0"/>
              <w:rPr>
                <w:sz w:val="20"/>
                <w:szCs w:val="20"/>
                <w:color w:val="auto"/>
              </w:rPr>
            </w:pPr>
            <w:r>
              <w:rPr>
                <w:rFonts w:ascii="Arial" w:cs="Arial" w:eastAsia="Arial" w:hAnsi="Arial"/>
                <w:sz w:val="12"/>
                <w:szCs w:val="12"/>
                <w:b w:val="1"/>
                <w:bCs w:val="1"/>
                <w:color w:val="auto"/>
              </w:rPr>
              <w:t>Total commercial mortgage loans, gross of valuation allowance</w:t>
            </w:r>
          </w:p>
        </w:tc>
        <w:tc>
          <w:tcPr>
            <w:tcW w:w="1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1,990</w:t>
            </w:r>
          </w:p>
        </w:tc>
        <w:tc>
          <w:tcPr>
            <w:tcW w:w="1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820" w:type="dxa"/>
            <w:vAlign w:val="bottom"/>
            <w:shd w:val="clear" w:color="auto" w:fill="CCEEFF"/>
          </w:tcPr>
          <w:p>
            <w:pPr>
              <w:ind w:left="460"/>
              <w:spacing w:after="0" w:line="129" w:lineRule="exact"/>
              <w:rPr>
                <w:sz w:val="20"/>
                <w:szCs w:val="20"/>
                <w:color w:val="auto"/>
              </w:rPr>
            </w:pPr>
            <w:r>
              <w:rPr>
                <w:rFonts w:ascii="Arial" w:cs="Arial" w:eastAsia="Arial" w:hAnsi="Arial"/>
                <w:sz w:val="12"/>
                <w:szCs w:val="12"/>
                <w:color w:val="auto"/>
              </w:rPr>
              <w:t>Allowance for expected credit loss</w:t>
            </w:r>
          </w:p>
        </w:tc>
        <w:tc>
          <w:tcPr>
            <w:tcW w:w="180" w:type="dxa"/>
            <w:vAlign w:val="bottom"/>
            <w:tcBorders>
              <w:bottom w:val="single" w:sz="8" w:color="auto"/>
            </w:tcBorders>
            <w:shd w:val="clear" w:color="auto" w:fill="CCEEFF"/>
          </w:tcPr>
          <w:p>
            <w:pPr>
              <w:spacing w:after="0"/>
              <w:rPr>
                <w:sz w:val="11"/>
                <w:szCs w:val="11"/>
                <w:color w:val="auto"/>
              </w:rPr>
            </w:pPr>
          </w:p>
        </w:tc>
        <w:tc>
          <w:tcPr>
            <w:tcW w:w="144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820" w:type="dxa"/>
            <w:vAlign w:val="bottom"/>
          </w:tcPr>
          <w:p>
            <w:pPr>
              <w:ind w:left="280"/>
              <w:spacing w:after="0"/>
              <w:rPr>
                <w:sz w:val="20"/>
                <w:szCs w:val="20"/>
                <w:color w:val="auto"/>
              </w:rPr>
            </w:pPr>
            <w:r>
              <w:rPr>
                <w:rFonts w:ascii="Arial" w:cs="Arial" w:eastAsia="Arial" w:hAnsi="Arial"/>
                <w:sz w:val="12"/>
                <w:szCs w:val="12"/>
                <w:b w:val="1"/>
                <w:bCs w:val="1"/>
                <w:color w:val="auto"/>
              </w:rPr>
              <w:t>Total commercial mortgage loans</w:t>
            </w:r>
          </w:p>
        </w:tc>
        <w:tc>
          <w:tcPr>
            <w:tcW w:w="1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1,984</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7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820" w:type="dxa"/>
            <w:vAlign w:val="bottom"/>
          </w:tcPr>
          <w:p>
            <w:pPr>
              <w:ind w:left="20"/>
              <w:spacing w:after="0"/>
              <w:rPr>
                <w:sz w:val="20"/>
                <w:szCs w:val="20"/>
                <w:color w:val="auto"/>
              </w:rPr>
            </w:pPr>
            <w:r>
              <w:rPr>
                <w:rFonts w:ascii="Arial" w:cs="Arial" w:eastAsia="Arial" w:hAnsi="Arial"/>
                <w:sz w:val="12"/>
                <w:szCs w:val="12"/>
                <w:b w:val="1"/>
                <w:bCs w:val="1"/>
                <w:color w:val="auto"/>
              </w:rPr>
              <w:t>U.S. Region:</w:t>
            </w: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East North Central</w:t>
            </w:r>
          </w:p>
        </w:tc>
        <w:tc>
          <w:tcPr>
            <w:tcW w:w="1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3 %</w:t>
            </w:r>
          </w:p>
        </w:tc>
        <w:tc>
          <w:tcPr>
            <w:tcW w:w="0" w:type="dxa"/>
            <w:vAlign w:val="bottom"/>
          </w:tcPr>
          <w:p>
            <w:pPr>
              <w:spacing w:after="0"/>
              <w:rPr>
                <w:sz w:val="1"/>
                <w:szCs w:val="1"/>
                <w:color w:val="auto"/>
              </w:rPr>
            </w:pPr>
          </w:p>
        </w:tc>
      </w:tr>
      <w:tr>
        <w:trPr>
          <w:trHeight w:val="152"/>
        </w:trPr>
        <w:tc>
          <w:tcPr>
            <w:tcW w:w="7820" w:type="dxa"/>
            <w:vAlign w:val="bottom"/>
          </w:tcPr>
          <w:p>
            <w:pPr>
              <w:ind w:left="120"/>
              <w:spacing w:after="0"/>
              <w:rPr>
                <w:sz w:val="20"/>
                <w:szCs w:val="20"/>
                <w:color w:val="auto"/>
              </w:rPr>
            </w:pPr>
            <w:r>
              <w:rPr>
                <w:rFonts w:ascii="Arial" w:cs="Arial" w:eastAsia="Arial" w:hAnsi="Arial"/>
                <w:sz w:val="12"/>
                <w:szCs w:val="12"/>
                <w:color w:val="auto"/>
              </w:rPr>
              <w:t>East South Central</w:t>
            </w:r>
          </w:p>
        </w:tc>
        <w:tc>
          <w:tcPr>
            <w:tcW w:w="1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80</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4 %</w:t>
            </w:r>
          </w:p>
        </w:tc>
        <w:tc>
          <w:tcPr>
            <w:tcW w:w="0" w:type="dxa"/>
            <w:vAlign w:val="bottom"/>
          </w:tcPr>
          <w:p>
            <w:pPr>
              <w:spacing w:after="0"/>
              <w:rPr>
                <w:sz w:val="1"/>
                <w:szCs w:val="1"/>
                <w:color w:val="auto"/>
              </w:rPr>
            </w:pPr>
          </w:p>
        </w:tc>
      </w:tr>
      <w:tr>
        <w:trPr>
          <w:trHeight w:val="157"/>
        </w:trPr>
        <w:tc>
          <w:tcPr>
            <w:tcW w:w="7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Middle Atlantic</w:t>
            </w:r>
          </w:p>
        </w:tc>
        <w:tc>
          <w:tcPr>
            <w:tcW w:w="18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246</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11 %</w:t>
            </w:r>
          </w:p>
        </w:tc>
        <w:tc>
          <w:tcPr>
            <w:tcW w:w="0" w:type="dxa"/>
            <w:vAlign w:val="bottom"/>
          </w:tcPr>
          <w:p>
            <w:pPr>
              <w:spacing w:after="0"/>
              <w:rPr>
                <w:sz w:val="1"/>
                <w:szCs w:val="1"/>
                <w:color w:val="auto"/>
              </w:rPr>
            </w:pPr>
          </w:p>
        </w:tc>
      </w:tr>
      <w:tr>
        <w:trPr>
          <w:trHeight w:val="152"/>
        </w:trPr>
        <w:tc>
          <w:tcPr>
            <w:tcW w:w="7820" w:type="dxa"/>
            <w:vAlign w:val="bottom"/>
          </w:tcPr>
          <w:p>
            <w:pPr>
              <w:ind w:left="120"/>
              <w:spacing w:after="0"/>
              <w:rPr>
                <w:sz w:val="20"/>
                <w:szCs w:val="20"/>
                <w:color w:val="auto"/>
              </w:rPr>
            </w:pPr>
            <w:r>
              <w:rPr>
                <w:rFonts w:ascii="Arial" w:cs="Arial" w:eastAsia="Arial" w:hAnsi="Arial"/>
                <w:sz w:val="12"/>
                <w:szCs w:val="12"/>
                <w:color w:val="auto"/>
              </w:rPr>
              <w:t>Mountain</w:t>
            </w:r>
          </w:p>
        </w:tc>
        <w:tc>
          <w:tcPr>
            <w:tcW w:w="1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171</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9 %</w:t>
            </w:r>
          </w:p>
        </w:tc>
        <w:tc>
          <w:tcPr>
            <w:tcW w:w="0" w:type="dxa"/>
            <w:vAlign w:val="bottom"/>
          </w:tcPr>
          <w:p>
            <w:pPr>
              <w:spacing w:after="0"/>
              <w:rPr>
                <w:sz w:val="1"/>
                <w:szCs w:val="1"/>
                <w:color w:val="auto"/>
              </w:rPr>
            </w:pPr>
          </w:p>
        </w:tc>
      </w:tr>
      <w:tr>
        <w:trPr>
          <w:trHeight w:val="157"/>
        </w:trPr>
        <w:tc>
          <w:tcPr>
            <w:tcW w:w="7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New England</w:t>
            </w:r>
          </w:p>
        </w:tc>
        <w:tc>
          <w:tcPr>
            <w:tcW w:w="18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7 %</w:t>
            </w:r>
          </w:p>
        </w:tc>
        <w:tc>
          <w:tcPr>
            <w:tcW w:w="0" w:type="dxa"/>
            <w:vAlign w:val="bottom"/>
          </w:tcPr>
          <w:p>
            <w:pPr>
              <w:spacing w:after="0"/>
              <w:rPr>
                <w:sz w:val="1"/>
                <w:szCs w:val="1"/>
                <w:color w:val="auto"/>
              </w:rPr>
            </w:pPr>
          </w:p>
        </w:tc>
      </w:tr>
      <w:tr>
        <w:trPr>
          <w:trHeight w:val="152"/>
        </w:trPr>
        <w:tc>
          <w:tcPr>
            <w:tcW w:w="7820" w:type="dxa"/>
            <w:vAlign w:val="bottom"/>
          </w:tcPr>
          <w:p>
            <w:pPr>
              <w:ind w:left="120"/>
              <w:spacing w:after="0"/>
              <w:rPr>
                <w:sz w:val="20"/>
                <w:szCs w:val="20"/>
                <w:color w:val="auto"/>
              </w:rPr>
            </w:pPr>
            <w:r>
              <w:rPr>
                <w:rFonts w:ascii="Arial" w:cs="Arial" w:eastAsia="Arial" w:hAnsi="Arial"/>
                <w:sz w:val="12"/>
                <w:szCs w:val="12"/>
                <w:color w:val="auto"/>
              </w:rPr>
              <w:t>Pacific</w:t>
            </w:r>
          </w:p>
        </w:tc>
        <w:tc>
          <w:tcPr>
            <w:tcW w:w="1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630</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32 %</w:t>
            </w:r>
          </w:p>
        </w:tc>
        <w:tc>
          <w:tcPr>
            <w:tcW w:w="0" w:type="dxa"/>
            <w:vAlign w:val="bottom"/>
          </w:tcPr>
          <w:p>
            <w:pPr>
              <w:spacing w:after="0"/>
              <w:rPr>
                <w:sz w:val="1"/>
                <w:szCs w:val="1"/>
                <w:color w:val="auto"/>
              </w:rPr>
            </w:pPr>
          </w:p>
        </w:tc>
      </w:tr>
      <w:tr>
        <w:trPr>
          <w:trHeight w:val="157"/>
        </w:trPr>
        <w:tc>
          <w:tcPr>
            <w:tcW w:w="7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South Atlantic</w:t>
            </w:r>
          </w:p>
        </w:tc>
        <w:tc>
          <w:tcPr>
            <w:tcW w:w="18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416</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21 %</w:t>
            </w:r>
          </w:p>
        </w:tc>
        <w:tc>
          <w:tcPr>
            <w:tcW w:w="0" w:type="dxa"/>
            <w:vAlign w:val="bottom"/>
          </w:tcPr>
          <w:p>
            <w:pPr>
              <w:spacing w:after="0"/>
              <w:rPr>
                <w:sz w:val="1"/>
                <w:szCs w:val="1"/>
                <w:color w:val="auto"/>
              </w:rPr>
            </w:pPr>
          </w:p>
        </w:tc>
      </w:tr>
      <w:tr>
        <w:trPr>
          <w:trHeight w:val="152"/>
        </w:trPr>
        <w:tc>
          <w:tcPr>
            <w:tcW w:w="7820" w:type="dxa"/>
            <w:vAlign w:val="bottom"/>
          </w:tcPr>
          <w:p>
            <w:pPr>
              <w:ind w:left="120"/>
              <w:spacing w:after="0"/>
              <w:rPr>
                <w:sz w:val="20"/>
                <w:szCs w:val="20"/>
                <w:color w:val="auto"/>
              </w:rPr>
            </w:pPr>
            <w:r>
              <w:rPr>
                <w:rFonts w:ascii="Arial" w:cs="Arial" w:eastAsia="Arial" w:hAnsi="Arial"/>
                <w:sz w:val="12"/>
                <w:szCs w:val="12"/>
                <w:color w:val="auto"/>
              </w:rPr>
              <w:t>West North Central</w:t>
            </w:r>
          </w:p>
        </w:tc>
        <w:tc>
          <w:tcPr>
            <w:tcW w:w="1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1 %</w:t>
            </w:r>
          </w:p>
        </w:tc>
        <w:tc>
          <w:tcPr>
            <w:tcW w:w="0" w:type="dxa"/>
            <w:vAlign w:val="bottom"/>
          </w:tcPr>
          <w:p>
            <w:pPr>
              <w:spacing w:after="0"/>
              <w:rPr>
                <w:sz w:val="1"/>
                <w:szCs w:val="1"/>
                <w:color w:val="auto"/>
              </w:rPr>
            </w:pPr>
          </w:p>
        </w:tc>
      </w:tr>
      <w:tr>
        <w:trPr>
          <w:trHeight w:val="157"/>
        </w:trPr>
        <w:tc>
          <w:tcPr>
            <w:tcW w:w="7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West South Central</w:t>
            </w:r>
          </w:p>
        </w:tc>
        <w:tc>
          <w:tcPr>
            <w:tcW w:w="18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8 %</w:t>
            </w:r>
          </w:p>
        </w:tc>
        <w:tc>
          <w:tcPr>
            <w:tcW w:w="0" w:type="dxa"/>
            <w:vAlign w:val="bottom"/>
          </w:tcPr>
          <w:p>
            <w:pPr>
              <w:spacing w:after="0"/>
              <w:rPr>
                <w:sz w:val="1"/>
                <w:szCs w:val="1"/>
                <w:color w:val="auto"/>
              </w:rPr>
            </w:pPr>
          </w:p>
        </w:tc>
      </w:tr>
      <w:tr>
        <w:trPr>
          <w:trHeight w:val="152"/>
        </w:trPr>
        <w:tc>
          <w:tcPr>
            <w:tcW w:w="782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Various</w:t>
            </w:r>
          </w:p>
        </w:tc>
        <w:tc>
          <w:tcPr>
            <w:tcW w:w="1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w:t>
            </w:r>
          </w:p>
        </w:tc>
        <w:tc>
          <w:tcPr>
            <w:tcW w:w="1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4 %</w:t>
            </w:r>
          </w:p>
        </w:tc>
        <w:tc>
          <w:tcPr>
            <w:tcW w:w="0" w:type="dxa"/>
            <w:vAlign w:val="bottom"/>
          </w:tcPr>
          <w:p>
            <w:pPr>
              <w:spacing w:after="0"/>
              <w:rPr>
                <w:sz w:val="1"/>
                <w:szCs w:val="1"/>
                <w:color w:val="auto"/>
              </w:rPr>
            </w:pPr>
          </w:p>
        </w:tc>
      </w:tr>
      <w:tr>
        <w:trPr>
          <w:trHeight w:val="173"/>
        </w:trPr>
        <w:tc>
          <w:tcPr>
            <w:tcW w:w="7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b w:val="1"/>
                <w:bCs w:val="1"/>
                <w:color w:val="auto"/>
              </w:rPr>
              <w:t>Total commercial mortgage loans, gross of valuation allowance</w:t>
            </w:r>
          </w:p>
        </w:tc>
        <w:tc>
          <w:tcPr>
            <w:tcW w:w="1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1,990</w:t>
            </w: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2"/>
                <w:szCs w:val="12"/>
                <w:color w:val="auto"/>
              </w:rPr>
              <w:t>Allowance for expected credit loss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820" w:type="dxa"/>
            <w:vAlign w:val="bottom"/>
            <w:tcBorders>
              <w:bottom w:val="single" w:sz="8" w:color="CCEEFF"/>
            </w:tcBorders>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(6)</w:t>
            </w:r>
          </w:p>
        </w:tc>
        <w:tc>
          <w:tcPr>
            <w:tcW w:w="120" w:type="dxa"/>
            <w:vAlign w:val="bottom"/>
            <w:tcBorders>
              <w:bottom w:val="single" w:sz="8" w:color="CCEEFF"/>
            </w:tcBorders>
          </w:tcPr>
          <w:p>
            <w:pPr>
              <w:spacing w:after="0"/>
              <w:rPr>
                <w:sz w:val="10"/>
                <w:szCs w:val="10"/>
                <w:color w:val="auto"/>
              </w:rPr>
            </w:pPr>
          </w:p>
        </w:tc>
        <w:tc>
          <w:tcPr>
            <w:tcW w:w="540" w:type="dxa"/>
            <w:vAlign w:val="bottom"/>
            <w:tcBorders>
              <w:bottom w:val="single" w:sz="8" w:color="CCEEFF"/>
            </w:tcBorders>
          </w:tcPr>
          <w:p>
            <w:pPr>
              <w:spacing w:after="0"/>
              <w:rPr>
                <w:sz w:val="10"/>
                <w:szCs w:val="10"/>
                <w:color w:val="auto"/>
              </w:rPr>
            </w:pPr>
          </w:p>
        </w:tc>
        <w:tc>
          <w:tcPr>
            <w:tcW w:w="11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b w:val="1"/>
                <w:bCs w:val="1"/>
                <w:color w:val="auto"/>
              </w:rPr>
              <w:t>Total commercial mortgage loans</w:t>
            </w:r>
          </w:p>
        </w:tc>
        <w:tc>
          <w:tcPr>
            <w:tcW w:w="1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1,984</w:t>
            </w: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5" w:name="page36"/>
    <w:bookmarkEnd w:id="35"/>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820" w:type="dxa"/>
            <w:vAlign w:val="bottom"/>
          </w:tcPr>
          <w:p>
            <w:pPr>
              <w:spacing w:after="0"/>
              <w:rPr>
                <w:sz w:val="13"/>
                <w:szCs w:val="13"/>
                <w:color w:val="auto"/>
              </w:rPr>
            </w:pPr>
          </w:p>
        </w:tc>
        <w:tc>
          <w:tcPr>
            <w:tcW w:w="2280" w:type="dxa"/>
            <w:vAlign w:val="bottom"/>
            <w:tcBorders>
              <w:bottom w:val="single" w:sz="8" w:color="auto"/>
            </w:tcBorders>
            <w:gridSpan w:val="4"/>
          </w:tcPr>
          <w:p>
            <w:pPr>
              <w:ind w:left="1260"/>
              <w:spacing w:after="0"/>
              <w:rPr>
                <w:sz w:val="20"/>
                <w:szCs w:val="20"/>
                <w:color w:val="auto"/>
              </w:rPr>
            </w:pPr>
            <w:r>
              <w:rPr>
                <w:rFonts w:ascii="Arial" w:cs="Arial" w:eastAsia="Arial" w:hAnsi="Arial"/>
                <w:sz w:val="12"/>
                <w:szCs w:val="12"/>
                <w:b w:val="1"/>
                <w:bCs w:val="1"/>
                <w:color w:val="auto"/>
                <w:w w:val="92"/>
              </w:rPr>
              <w:t>December 31, 2020</w:t>
            </w: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82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Gross Carrying Value</w:t>
            </w: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2"/>
                <w:szCs w:val="12"/>
                <w:b w:val="1"/>
                <w:bCs w:val="1"/>
                <w:color w:val="auto"/>
                <w:w w:val="97"/>
              </w:rPr>
              <w:t>% of Total</w:t>
            </w:r>
          </w:p>
        </w:tc>
        <w:tc>
          <w:tcPr>
            <w:tcW w:w="0" w:type="dxa"/>
            <w:vAlign w:val="bottom"/>
          </w:tcPr>
          <w:p>
            <w:pPr>
              <w:spacing w:after="0"/>
              <w:rPr>
                <w:sz w:val="1"/>
                <w:szCs w:val="1"/>
                <w:color w:val="auto"/>
              </w:rPr>
            </w:pPr>
          </w:p>
        </w:tc>
      </w:tr>
      <w:tr>
        <w:trPr>
          <w:trHeight w:val="136"/>
        </w:trPr>
        <w:tc>
          <w:tcPr>
            <w:tcW w:w="782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b w:val="1"/>
                <w:bCs w:val="1"/>
                <w:color w:val="auto"/>
              </w:rPr>
              <w:t>Property Type:</w:t>
            </w:r>
          </w:p>
        </w:tc>
        <w:tc>
          <w:tcPr>
            <w:tcW w:w="1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820" w:type="dxa"/>
            <w:vAlign w:val="bottom"/>
          </w:tcPr>
          <w:p>
            <w:pPr>
              <w:ind w:left="120"/>
              <w:spacing w:after="0"/>
              <w:rPr>
                <w:sz w:val="20"/>
                <w:szCs w:val="20"/>
                <w:color w:val="auto"/>
              </w:rPr>
            </w:pPr>
            <w:r>
              <w:rPr>
                <w:rFonts w:ascii="Arial" w:cs="Arial" w:eastAsia="Arial" w:hAnsi="Arial"/>
                <w:sz w:val="12"/>
                <w:szCs w:val="12"/>
                <w:color w:val="auto"/>
              </w:rPr>
              <w:t>Hotel</w:t>
            </w:r>
          </w:p>
        </w:tc>
        <w:tc>
          <w:tcPr>
            <w:tcW w:w="1380" w:type="dxa"/>
            <w:vAlign w:val="bottom"/>
          </w:tcPr>
          <w:p>
            <w:pPr>
              <w:jc w:val="right"/>
              <w:ind w:right="1241"/>
              <w:spacing w:after="0"/>
              <w:rPr>
                <w:sz w:val="20"/>
                <w:szCs w:val="20"/>
                <w:color w:val="auto"/>
              </w:rPr>
            </w:pPr>
            <w:r>
              <w:rPr>
                <w:rFonts w:ascii="Arial" w:cs="Arial" w:eastAsia="Arial" w:hAnsi="Arial"/>
                <w:sz w:val="12"/>
                <w:szCs w:val="12"/>
                <w:color w:val="auto"/>
                <w:w w:val="89"/>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19</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2 %</w:t>
            </w:r>
          </w:p>
        </w:tc>
        <w:tc>
          <w:tcPr>
            <w:tcW w:w="0" w:type="dxa"/>
            <w:vAlign w:val="bottom"/>
          </w:tcPr>
          <w:p>
            <w:pPr>
              <w:spacing w:after="0"/>
              <w:rPr>
                <w:sz w:val="1"/>
                <w:szCs w:val="1"/>
                <w:color w:val="auto"/>
              </w:rPr>
            </w:pPr>
          </w:p>
        </w:tc>
      </w:tr>
      <w:tr>
        <w:trPr>
          <w:trHeight w:val="157"/>
        </w:trPr>
        <w:tc>
          <w:tcPr>
            <w:tcW w:w="7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Industrial - General</w:t>
            </w:r>
          </w:p>
        </w:tc>
        <w:tc>
          <w:tcPr>
            <w:tcW w:w="13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302</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33 %</w:t>
            </w:r>
          </w:p>
        </w:tc>
        <w:tc>
          <w:tcPr>
            <w:tcW w:w="0" w:type="dxa"/>
            <w:vAlign w:val="bottom"/>
          </w:tcPr>
          <w:p>
            <w:pPr>
              <w:spacing w:after="0"/>
              <w:rPr>
                <w:sz w:val="1"/>
                <w:szCs w:val="1"/>
                <w:color w:val="auto"/>
              </w:rPr>
            </w:pPr>
          </w:p>
        </w:tc>
      </w:tr>
      <w:tr>
        <w:trPr>
          <w:trHeight w:val="152"/>
        </w:trPr>
        <w:tc>
          <w:tcPr>
            <w:tcW w:w="7820" w:type="dxa"/>
            <w:vAlign w:val="bottom"/>
          </w:tcPr>
          <w:p>
            <w:pPr>
              <w:ind w:left="120"/>
              <w:spacing w:after="0"/>
              <w:rPr>
                <w:sz w:val="20"/>
                <w:szCs w:val="20"/>
                <w:color w:val="auto"/>
              </w:rPr>
            </w:pPr>
            <w:r>
              <w:rPr>
                <w:rFonts w:ascii="Arial" w:cs="Arial" w:eastAsia="Arial" w:hAnsi="Arial"/>
                <w:sz w:val="12"/>
                <w:szCs w:val="12"/>
                <w:color w:val="auto"/>
              </w:rPr>
              <w:t>Industrial - Warehouse</w:t>
            </w:r>
          </w:p>
        </w:tc>
        <w:tc>
          <w:tcPr>
            <w:tcW w:w="13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1 %</w:t>
            </w:r>
          </w:p>
        </w:tc>
        <w:tc>
          <w:tcPr>
            <w:tcW w:w="0" w:type="dxa"/>
            <w:vAlign w:val="bottom"/>
          </w:tcPr>
          <w:p>
            <w:pPr>
              <w:spacing w:after="0"/>
              <w:rPr>
                <w:sz w:val="1"/>
                <w:szCs w:val="1"/>
                <w:color w:val="auto"/>
              </w:rPr>
            </w:pPr>
          </w:p>
        </w:tc>
      </w:tr>
      <w:tr>
        <w:trPr>
          <w:trHeight w:val="157"/>
        </w:trPr>
        <w:tc>
          <w:tcPr>
            <w:tcW w:w="7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Multifamily</w:t>
            </w:r>
          </w:p>
        </w:tc>
        <w:tc>
          <w:tcPr>
            <w:tcW w:w="13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165</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18 %</w:t>
            </w:r>
          </w:p>
        </w:tc>
        <w:tc>
          <w:tcPr>
            <w:tcW w:w="0" w:type="dxa"/>
            <w:vAlign w:val="bottom"/>
          </w:tcPr>
          <w:p>
            <w:pPr>
              <w:spacing w:after="0"/>
              <w:rPr>
                <w:sz w:val="1"/>
                <w:szCs w:val="1"/>
                <w:color w:val="auto"/>
              </w:rPr>
            </w:pPr>
          </w:p>
        </w:tc>
      </w:tr>
      <w:tr>
        <w:trPr>
          <w:trHeight w:val="152"/>
        </w:trPr>
        <w:tc>
          <w:tcPr>
            <w:tcW w:w="7820" w:type="dxa"/>
            <w:vAlign w:val="bottom"/>
          </w:tcPr>
          <w:p>
            <w:pPr>
              <w:ind w:left="120"/>
              <w:spacing w:after="0"/>
              <w:rPr>
                <w:sz w:val="20"/>
                <w:szCs w:val="20"/>
                <w:color w:val="auto"/>
              </w:rPr>
            </w:pPr>
            <w:r>
              <w:rPr>
                <w:rFonts w:ascii="Arial" w:cs="Arial" w:eastAsia="Arial" w:hAnsi="Arial"/>
                <w:sz w:val="12"/>
                <w:szCs w:val="12"/>
                <w:color w:val="auto"/>
              </w:rPr>
              <w:t>Office</w:t>
            </w:r>
          </w:p>
        </w:tc>
        <w:tc>
          <w:tcPr>
            <w:tcW w:w="13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w w:val="89"/>
              </w:rPr>
              <w:t>140</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15 %</w:t>
            </w:r>
          </w:p>
        </w:tc>
        <w:tc>
          <w:tcPr>
            <w:tcW w:w="0" w:type="dxa"/>
            <w:vAlign w:val="bottom"/>
          </w:tcPr>
          <w:p>
            <w:pPr>
              <w:spacing w:after="0"/>
              <w:rPr>
                <w:sz w:val="1"/>
                <w:szCs w:val="1"/>
                <w:color w:val="auto"/>
              </w:rPr>
            </w:pPr>
          </w:p>
        </w:tc>
      </w:tr>
      <w:tr>
        <w:trPr>
          <w:trHeight w:val="157"/>
        </w:trPr>
        <w:tc>
          <w:tcPr>
            <w:tcW w:w="7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Retail</w:t>
            </w:r>
          </w:p>
        </w:tc>
        <w:tc>
          <w:tcPr>
            <w:tcW w:w="13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142</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17 %</w:t>
            </w:r>
          </w:p>
        </w:tc>
        <w:tc>
          <w:tcPr>
            <w:tcW w:w="0" w:type="dxa"/>
            <w:vAlign w:val="bottom"/>
          </w:tcPr>
          <w:p>
            <w:pPr>
              <w:spacing w:after="0"/>
              <w:rPr>
                <w:sz w:val="1"/>
                <w:szCs w:val="1"/>
                <w:color w:val="auto"/>
              </w:rPr>
            </w:pPr>
          </w:p>
        </w:tc>
      </w:tr>
      <w:tr>
        <w:trPr>
          <w:trHeight w:val="152"/>
        </w:trPr>
        <w:tc>
          <w:tcPr>
            <w:tcW w:w="782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Other</w:t>
            </w:r>
          </w:p>
        </w:tc>
        <w:tc>
          <w:tcPr>
            <w:tcW w:w="1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125</w:t>
            </w:r>
          </w:p>
        </w:tc>
        <w:tc>
          <w:tcPr>
            <w:tcW w:w="1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14 %</w:t>
            </w:r>
          </w:p>
        </w:tc>
        <w:tc>
          <w:tcPr>
            <w:tcW w:w="0" w:type="dxa"/>
            <w:vAlign w:val="bottom"/>
          </w:tcPr>
          <w:p>
            <w:pPr>
              <w:spacing w:after="0"/>
              <w:rPr>
                <w:sz w:val="1"/>
                <w:szCs w:val="1"/>
                <w:color w:val="auto"/>
              </w:rPr>
            </w:pPr>
          </w:p>
        </w:tc>
      </w:tr>
      <w:tr>
        <w:trPr>
          <w:trHeight w:val="173"/>
        </w:trPr>
        <w:tc>
          <w:tcPr>
            <w:tcW w:w="7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b w:val="1"/>
                <w:bCs w:val="1"/>
                <w:color w:val="auto"/>
              </w:rPr>
              <w:t>Total commercial mortgage loans, gross of valuation allowance</w:t>
            </w:r>
          </w:p>
        </w:tc>
        <w:tc>
          <w:tcPr>
            <w:tcW w:w="1380" w:type="dxa"/>
            <w:vAlign w:val="bottom"/>
            <w:tcBorders>
              <w:bottom w:val="single" w:sz="8" w:color="auto"/>
            </w:tcBorders>
            <w:shd w:val="clear" w:color="auto" w:fill="CCEEFF"/>
          </w:tcPr>
          <w:p>
            <w:pPr>
              <w:jc w:val="right"/>
              <w:ind w:right="1241"/>
              <w:spacing w:after="0"/>
              <w:rPr>
                <w:sz w:val="20"/>
                <w:szCs w:val="20"/>
                <w:color w:val="auto"/>
              </w:rPr>
            </w:pPr>
            <w:r>
              <w:rPr>
                <w:rFonts w:ascii="Arial" w:cs="Arial" w:eastAsia="Arial" w:hAnsi="Arial"/>
                <w:sz w:val="12"/>
                <w:szCs w:val="12"/>
                <w:color w:val="auto"/>
                <w:w w:val="8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905</w:t>
            </w: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2"/>
                <w:szCs w:val="12"/>
                <w:color w:val="auto"/>
              </w:rPr>
              <w:t>Allowance for expected credit loss</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820" w:type="dxa"/>
            <w:vAlign w:val="bottom"/>
            <w:tcBorders>
              <w:bottom w:val="single" w:sz="8" w:color="CCEEFF"/>
            </w:tcBorders>
            <w:vMerge w:val="continue"/>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tcPr>
          <w:p>
            <w:pPr>
              <w:spacing w:after="0"/>
              <w:rPr>
                <w:sz w:val="10"/>
                <w:szCs w:val="10"/>
                <w:color w:val="auto"/>
              </w:rPr>
            </w:pPr>
          </w:p>
        </w:tc>
        <w:tc>
          <w:tcPr>
            <w:tcW w:w="540" w:type="dxa"/>
            <w:vAlign w:val="bottom"/>
            <w:tcBorders>
              <w:bottom w:val="single" w:sz="8" w:color="CCEEFF"/>
            </w:tcBorders>
          </w:tcPr>
          <w:p>
            <w:pPr>
              <w:spacing w:after="0"/>
              <w:rPr>
                <w:sz w:val="10"/>
                <w:szCs w:val="10"/>
                <w:color w:val="auto"/>
              </w:rPr>
            </w:pPr>
          </w:p>
        </w:tc>
        <w:tc>
          <w:tcPr>
            <w:tcW w:w="11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b w:val="1"/>
                <w:bCs w:val="1"/>
                <w:color w:val="auto"/>
              </w:rPr>
              <w:t>Total commercial mortgage loans</w:t>
            </w:r>
          </w:p>
        </w:tc>
        <w:tc>
          <w:tcPr>
            <w:tcW w:w="1380" w:type="dxa"/>
            <w:vAlign w:val="bottom"/>
            <w:tcBorders>
              <w:bottom w:val="single" w:sz="8" w:color="auto"/>
            </w:tcBorders>
            <w:shd w:val="clear" w:color="auto" w:fill="CCEEFF"/>
          </w:tcPr>
          <w:p>
            <w:pPr>
              <w:jc w:val="right"/>
              <w:ind w:right="1241"/>
              <w:spacing w:after="0"/>
              <w:rPr>
                <w:sz w:val="20"/>
                <w:szCs w:val="20"/>
                <w:color w:val="auto"/>
              </w:rPr>
            </w:pPr>
            <w:r>
              <w:rPr>
                <w:rFonts w:ascii="Arial" w:cs="Arial" w:eastAsia="Arial" w:hAnsi="Arial"/>
                <w:sz w:val="12"/>
                <w:szCs w:val="12"/>
                <w:color w:val="auto"/>
                <w:w w:val="8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903</w:t>
            </w: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7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U.S. Region:</w:t>
            </w:r>
          </w:p>
        </w:tc>
        <w:tc>
          <w:tcPr>
            <w:tcW w:w="1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820" w:type="dxa"/>
            <w:vAlign w:val="bottom"/>
          </w:tcPr>
          <w:p>
            <w:pPr>
              <w:ind w:left="120"/>
              <w:spacing w:after="0"/>
              <w:rPr>
                <w:sz w:val="20"/>
                <w:szCs w:val="20"/>
                <w:color w:val="auto"/>
              </w:rPr>
            </w:pPr>
            <w:r>
              <w:rPr>
                <w:rFonts w:ascii="Arial" w:cs="Arial" w:eastAsia="Arial" w:hAnsi="Arial"/>
                <w:sz w:val="12"/>
                <w:szCs w:val="12"/>
                <w:color w:val="auto"/>
              </w:rPr>
              <w:t>East North Central</w:t>
            </w:r>
          </w:p>
        </w:tc>
        <w:tc>
          <w:tcPr>
            <w:tcW w:w="1380" w:type="dxa"/>
            <w:vAlign w:val="bottom"/>
          </w:tcPr>
          <w:p>
            <w:pPr>
              <w:jc w:val="right"/>
              <w:ind w:right="1241"/>
              <w:spacing w:after="0"/>
              <w:rPr>
                <w:sz w:val="20"/>
                <w:szCs w:val="20"/>
                <w:color w:val="auto"/>
              </w:rPr>
            </w:pPr>
            <w:r>
              <w:rPr>
                <w:rFonts w:ascii="Arial" w:cs="Arial" w:eastAsia="Arial" w:hAnsi="Arial"/>
                <w:sz w:val="12"/>
                <w:szCs w:val="12"/>
                <w:color w:val="auto"/>
                <w:w w:val="89"/>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61</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7 %</w:t>
            </w:r>
          </w:p>
        </w:tc>
        <w:tc>
          <w:tcPr>
            <w:tcW w:w="0" w:type="dxa"/>
            <w:vAlign w:val="bottom"/>
          </w:tcPr>
          <w:p>
            <w:pPr>
              <w:spacing w:after="0"/>
              <w:rPr>
                <w:sz w:val="1"/>
                <w:szCs w:val="1"/>
                <w:color w:val="auto"/>
              </w:rPr>
            </w:pPr>
          </w:p>
        </w:tc>
      </w:tr>
      <w:tr>
        <w:trPr>
          <w:trHeight w:val="157"/>
        </w:trPr>
        <w:tc>
          <w:tcPr>
            <w:tcW w:w="7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East South Central</w:t>
            </w:r>
          </w:p>
        </w:tc>
        <w:tc>
          <w:tcPr>
            <w:tcW w:w="13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9 %</w:t>
            </w:r>
          </w:p>
        </w:tc>
        <w:tc>
          <w:tcPr>
            <w:tcW w:w="0" w:type="dxa"/>
            <w:vAlign w:val="bottom"/>
          </w:tcPr>
          <w:p>
            <w:pPr>
              <w:spacing w:after="0"/>
              <w:rPr>
                <w:sz w:val="1"/>
                <w:szCs w:val="1"/>
                <w:color w:val="auto"/>
              </w:rPr>
            </w:pPr>
          </w:p>
        </w:tc>
      </w:tr>
      <w:tr>
        <w:trPr>
          <w:trHeight w:val="152"/>
        </w:trPr>
        <w:tc>
          <w:tcPr>
            <w:tcW w:w="7820" w:type="dxa"/>
            <w:vAlign w:val="bottom"/>
          </w:tcPr>
          <w:p>
            <w:pPr>
              <w:ind w:left="120"/>
              <w:spacing w:after="0"/>
              <w:rPr>
                <w:sz w:val="20"/>
                <w:szCs w:val="20"/>
                <w:color w:val="auto"/>
              </w:rPr>
            </w:pPr>
            <w:r>
              <w:rPr>
                <w:rFonts w:ascii="Arial" w:cs="Arial" w:eastAsia="Arial" w:hAnsi="Arial"/>
                <w:sz w:val="12"/>
                <w:szCs w:val="12"/>
                <w:color w:val="auto"/>
              </w:rPr>
              <w:t>Middle Atlantic</w:t>
            </w:r>
          </w:p>
        </w:tc>
        <w:tc>
          <w:tcPr>
            <w:tcW w:w="13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w w:val="89"/>
              </w:rPr>
              <w:t>100</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11 %</w:t>
            </w:r>
          </w:p>
        </w:tc>
        <w:tc>
          <w:tcPr>
            <w:tcW w:w="0" w:type="dxa"/>
            <w:vAlign w:val="bottom"/>
          </w:tcPr>
          <w:p>
            <w:pPr>
              <w:spacing w:after="0"/>
              <w:rPr>
                <w:sz w:val="1"/>
                <w:szCs w:val="1"/>
                <w:color w:val="auto"/>
              </w:rPr>
            </w:pPr>
          </w:p>
        </w:tc>
      </w:tr>
      <w:tr>
        <w:trPr>
          <w:trHeight w:val="157"/>
        </w:trPr>
        <w:tc>
          <w:tcPr>
            <w:tcW w:w="7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Mountain</w:t>
            </w:r>
          </w:p>
        </w:tc>
        <w:tc>
          <w:tcPr>
            <w:tcW w:w="13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5 %</w:t>
            </w:r>
          </w:p>
        </w:tc>
        <w:tc>
          <w:tcPr>
            <w:tcW w:w="0" w:type="dxa"/>
            <w:vAlign w:val="bottom"/>
          </w:tcPr>
          <w:p>
            <w:pPr>
              <w:spacing w:after="0"/>
              <w:rPr>
                <w:sz w:val="1"/>
                <w:szCs w:val="1"/>
                <w:color w:val="auto"/>
              </w:rPr>
            </w:pPr>
          </w:p>
        </w:tc>
      </w:tr>
      <w:tr>
        <w:trPr>
          <w:trHeight w:val="152"/>
        </w:trPr>
        <w:tc>
          <w:tcPr>
            <w:tcW w:w="7820" w:type="dxa"/>
            <w:vAlign w:val="bottom"/>
          </w:tcPr>
          <w:p>
            <w:pPr>
              <w:ind w:left="120"/>
              <w:spacing w:after="0"/>
              <w:rPr>
                <w:sz w:val="20"/>
                <w:szCs w:val="20"/>
                <w:color w:val="auto"/>
              </w:rPr>
            </w:pPr>
            <w:r>
              <w:rPr>
                <w:rFonts w:ascii="Arial" w:cs="Arial" w:eastAsia="Arial" w:hAnsi="Arial"/>
                <w:sz w:val="12"/>
                <w:szCs w:val="12"/>
                <w:color w:val="auto"/>
              </w:rPr>
              <w:t>New England</w:t>
            </w:r>
          </w:p>
        </w:tc>
        <w:tc>
          <w:tcPr>
            <w:tcW w:w="13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79</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9 %</w:t>
            </w:r>
          </w:p>
        </w:tc>
        <w:tc>
          <w:tcPr>
            <w:tcW w:w="0" w:type="dxa"/>
            <w:vAlign w:val="bottom"/>
          </w:tcPr>
          <w:p>
            <w:pPr>
              <w:spacing w:after="0"/>
              <w:rPr>
                <w:sz w:val="1"/>
                <w:szCs w:val="1"/>
                <w:color w:val="auto"/>
              </w:rPr>
            </w:pPr>
          </w:p>
        </w:tc>
      </w:tr>
      <w:tr>
        <w:trPr>
          <w:trHeight w:val="157"/>
        </w:trPr>
        <w:tc>
          <w:tcPr>
            <w:tcW w:w="7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Pacific</w:t>
            </w:r>
          </w:p>
        </w:tc>
        <w:tc>
          <w:tcPr>
            <w:tcW w:w="13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333</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37 %</w:t>
            </w:r>
          </w:p>
        </w:tc>
        <w:tc>
          <w:tcPr>
            <w:tcW w:w="0" w:type="dxa"/>
            <w:vAlign w:val="bottom"/>
          </w:tcPr>
          <w:p>
            <w:pPr>
              <w:spacing w:after="0"/>
              <w:rPr>
                <w:sz w:val="1"/>
                <w:szCs w:val="1"/>
                <w:color w:val="auto"/>
              </w:rPr>
            </w:pPr>
          </w:p>
        </w:tc>
      </w:tr>
      <w:tr>
        <w:trPr>
          <w:trHeight w:val="152"/>
        </w:trPr>
        <w:tc>
          <w:tcPr>
            <w:tcW w:w="7820" w:type="dxa"/>
            <w:vAlign w:val="bottom"/>
          </w:tcPr>
          <w:p>
            <w:pPr>
              <w:ind w:left="120"/>
              <w:spacing w:after="0"/>
              <w:rPr>
                <w:sz w:val="20"/>
                <w:szCs w:val="20"/>
                <w:color w:val="auto"/>
              </w:rPr>
            </w:pPr>
            <w:r>
              <w:rPr>
                <w:rFonts w:ascii="Arial" w:cs="Arial" w:eastAsia="Arial" w:hAnsi="Arial"/>
                <w:sz w:val="12"/>
                <w:szCs w:val="12"/>
                <w:color w:val="auto"/>
              </w:rPr>
              <w:t>South Atlantic</w:t>
            </w:r>
          </w:p>
        </w:tc>
        <w:tc>
          <w:tcPr>
            <w:tcW w:w="13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w w:val="89"/>
              </w:rPr>
              <w:t>133</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15 %</w:t>
            </w:r>
          </w:p>
        </w:tc>
        <w:tc>
          <w:tcPr>
            <w:tcW w:w="0" w:type="dxa"/>
            <w:vAlign w:val="bottom"/>
          </w:tcPr>
          <w:p>
            <w:pPr>
              <w:spacing w:after="0"/>
              <w:rPr>
                <w:sz w:val="1"/>
                <w:szCs w:val="1"/>
                <w:color w:val="auto"/>
              </w:rPr>
            </w:pPr>
          </w:p>
        </w:tc>
      </w:tr>
      <w:tr>
        <w:trPr>
          <w:trHeight w:val="157"/>
        </w:trPr>
        <w:tc>
          <w:tcPr>
            <w:tcW w:w="7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West North Central</w:t>
            </w:r>
          </w:p>
        </w:tc>
        <w:tc>
          <w:tcPr>
            <w:tcW w:w="13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1 %</w:t>
            </w:r>
          </w:p>
        </w:tc>
        <w:tc>
          <w:tcPr>
            <w:tcW w:w="0" w:type="dxa"/>
            <w:vAlign w:val="bottom"/>
          </w:tcPr>
          <w:p>
            <w:pPr>
              <w:spacing w:after="0"/>
              <w:rPr>
                <w:sz w:val="1"/>
                <w:szCs w:val="1"/>
                <w:color w:val="auto"/>
              </w:rPr>
            </w:pPr>
          </w:p>
        </w:tc>
      </w:tr>
      <w:tr>
        <w:trPr>
          <w:trHeight w:val="152"/>
        </w:trPr>
        <w:tc>
          <w:tcPr>
            <w:tcW w:w="782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West South Central</w:t>
            </w:r>
          </w:p>
        </w:tc>
        <w:tc>
          <w:tcPr>
            <w:tcW w:w="1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w:t>
            </w:r>
          </w:p>
        </w:tc>
        <w:tc>
          <w:tcPr>
            <w:tcW w:w="1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6 %</w:t>
            </w:r>
          </w:p>
        </w:tc>
        <w:tc>
          <w:tcPr>
            <w:tcW w:w="0" w:type="dxa"/>
            <w:vAlign w:val="bottom"/>
          </w:tcPr>
          <w:p>
            <w:pPr>
              <w:spacing w:after="0"/>
              <w:rPr>
                <w:sz w:val="1"/>
                <w:szCs w:val="1"/>
                <w:color w:val="auto"/>
              </w:rPr>
            </w:pPr>
          </w:p>
        </w:tc>
      </w:tr>
      <w:tr>
        <w:trPr>
          <w:trHeight w:val="173"/>
        </w:trPr>
        <w:tc>
          <w:tcPr>
            <w:tcW w:w="7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b w:val="1"/>
                <w:bCs w:val="1"/>
                <w:color w:val="auto"/>
              </w:rPr>
              <w:t>Total commercial mortgage loans, gross of valuation allowance</w:t>
            </w:r>
          </w:p>
        </w:tc>
        <w:tc>
          <w:tcPr>
            <w:tcW w:w="1380" w:type="dxa"/>
            <w:vAlign w:val="bottom"/>
            <w:tcBorders>
              <w:bottom w:val="single" w:sz="8" w:color="auto"/>
            </w:tcBorders>
            <w:shd w:val="clear" w:color="auto" w:fill="CCEEFF"/>
          </w:tcPr>
          <w:p>
            <w:pPr>
              <w:jc w:val="right"/>
              <w:ind w:right="1241"/>
              <w:spacing w:after="0"/>
              <w:rPr>
                <w:sz w:val="20"/>
                <w:szCs w:val="20"/>
                <w:color w:val="auto"/>
              </w:rPr>
            </w:pPr>
            <w:r>
              <w:rPr>
                <w:rFonts w:ascii="Arial" w:cs="Arial" w:eastAsia="Arial" w:hAnsi="Arial"/>
                <w:sz w:val="12"/>
                <w:szCs w:val="12"/>
                <w:color w:val="auto"/>
                <w:w w:val="8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905</w:t>
            </w: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2"/>
                <w:szCs w:val="12"/>
                <w:color w:val="auto"/>
              </w:rPr>
              <w:t>Allowance for expected credit loss</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820" w:type="dxa"/>
            <w:vAlign w:val="bottom"/>
            <w:tcBorders>
              <w:bottom w:val="single" w:sz="8" w:color="CCEEFF"/>
            </w:tcBorders>
            <w:vMerge w:val="continue"/>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tcPr>
          <w:p>
            <w:pPr>
              <w:spacing w:after="0"/>
              <w:rPr>
                <w:sz w:val="10"/>
                <w:szCs w:val="10"/>
                <w:color w:val="auto"/>
              </w:rPr>
            </w:pPr>
          </w:p>
        </w:tc>
        <w:tc>
          <w:tcPr>
            <w:tcW w:w="540" w:type="dxa"/>
            <w:vAlign w:val="bottom"/>
            <w:tcBorders>
              <w:bottom w:val="single" w:sz="8" w:color="CCEEFF"/>
            </w:tcBorders>
          </w:tcPr>
          <w:p>
            <w:pPr>
              <w:spacing w:after="0"/>
              <w:rPr>
                <w:sz w:val="10"/>
                <w:szCs w:val="10"/>
                <w:color w:val="auto"/>
              </w:rPr>
            </w:pPr>
          </w:p>
        </w:tc>
        <w:tc>
          <w:tcPr>
            <w:tcW w:w="11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b w:val="1"/>
                <w:bCs w:val="1"/>
                <w:color w:val="auto"/>
              </w:rPr>
              <w:t>Total commercial mortgage loans</w:t>
            </w:r>
          </w:p>
        </w:tc>
        <w:tc>
          <w:tcPr>
            <w:tcW w:w="1380" w:type="dxa"/>
            <w:vAlign w:val="bottom"/>
            <w:tcBorders>
              <w:bottom w:val="single" w:sz="8" w:color="auto"/>
            </w:tcBorders>
            <w:shd w:val="clear" w:color="auto" w:fill="CCEEFF"/>
          </w:tcPr>
          <w:p>
            <w:pPr>
              <w:jc w:val="right"/>
              <w:ind w:right="1241"/>
              <w:spacing w:after="0"/>
              <w:rPr>
                <w:sz w:val="20"/>
                <w:szCs w:val="20"/>
                <w:color w:val="auto"/>
              </w:rPr>
            </w:pPr>
            <w:r>
              <w:rPr>
                <w:rFonts w:ascii="Arial" w:cs="Arial" w:eastAsia="Arial" w:hAnsi="Arial"/>
                <w:sz w:val="12"/>
                <w:szCs w:val="12"/>
                <w:color w:val="auto"/>
                <w:w w:val="8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903</w:t>
            </w: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5" w:lineRule="exact"/>
        <w:rPr>
          <w:sz w:val="20"/>
          <w:szCs w:val="20"/>
          <w:color w:val="auto"/>
        </w:rPr>
      </w:pPr>
    </w:p>
    <w:p>
      <w:pPr>
        <w:jc w:val="both"/>
        <w:ind w:firstLine="397"/>
        <w:spacing w:after="0" w:line="250" w:lineRule="auto"/>
        <w:rPr>
          <w:sz w:val="20"/>
          <w:szCs w:val="20"/>
          <w:color w:val="auto"/>
        </w:rPr>
      </w:pPr>
      <w:r>
        <w:rPr>
          <w:rFonts w:ascii="Arial" w:cs="Arial" w:eastAsia="Arial" w:hAnsi="Arial"/>
          <w:sz w:val="15"/>
          <w:szCs w:val="15"/>
          <w:color w:val="auto"/>
        </w:rPr>
        <w:t>Loan-to-value ("LTV") and debt service coverage ("DSC") ratios are measures commonly used to assess the risk and quality of mortgage loans. The LTV ratio is expressed as a percentage of the amount of the loan relative to the value of the underlying property. A LTV ratio in excess of 100% indicates the unpaid loan amount exceeds the underlying collateral. The DSC ratio, based upon the most recently received financial statements, is expressed as a percentage of the amount of a property’s net income to its debt service payments. A DSC ratio of less than 1.00 indicates that a property’s operations do not generate sufficient income to cover debt payments. We normalize our DSC ratios to a 25-year amortization period for purposes of our general loan allowance evaluation.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6" w:name="page37"/>
    <w:bookmarkEnd w:id="36"/>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jc w:val="both"/>
        <w:ind w:firstLine="397"/>
        <w:spacing w:after="0" w:line="266" w:lineRule="auto"/>
        <w:rPr>
          <w:sz w:val="20"/>
          <w:szCs w:val="20"/>
          <w:color w:val="auto"/>
        </w:rPr>
      </w:pPr>
      <w:r>
        <w:rPr>
          <w:rFonts w:ascii="Arial" w:cs="Arial" w:eastAsia="Arial" w:hAnsi="Arial"/>
          <w:sz w:val="15"/>
          <w:szCs w:val="15"/>
          <w:color w:val="auto"/>
        </w:rPr>
        <w:t>The following table presents the recorded investment in CMLs by LTV and DSC ratio categories and estimated fair value by the indicated loan-to-value ratios at September 30, 2021 (dollars in millions)</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2213610</wp:posOffset>
            </wp:positionH>
            <wp:positionV relativeFrom="paragraph">
              <wp:posOffset>58420</wp:posOffset>
            </wp:positionV>
            <wp:extent cx="485076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850765" cy="6985"/>
                    </a:xfrm>
                    <a:prstGeom prst="rect">
                      <a:avLst/>
                    </a:prstGeom>
                    <a:noFill/>
                  </pic:spPr>
                </pic:pic>
              </a:graphicData>
            </a:graphic>
          </wp:anchor>
        </w:drawing>
      </w:r>
    </w:p>
    <w:p>
      <w:pPr>
        <w:spacing w:after="0" w:line="319" w:lineRule="exact"/>
        <w:rPr>
          <w:sz w:val="20"/>
          <w:szCs w:val="20"/>
          <w:color w:val="auto"/>
        </w:rPr>
      </w:pPr>
    </w:p>
    <w:tbl>
      <w:tblPr>
        <w:tblLayout w:type="fixed"/>
        <w:tblInd w:w="180" w:type="dxa"/>
        <w:tblCellMar>
          <w:top w:w="0" w:type="dxa"/>
          <w:left w:w="0" w:type="dxa"/>
          <w:bottom w:w="0" w:type="dxa"/>
          <w:right w:w="0" w:type="dxa"/>
        </w:tblCellMar>
      </w:tblPr>
      <w:tr>
        <w:trPr>
          <w:trHeight w:val="174"/>
        </w:trPr>
        <w:tc>
          <w:tcPr>
            <w:tcW w:w="33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6"/>
          </w:tcPr>
          <w:p>
            <w:pPr>
              <w:jc w:val="right"/>
              <w:ind w:right="41"/>
              <w:spacing w:after="0"/>
              <w:rPr>
                <w:sz w:val="20"/>
                <w:szCs w:val="20"/>
                <w:color w:val="auto"/>
              </w:rPr>
            </w:pPr>
            <w:r>
              <w:rPr>
                <w:rFonts w:ascii="Arial" w:cs="Arial" w:eastAsia="Arial" w:hAnsi="Arial"/>
                <w:sz w:val="12"/>
                <w:szCs w:val="12"/>
                <w:b w:val="1"/>
                <w:bCs w:val="1"/>
                <w:color w:val="auto"/>
                <w:w w:val="92"/>
              </w:rPr>
              <w:t>Debt-Service Coverage Ratios</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Total Amount</w:t>
            </w:r>
          </w:p>
        </w:tc>
        <w:tc>
          <w:tcPr>
            <w:tcW w:w="1200" w:type="dxa"/>
            <w:vAlign w:val="bottom"/>
            <w:gridSpan w:val="2"/>
          </w:tcPr>
          <w:p>
            <w:pPr>
              <w:ind w:left="280"/>
              <w:spacing w:after="0"/>
              <w:rPr>
                <w:sz w:val="20"/>
                <w:szCs w:val="20"/>
                <w:color w:val="auto"/>
              </w:rPr>
            </w:pPr>
            <w:r>
              <w:rPr>
                <w:rFonts w:ascii="Arial" w:cs="Arial" w:eastAsia="Arial" w:hAnsi="Arial"/>
                <w:sz w:val="12"/>
                <w:szCs w:val="12"/>
                <w:b w:val="1"/>
                <w:bCs w:val="1"/>
                <w:color w:val="auto"/>
              </w:rPr>
              <w:t>% of Total</w:t>
            </w:r>
          </w:p>
        </w:tc>
        <w:tc>
          <w:tcPr>
            <w:tcW w:w="10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Estimated Fair</w:t>
            </w:r>
          </w:p>
        </w:tc>
        <w:tc>
          <w:tcPr>
            <w:tcW w:w="1060" w:type="dxa"/>
            <w:vAlign w:val="bottom"/>
          </w:tcPr>
          <w:p>
            <w:pPr>
              <w:jc w:val="right"/>
              <w:ind w:right="201"/>
              <w:spacing w:after="0"/>
              <w:rPr>
                <w:sz w:val="20"/>
                <w:szCs w:val="20"/>
                <w:color w:val="auto"/>
              </w:rPr>
            </w:pPr>
            <w:r>
              <w:rPr>
                <w:rFonts w:ascii="Arial" w:cs="Arial" w:eastAsia="Arial" w:hAnsi="Arial"/>
                <w:sz w:val="12"/>
                <w:szCs w:val="12"/>
                <w:b w:val="1"/>
                <w:bCs w:val="1"/>
                <w:color w:val="auto"/>
              </w:rPr>
              <w:t>% of Total</w:t>
            </w:r>
          </w:p>
        </w:tc>
        <w:tc>
          <w:tcPr>
            <w:tcW w:w="0" w:type="dxa"/>
            <w:vAlign w:val="bottom"/>
          </w:tcPr>
          <w:p>
            <w:pPr>
              <w:spacing w:after="0"/>
              <w:rPr>
                <w:sz w:val="1"/>
                <w:szCs w:val="1"/>
                <w:color w:val="auto"/>
              </w:rPr>
            </w:pPr>
          </w:p>
        </w:tc>
      </w:tr>
      <w:tr>
        <w:trPr>
          <w:trHeight w:val="129"/>
        </w:trPr>
        <w:tc>
          <w:tcPr>
            <w:tcW w:w="33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&gt;1.25</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181"/>
              <w:spacing w:after="0"/>
              <w:rPr>
                <w:sz w:val="20"/>
                <w:szCs w:val="20"/>
                <w:color w:val="auto"/>
              </w:rPr>
            </w:pPr>
            <w:r>
              <w:rPr>
                <w:rFonts w:ascii="Arial" w:cs="Arial" w:eastAsia="Arial" w:hAnsi="Arial"/>
                <w:sz w:val="12"/>
                <w:szCs w:val="12"/>
                <w:b w:val="1"/>
                <w:bCs w:val="1"/>
                <w:color w:val="auto"/>
                <w:w w:val="97"/>
              </w:rPr>
              <w:t>1.00 - 1.25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ind w:right="221"/>
              <w:spacing w:after="0"/>
              <w:rPr>
                <w:sz w:val="20"/>
                <w:szCs w:val="20"/>
                <w:color w:val="auto"/>
              </w:rPr>
            </w:pPr>
            <w:r>
              <w:rPr>
                <w:rFonts w:ascii="Arial" w:cs="Arial" w:eastAsia="Arial" w:hAnsi="Arial"/>
                <w:sz w:val="12"/>
                <w:szCs w:val="12"/>
                <w:b w:val="1"/>
                <w:bCs w:val="1"/>
                <w:color w:val="auto"/>
              </w:rPr>
              <w:t>&lt;1.00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20"/>
              <w:spacing w:after="0" w:line="129" w:lineRule="exact"/>
              <w:rPr>
                <w:sz w:val="20"/>
                <w:szCs w:val="20"/>
                <w:color w:val="auto"/>
              </w:rPr>
            </w:pPr>
            <w:r>
              <w:rPr>
                <w:rFonts w:ascii="Arial" w:cs="Arial" w:eastAsia="Arial" w:hAnsi="Arial"/>
                <w:sz w:val="12"/>
                <w:szCs w:val="12"/>
                <w:b w:val="1"/>
                <w:bCs w:val="1"/>
                <w:color w:val="auto"/>
                <w:w w:val="87"/>
              </w:rPr>
              <w:t>Value</w:t>
            </w: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33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330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September 30, 2021</w:t>
            </w: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300" w:type="dxa"/>
            <w:vAlign w:val="bottom"/>
          </w:tcPr>
          <w:p>
            <w:pPr>
              <w:spacing w:after="0"/>
              <w:rPr>
                <w:sz w:val="20"/>
                <w:szCs w:val="20"/>
                <w:color w:val="auto"/>
              </w:rPr>
            </w:pPr>
            <w:r>
              <w:rPr>
                <w:rFonts w:ascii="Arial" w:cs="Arial" w:eastAsia="Arial" w:hAnsi="Arial"/>
                <w:sz w:val="12"/>
                <w:szCs w:val="12"/>
                <w:color w:val="auto"/>
              </w:rPr>
              <w:t>LTV Ratios:</w:t>
            </w: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300" w:type="dxa"/>
            <w:vAlign w:val="bottom"/>
            <w:shd w:val="clear" w:color="auto" w:fill="CCEEFF"/>
          </w:tcPr>
          <w:p>
            <w:pPr>
              <w:spacing w:after="0"/>
              <w:rPr>
                <w:sz w:val="20"/>
                <w:szCs w:val="20"/>
                <w:color w:val="auto"/>
              </w:rPr>
            </w:pPr>
            <w:r>
              <w:rPr>
                <w:rFonts w:ascii="Arial" w:cs="Arial" w:eastAsia="Arial" w:hAnsi="Arial"/>
                <w:sz w:val="12"/>
                <w:szCs w:val="12"/>
                <w:color w:val="auto"/>
              </w:rPr>
              <w:t>Less than 50%</w:t>
            </w:r>
          </w:p>
        </w:tc>
        <w:tc>
          <w:tcPr>
            <w:tcW w:w="640" w:type="dxa"/>
            <w:vAlign w:val="bottom"/>
            <w:shd w:val="clear" w:color="auto" w:fill="CCEEFF"/>
          </w:tcPr>
          <w:p>
            <w:pPr>
              <w:jc w:val="right"/>
              <w:ind w:right="501"/>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441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640</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32 %</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661</w:t>
            </w: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33 %</w:t>
            </w:r>
          </w:p>
        </w:tc>
        <w:tc>
          <w:tcPr>
            <w:tcW w:w="0" w:type="dxa"/>
            <w:vAlign w:val="bottom"/>
          </w:tcPr>
          <w:p>
            <w:pPr>
              <w:spacing w:after="0"/>
              <w:rPr>
                <w:sz w:val="1"/>
                <w:szCs w:val="1"/>
                <w:color w:val="auto"/>
              </w:rPr>
            </w:pPr>
          </w:p>
        </w:tc>
      </w:tr>
      <w:tr>
        <w:trPr>
          <w:trHeight w:val="152"/>
        </w:trPr>
        <w:tc>
          <w:tcPr>
            <w:tcW w:w="3300" w:type="dxa"/>
            <w:vAlign w:val="bottom"/>
          </w:tcPr>
          <w:p>
            <w:pPr>
              <w:spacing w:after="0"/>
              <w:rPr>
                <w:sz w:val="20"/>
                <w:szCs w:val="20"/>
                <w:color w:val="auto"/>
              </w:rPr>
            </w:pPr>
            <w:r>
              <w:rPr>
                <w:rFonts w:ascii="Arial" w:cs="Arial" w:eastAsia="Arial" w:hAnsi="Arial"/>
                <w:sz w:val="12"/>
                <w:szCs w:val="12"/>
                <w:color w:val="auto"/>
              </w:rPr>
              <w:t>50% to 60%</w:t>
            </w:r>
          </w:p>
        </w:tc>
        <w:tc>
          <w:tcPr>
            <w:tcW w:w="640" w:type="dxa"/>
            <w:vAlign w:val="bottom"/>
          </w:tcPr>
          <w:p>
            <w:pPr>
              <w:spacing w:after="0"/>
              <w:rPr>
                <w:sz w:val="13"/>
                <w:szCs w:val="13"/>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386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386</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19 %</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394</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20 %</w:t>
            </w:r>
          </w:p>
        </w:tc>
        <w:tc>
          <w:tcPr>
            <w:tcW w:w="0" w:type="dxa"/>
            <w:vAlign w:val="bottom"/>
          </w:tcPr>
          <w:p>
            <w:pPr>
              <w:spacing w:after="0"/>
              <w:rPr>
                <w:sz w:val="1"/>
                <w:szCs w:val="1"/>
                <w:color w:val="auto"/>
              </w:rPr>
            </w:pPr>
          </w:p>
        </w:tc>
      </w:tr>
      <w:tr>
        <w:trPr>
          <w:trHeight w:val="155"/>
        </w:trPr>
        <w:tc>
          <w:tcPr>
            <w:tcW w:w="3300" w:type="dxa"/>
            <w:vAlign w:val="bottom"/>
            <w:shd w:val="clear" w:color="auto" w:fill="CCEEFF"/>
          </w:tcPr>
          <w:p>
            <w:pPr>
              <w:spacing w:after="0"/>
              <w:rPr>
                <w:sz w:val="20"/>
                <w:szCs w:val="20"/>
                <w:color w:val="auto"/>
              </w:rPr>
            </w:pPr>
            <w:r>
              <w:rPr>
                <w:rFonts w:ascii="Arial" w:cs="Arial" w:eastAsia="Arial" w:hAnsi="Arial"/>
                <w:sz w:val="12"/>
                <w:szCs w:val="12"/>
                <w:color w:val="auto"/>
              </w:rPr>
              <w:t>60% to 75%</w:t>
            </w:r>
          </w:p>
        </w:tc>
        <w:tc>
          <w:tcPr>
            <w:tcW w:w="64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964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964</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49 %</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955</w:t>
            </w: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47 %</w:t>
            </w:r>
          </w:p>
        </w:tc>
        <w:tc>
          <w:tcPr>
            <w:tcW w:w="0" w:type="dxa"/>
            <w:vAlign w:val="bottom"/>
          </w:tcPr>
          <w:p>
            <w:pPr>
              <w:spacing w:after="0"/>
              <w:rPr>
                <w:sz w:val="1"/>
                <w:szCs w:val="1"/>
                <w:color w:val="auto"/>
              </w:rPr>
            </w:pPr>
          </w:p>
        </w:tc>
      </w:tr>
      <w:tr>
        <w:trPr>
          <w:trHeight w:val="148"/>
        </w:trPr>
        <w:tc>
          <w:tcPr>
            <w:tcW w:w="3300" w:type="dxa"/>
            <w:vAlign w:val="bottom"/>
          </w:tcPr>
          <w:p>
            <w:pPr>
              <w:spacing w:after="0"/>
              <w:rPr>
                <w:sz w:val="20"/>
                <w:szCs w:val="20"/>
                <w:color w:val="auto"/>
              </w:rPr>
            </w:pPr>
            <w:r>
              <w:rPr>
                <w:rFonts w:ascii="Arial" w:cs="Arial" w:eastAsia="Arial" w:hAnsi="Arial"/>
                <w:sz w:val="12"/>
                <w:szCs w:val="12"/>
                <w:color w:val="auto"/>
              </w:rPr>
              <w:t>Commercial mortgage loans</w:t>
            </w:r>
          </w:p>
        </w:tc>
        <w:tc>
          <w:tcPr>
            <w:tcW w:w="64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w w:val="86"/>
              </w:rPr>
              <w:t>1,791</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33</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166</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1,990</w:t>
            </w:r>
          </w:p>
        </w:tc>
        <w:tc>
          <w:tcPr>
            <w:tcW w:w="10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100 %</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2,010</w:t>
            </w:r>
          </w:p>
        </w:tc>
        <w:tc>
          <w:tcPr>
            <w:tcW w:w="12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tcPr>
          <w:p>
            <w:pPr>
              <w:spacing w:after="0"/>
              <w:rPr>
                <w:sz w:val="20"/>
                <w:szCs w:val="20"/>
                <w:color w:val="auto"/>
              </w:rPr>
            </w:pPr>
            <w:r>
              <w:rPr>
                <w:rFonts w:ascii="Arial" w:cs="Arial" w:eastAsia="Arial" w:hAnsi="Arial"/>
                <w:sz w:val="12"/>
                <w:szCs w:val="12"/>
                <w:b w:val="1"/>
                <w:bCs w:val="1"/>
                <w:color w:val="auto"/>
              </w:rPr>
              <w:t>December 31, 2020</w:t>
            </w: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00" w:type="dxa"/>
            <w:vAlign w:val="bottom"/>
            <w:shd w:val="clear" w:color="auto" w:fill="CCEEFF"/>
          </w:tcPr>
          <w:p>
            <w:pPr>
              <w:spacing w:after="0"/>
              <w:rPr>
                <w:sz w:val="20"/>
                <w:szCs w:val="20"/>
                <w:color w:val="auto"/>
              </w:rPr>
            </w:pPr>
            <w:r>
              <w:rPr>
                <w:rFonts w:ascii="Arial" w:cs="Arial" w:eastAsia="Arial" w:hAnsi="Arial"/>
                <w:sz w:val="12"/>
                <w:szCs w:val="12"/>
                <w:color w:val="auto"/>
              </w:rPr>
              <w:t>LTV Ratios:</w:t>
            </w:r>
          </w:p>
        </w:tc>
        <w:tc>
          <w:tcPr>
            <w:tcW w:w="6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300" w:type="dxa"/>
            <w:vAlign w:val="bottom"/>
          </w:tcPr>
          <w:p>
            <w:pPr>
              <w:spacing w:after="0"/>
              <w:rPr>
                <w:sz w:val="20"/>
                <w:szCs w:val="20"/>
                <w:color w:val="auto"/>
              </w:rPr>
            </w:pPr>
            <w:r>
              <w:rPr>
                <w:rFonts w:ascii="Arial" w:cs="Arial" w:eastAsia="Arial" w:hAnsi="Arial"/>
                <w:sz w:val="12"/>
                <w:szCs w:val="12"/>
                <w:color w:val="auto"/>
              </w:rPr>
              <w:t>Less than 50%</w:t>
            </w:r>
          </w:p>
        </w:tc>
        <w:tc>
          <w:tcPr>
            <w:tcW w:w="640" w:type="dxa"/>
            <w:vAlign w:val="bottom"/>
          </w:tcPr>
          <w:p>
            <w:pPr>
              <w:jc w:val="right"/>
              <w:ind w:right="501"/>
              <w:spacing w:after="0"/>
              <w:rPr>
                <w:sz w:val="20"/>
                <w:szCs w:val="20"/>
                <w:color w:val="auto"/>
              </w:rPr>
            </w:pPr>
            <w:r>
              <w:rPr>
                <w:rFonts w:ascii="Arial" w:cs="Arial" w:eastAsia="Arial" w:hAnsi="Arial"/>
                <w:sz w:val="12"/>
                <w:szCs w:val="12"/>
                <w:color w:val="auto"/>
                <w:w w:val="89"/>
              </w:rPr>
              <w:t>$</w:t>
            </w: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520</w:t>
            </w:r>
          </w:p>
        </w:tc>
        <w:tc>
          <w:tcPr>
            <w:tcW w:w="100" w:type="dxa"/>
            <w:vAlign w:val="bottom"/>
          </w:tcPr>
          <w:p>
            <w:pPr>
              <w:spacing w:after="0"/>
              <w:rPr>
                <w:sz w:val="13"/>
                <w:szCs w:val="13"/>
                <w:color w:val="auto"/>
              </w:rPr>
            </w:pP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3"/>
                <w:szCs w:val="13"/>
                <w:color w:val="auto"/>
              </w:rPr>
            </w:pPr>
          </w:p>
        </w:tc>
        <w:tc>
          <w:tcPr>
            <w:tcW w:w="180" w:type="dxa"/>
            <w:vAlign w:val="bottom"/>
          </w:tcPr>
          <w:p>
            <w:pPr>
              <w:jc w:val="right"/>
              <w:ind w:right="41"/>
              <w:spacing w:after="0"/>
              <w:rPr>
                <w:sz w:val="20"/>
                <w:szCs w:val="20"/>
                <w:color w:val="auto"/>
              </w:rPr>
            </w:pPr>
            <w:r>
              <w:rPr>
                <w:rFonts w:ascii="Arial" w:cs="Arial" w:eastAsia="Arial" w:hAnsi="Arial"/>
                <w:sz w:val="12"/>
                <w:szCs w:val="12"/>
                <w:color w:val="auto"/>
                <w:w w:val="89"/>
              </w:rPr>
              <w:t>$</w:t>
            </w: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538</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60 %</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557</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60 %</w:t>
            </w:r>
          </w:p>
        </w:tc>
        <w:tc>
          <w:tcPr>
            <w:tcW w:w="0" w:type="dxa"/>
            <w:vAlign w:val="bottom"/>
          </w:tcPr>
          <w:p>
            <w:pPr>
              <w:spacing w:after="0"/>
              <w:rPr>
                <w:sz w:val="1"/>
                <w:szCs w:val="1"/>
                <w:color w:val="auto"/>
              </w:rPr>
            </w:pPr>
          </w:p>
        </w:tc>
      </w:tr>
      <w:tr>
        <w:trPr>
          <w:trHeight w:val="157"/>
        </w:trPr>
        <w:tc>
          <w:tcPr>
            <w:tcW w:w="3300" w:type="dxa"/>
            <w:vAlign w:val="bottom"/>
            <w:shd w:val="clear" w:color="auto" w:fill="CCEEFF"/>
          </w:tcPr>
          <w:p>
            <w:pPr>
              <w:spacing w:after="0"/>
              <w:rPr>
                <w:sz w:val="20"/>
                <w:szCs w:val="20"/>
                <w:color w:val="auto"/>
              </w:rPr>
            </w:pPr>
            <w:r>
              <w:rPr>
                <w:rFonts w:ascii="Arial" w:cs="Arial" w:eastAsia="Arial" w:hAnsi="Arial"/>
                <w:sz w:val="12"/>
                <w:szCs w:val="12"/>
                <w:color w:val="auto"/>
              </w:rPr>
              <w:t>50% to 60%</w:t>
            </w:r>
          </w:p>
        </w:tc>
        <w:tc>
          <w:tcPr>
            <w:tcW w:w="64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246</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27 %</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251</w:t>
            </w: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27 %</w:t>
            </w:r>
          </w:p>
        </w:tc>
        <w:tc>
          <w:tcPr>
            <w:tcW w:w="0" w:type="dxa"/>
            <w:vAlign w:val="bottom"/>
          </w:tcPr>
          <w:p>
            <w:pPr>
              <w:spacing w:after="0"/>
              <w:rPr>
                <w:sz w:val="1"/>
                <w:szCs w:val="1"/>
                <w:color w:val="auto"/>
              </w:rPr>
            </w:pPr>
          </w:p>
        </w:tc>
      </w:tr>
      <w:tr>
        <w:trPr>
          <w:trHeight w:val="152"/>
        </w:trPr>
        <w:tc>
          <w:tcPr>
            <w:tcW w:w="3300" w:type="dxa"/>
            <w:vAlign w:val="bottom"/>
          </w:tcPr>
          <w:p>
            <w:pPr>
              <w:spacing w:after="0"/>
              <w:rPr>
                <w:sz w:val="20"/>
                <w:szCs w:val="20"/>
                <w:color w:val="auto"/>
              </w:rPr>
            </w:pPr>
            <w:r>
              <w:rPr>
                <w:rFonts w:ascii="Arial" w:cs="Arial" w:eastAsia="Arial" w:hAnsi="Arial"/>
                <w:sz w:val="12"/>
                <w:szCs w:val="12"/>
                <w:color w:val="auto"/>
              </w:rPr>
              <w:t>60% to 75%</w:t>
            </w:r>
          </w:p>
        </w:tc>
        <w:tc>
          <w:tcPr>
            <w:tcW w:w="640" w:type="dxa"/>
            <w:vAlign w:val="bottom"/>
          </w:tcPr>
          <w:p>
            <w:pPr>
              <w:spacing w:after="0"/>
              <w:rPr>
                <w:sz w:val="13"/>
                <w:szCs w:val="13"/>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121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121</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13 %</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119</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13 %</w:t>
            </w:r>
          </w:p>
        </w:tc>
        <w:tc>
          <w:tcPr>
            <w:tcW w:w="0" w:type="dxa"/>
            <w:vAlign w:val="bottom"/>
          </w:tcPr>
          <w:p>
            <w:pPr>
              <w:spacing w:after="0"/>
              <w:rPr>
                <w:sz w:val="1"/>
                <w:szCs w:val="1"/>
                <w:color w:val="auto"/>
              </w:rPr>
            </w:pPr>
          </w:p>
        </w:tc>
      </w:tr>
      <w:tr>
        <w:trPr>
          <w:trHeight w:val="173"/>
        </w:trPr>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Commercial mortgage loans</w:t>
            </w:r>
          </w:p>
        </w:tc>
        <w:tc>
          <w:tcPr>
            <w:tcW w:w="640" w:type="dxa"/>
            <w:vAlign w:val="bottom"/>
            <w:tcBorders>
              <w:top w:val="single" w:sz="8" w:color="auto"/>
              <w:bottom w:val="single" w:sz="8" w:color="auto"/>
            </w:tcBorders>
            <w:shd w:val="clear" w:color="auto" w:fill="CCEEFF"/>
          </w:tcPr>
          <w:p>
            <w:pPr>
              <w:jc w:val="right"/>
              <w:ind w:right="501"/>
              <w:spacing w:after="0"/>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878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905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927</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ind w:right="20" w:firstLine="331"/>
        <w:spacing w:after="0" w:line="266" w:lineRule="auto"/>
        <w:rPr>
          <w:sz w:val="20"/>
          <w:szCs w:val="20"/>
          <w:color w:val="auto"/>
        </w:rPr>
      </w:pPr>
      <w:r>
        <w:rPr>
          <w:rFonts w:ascii="Arial" w:cs="Arial" w:eastAsia="Arial" w:hAnsi="Arial"/>
          <w:sz w:val="15"/>
          <w:szCs w:val="15"/>
          <w:color w:val="auto"/>
        </w:rPr>
        <w:t>We recognize a mortgage loan as delinquent when payments on the loan are greater than 30 days past due. At September 30, 2021, we had no CMLs that were delinquent in principal or interest payments.</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Allowance for Expected Credit Loss for Commercial Mortgages</w:t>
      </w:r>
    </w:p>
    <w:p>
      <w:pPr>
        <w:spacing w:after="0" w:line="11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5"/>
          <w:szCs w:val="15"/>
          <w:color w:val="auto"/>
        </w:rPr>
        <w:t>We estimate expected credit losses for our commercial loan portfolio using a probability of default/loss given default model. Significant inputs to this model include the loans' current performance, underlying collateral type, location, contractual life, LTV, and DSC. The model projects losses using a two year reasonable and supportable forecast and then reverts over a three year period to market-wide historical loss experience. Changes in our allowance for expected credit losses on commercial mortgage loans are recognized in Recognized gains and losses, net in the accompanying unaudited Condensed Consolidated Statements of Earnings.</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An allowance for expected credit loss is not measured on accrued interest income for commercial mortgage loans as we have a process to write-off interest on loans that enter into non-accrual status (over 90 days past due).</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auto"/>
        </w:rPr>
        <w:t>Residential Mortgage Loans</w:t>
      </w:r>
    </w:p>
    <w:p>
      <w:pPr>
        <w:spacing w:after="0" w:line="96" w:lineRule="exact"/>
        <w:rPr>
          <w:sz w:val="20"/>
          <w:szCs w:val="20"/>
          <w:color w:val="auto"/>
        </w:rPr>
      </w:pPr>
    </w:p>
    <w:p>
      <w:pPr>
        <w:jc w:val="both"/>
        <w:ind w:firstLine="331"/>
        <w:spacing w:after="0" w:line="255" w:lineRule="auto"/>
        <w:rPr>
          <w:sz w:val="20"/>
          <w:szCs w:val="20"/>
          <w:color w:val="auto"/>
        </w:rPr>
      </w:pPr>
      <w:r>
        <w:rPr>
          <w:rFonts w:ascii="Arial" w:cs="Arial" w:eastAsia="Arial" w:hAnsi="Arial"/>
          <w:sz w:val="15"/>
          <w:szCs w:val="15"/>
          <w:color w:val="auto"/>
        </w:rPr>
        <w:t>Residential mortgage loans ("RMLs") represented approximately 4% of our total investments as of September 30, 2021. Our residential mortgage loans are closed end, amortizing loans and 100% of the properties are located in the United States. We diversify our RML portfolio by state to attempt to reduce concentration risk. The distribution of RMLs by state with highest-to-lowest concentration are reflected in the following tables (dollars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8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3"/>
          </w:tcPr>
          <w:p>
            <w:pPr>
              <w:ind w:left="1120"/>
              <w:spacing w:after="0"/>
              <w:rPr>
                <w:sz w:val="20"/>
                <w:szCs w:val="20"/>
                <w:color w:val="auto"/>
              </w:rPr>
            </w:pPr>
            <w:r>
              <w:rPr>
                <w:rFonts w:ascii="Arial" w:cs="Arial" w:eastAsia="Arial" w:hAnsi="Arial"/>
                <w:sz w:val="12"/>
                <w:szCs w:val="12"/>
                <w:b w:val="1"/>
                <w:bCs w:val="1"/>
                <w:color w:val="auto"/>
                <w:w w:val="92"/>
              </w:rPr>
              <w:t>September 30, 2021</w:t>
            </w:r>
          </w:p>
        </w:tc>
        <w:tc>
          <w:tcPr>
            <w:tcW w:w="1180" w:type="dxa"/>
            <w:vAlign w:val="bottom"/>
            <w:tcBorders>
              <w:bottom w:val="single" w:sz="8" w:color="auto"/>
            </w:tcBorders>
          </w:tcPr>
          <w:p>
            <w:pPr>
              <w:spacing w:after="0"/>
              <w:rPr>
                <w:sz w:val="13"/>
                <w:szCs w:val="13"/>
                <w:color w:val="auto"/>
              </w:rPr>
            </w:pPr>
          </w:p>
        </w:tc>
      </w:tr>
      <w:tr>
        <w:trPr>
          <w:trHeight w:val="151"/>
        </w:trPr>
        <w:tc>
          <w:tcPr>
            <w:tcW w:w="7800" w:type="dxa"/>
            <w:vAlign w:val="bottom"/>
          </w:tcPr>
          <w:p>
            <w:pPr>
              <w:ind w:left="20"/>
              <w:spacing w:after="0"/>
              <w:rPr>
                <w:sz w:val="20"/>
                <w:szCs w:val="20"/>
                <w:color w:val="auto"/>
              </w:rPr>
            </w:pPr>
            <w:r>
              <w:rPr>
                <w:rFonts w:ascii="Arial" w:cs="Arial" w:eastAsia="Arial" w:hAnsi="Arial"/>
                <w:sz w:val="12"/>
                <w:szCs w:val="12"/>
                <w:b w:val="1"/>
                <w:bCs w:val="1"/>
                <w:color w:val="auto"/>
              </w:rPr>
              <w:t>U.S. State:</w:t>
            </w:r>
          </w:p>
        </w:tc>
        <w:tc>
          <w:tcPr>
            <w:tcW w:w="120" w:type="dxa"/>
            <w:vAlign w:val="bottom"/>
          </w:tcPr>
          <w:p>
            <w:pPr>
              <w:spacing w:after="0"/>
              <w:rPr>
                <w:sz w:val="13"/>
                <w:szCs w:val="13"/>
                <w:color w:val="auto"/>
              </w:rPr>
            </w:pPr>
          </w:p>
        </w:tc>
        <w:tc>
          <w:tcPr>
            <w:tcW w:w="2180" w:type="dxa"/>
            <w:vAlign w:val="bottom"/>
            <w:gridSpan w:val="3"/>
          </w:tcPr>
          <w:p>
            <w:pPr>
              <w:ind w:left="40"/>
              <w:spacing w:after="0"/>
              <w:rPr>
                <w:sz w:val="20"/>
                <w:szCs w:val="20"/>
                <w:color w:val="auto"/>
              </w:rPr>
            </w:pPr>
            <w:r>
              <w:rPr>
                <w:rFonts w:ascii="Arial" w:cs="Arial" w:eastAsia="Arial" w:hAnsi="Arial"/>
                <w:sz w:val="12"/>
                <w:szCs w:val="12"/>
                <w:b w:val="1"/>
                <w:bCs w:val="1"/>
                <w:color w:val="auto"/>
              </w:rPr>
              <w:t>Unpaid Principal Balance</w:t>
            </w:r>
          </w:p>
        </w:tc>
        <w:tc>
          <w:tcPr>
            <w:tcW w:w="1180" w:type="dxa"/>
            <w:vAlign w:val="bottom"/>
          </w:tcPr>
          <w:p>
            <w:pPr>
              <w:jc w:val="right"/>
              <w:ind w:right="541"/>
              <w:spacing w:after="0"/>
              <w:rPr>
                <w:sz w:val="20"/>
                <w:szCs w:val="20"/>
                <w:color w:val="auto"/>
              </w:rPr>
            </w:pPr>
            <w:r>
              <w:rPr>
                <w:rFonts w:ascii="Arial" w:cs="Arial" w:eastAsia="Arial" w:hAnsi="Arial"/>
                <w:sz w:val="12"/>
                <w:szCs w:val="12"/>
                <w:b w:val="1"/>
                <w:bCs w:val="1"/>
                <w:color w:val="auto"/>
                <w:w w:val="97"/>
              </w:rPr>
              <w:t>% of Total</w:t>
            </w:r>
          </w:p>
        </w:tc>
      </w:tr>
      <w:tr>
        <w:trPr>
          <w:trHeight w:val="146"/>
        </w:trPr>
        <w:tc>
          <w:tcPr>
            <w:tcW w:w="7800" w:type="dxa"/>
            <w:vAlign w:val="bottom"/>
          </w:tcPr>
          <w:p>
            <w:pPr>
              <w:ind w:left="20"/>
              <w:spacing w:after="0"/>
              <w:rPr>
                <w:sz w:val="20"/>
                <w:szCs w:val="20"/>
                <w:color w:val="auto"/>
              </w:rPr>
            </w:pPr>
            <w:r>
              <w:rPr>
                <w:rFonts w:ascii="Arial" w:cs="Arial" w:eastAsia="Arial" w:hAnsi="Arial"/>
                <w:sz w:val="12"/>
                <w:szCs w:val="12"/>
                <w:color w:val="auto"/>
              </w:rPr>
              <w:t>Florida</w:t>
            </w:r>
          </w:p>
        </w:tc>
        <w:tc>
          <w:tcPr>
            <w:tcW w:w="120" w:type="dxa"/>
            <w:vAlign w:val="bottom"/>
            <w:tcBorders>
              <w:top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150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216</w:t>
            </w:r>
          </w:p>
        </w:tc>
        <w:tc>
          <w:tcPr>
            <w:tcW w:w="14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14 %</w:t>
            </w:r>
          </w:p>
        </w:tc>
      </w:tr>
      <w:tr>
        <w:trPr>
          <w:trHeight w:val="157"/>
        </w:trPr>
        <w:tc>
          <w:tcPr>
            <w:tcW w:w="7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Texas</w:t>
            </w: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154</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10 %</w:t>
            </w:r>
          </w:p>
        </w:tc>
      </w:tr>
      <w:tr>
        <w:trPr>
          <w:trHeight w:val="152"/>
        </w:trPr>
        <w:tc>
          <w:tcPr>
            <w:tcW w:w="7800" w:type="dxa"/>
            <w:vAlign w:val="bottom"/>
          </w:tcPr>
          <w:p>
            <w:pPr>
              <w:ind w:left="20"/>
              <w:spacing w:after="0"/>
              <w:rPr>
                <w:sz w:val="20"/>
                <w:szCs w:val="20"/>
                <w:color w:val="auto"/>
              </w:rPr>
            </w:pPr>
            <w:r>
              <w:rPr>
                <w:rFonts w:ascii="Arial" w:cs="Arial" w:eastAsia="Arial" w:hAnsi="Arial"/>
                <w:sz w:val="12"/>
                <w:szCs w:val="12"/>
                <w:color w:val="auto"/>
              </w:rPr>
              <w:t>New Jersey</w:t>
            </w:r>
          </w:p>
        </w:tc>
        <w:tc>
          <w:tcPr>
            <w:tcW w:w="120" w:type="dxa"/>
            <w:vAlign w:val="bottom"/>
          </w:tcPr>
          <w:p>
            <w:pPr>
              <w:spacing w:after="0"/>
              <w:rPr>
                <w:sz w:val="13"/>
                <w:szCs w:val="13"/>
                <w:color w:val="auto"/>
              </w:rPr>
            </w:pPr>
          </w:p>
        </w:tc>
        <w:tc>
          <w:tcPr>
            <w:tcW w:w="1500" w:type="dxa"/>
            <w:vAlign w:val="bottom"/>
          </w:tcPr>
          <w:p>
            <w:pPr>
              <w:jc w:val="right"/>
              <w:ind w:right="1"/>
              <w:spacing w:after="0"/>
              <w:rPr>
                <w:sz w:val="20"/>
                <w:szCs w:val="20"/>
                <w:color w:val="auto"/>
              </w:rPr>
            </w:pPr>
            <w:r>
              <w:rPr>
                <w:rFonts w:ascii="Arial" w:cs="Arial" w:eastAsia="Arial" w:hAnsi="Arial"/>
                <w:sz w:val="12"/>
                <w:szCs w:val="12"/>
                <w:color w:val="auto"/>
              </w:rPr>
              <w:t>147</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10 %</w:t>
            </w:r>
          </w:p>
        </w:tc>
      </w:tr>
      <w:tr>
        <w:trPr>
          <w:trHeight w:val="155"/>
        </w:trPr>
        <w:tc>
          <w:tcPr>
            <w:tcW w:w="7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All Other States (1)</w:t>
            </w:r>
          </w:p>
        </w:tc>
        <w:tc>
          <w:tcPr>
            <w:tcW w:w="12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983</w:t>
            </w:r>
          </w:p>
        </w:tc>
        <w:tc>
          <w:tcPr>
            <w:tcW w:w="14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66 %</w:t>
            </w:r>
          </w:p>
        </w:tc>
      </w:tr>
      <w:tr>
        <w:trPr>
          <w:trHeight w:val="148"/>
        </w:trPr>
        <w:tc>
          <w:tcPr>
            <w:tcW w:w="7800" w:type="dxa"/>
            <w:vAlign w:val="bottom"/>
          </w:tcPr>
          <w:p>
            <w:pPr>
              <w:ind w:left="20"/>
              <w:spacing w:after="0"/>
              <w:rPr>
                <w:sz w:val="20"/>
                <w:szCs w:val="20"/>
                <w:color w:val="auto"/>
              </w:rPr>
            </w:pPr>
            <w:r>
              <w:rPr>
                <w:rFonts w:ascii="Arial" w:cs="Arial" w:eastAsia="Arial" w:hAnsi="Arial"/>
                <w:sz w:val="12"/>
                <w:szCs w:val="12"/>
                <w:b w:val="1"/>
                <w:bCs w:val="1"/>
                <w:color w:val="auto"/>
              </w:rPr>
              <w:t>Total residential mortgage loans</w:t>
            </w:r>
          </w:p>
        </w:tc>
        <w:tc>
          <w:tcPr>
            <w:tcW w:w="12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1,500</w:t>
            </w:r>
          </w:p>
        </w:tc>
        <w:tc>
          <w:tcPr>
            <w:tcW w:w="1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100 %</w:t>
            </w:r>
          </w:p>
        </w:tc>
      </w:tr>
      <w:tr>
        <w:trPr>
          <w:trHeight w:val="20"/>
        </w:trPr>
        <w:tc>
          <w:tcPr>
            <w:tcW w:w="7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2"/>
          <w:szCs w:val="12"/>
          <w:color w:val="auto"/>
        </w:rPr>
        <w:t>(1) The individual concentration of each state is equal to or less than 9% as of September 30, 2021.</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7" w:name="page38"/>
    <w:bookmarkEnd w:id="37"/>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8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3"/>
          </w:tcPr>
          <w:p>
            <w:pPr>
              <w:ind w:left="1140"/>
              <w:spacing w:after="0"/>
              <w:rPr>
                <w:sz w:val="20"/>
                <w:szCs w:val="20"/>
                <w:color w:val="auto"/>
              </w:rPr>
            </w:pPr>
            <w:r>
              <w:rPr>
                <w:rFonts w:ascii="Arial" w:cs="Arial" w:eastAsia="Arial" w:hAnsi="Arial"/>
                <w:sz w:val="12"/>
                <w:szCs w:val="12"/>
                <w:b w:val="1"/>
                <w:bCs w:val="1"/>
                <w:color w:val="auto"/>
                <w:w w:val="92"/>
              </w:rPr>
              <w:t>December 31, 2020</w:t>
            </w:r>
          </w:p>
        </w:tc>
        <w:tc>
          <w:tcPr>
            <w:tcW w:w="1200" w:type="dxa"/>
            <w:vAlign w:val="bottom"/>
            <w:tcBorders>
              <w:bottom w:val="single" w:sz="8" w:color="auto"/>
            </w:tcBorders>
          </w:tcPr>
          <w:p>
            <w:pPr>
              <w:spacing w:after="0"/>
              <w:rPr>
                <w:sz w:val="13"/>
                <w:szCs w:val="13"/>
                <w:color w:val="auto"/>
              </w:rPr>
            </w:pPr>
          </w:p>
        </w:tc>
      </w:tr>
      <w:tr>
        <w:trPr>
          <w:trHeight w:val="151"/>
        </w:trPr>
        <w:tc>
          <w:tcPr>
            <w:tcW w:w="7800" w:type="dxa"/>
            <w:vAlign w:val="bottom"/>
          </w:tcPr>
          <w:p>
            <w:pPr>
              <w:ind w:left="20"/>
              <w:spacing w:after="0"/>
              <w:rPr>
                <w:sz w:val="20"/>
                <w:szCs w:val="20"/>
                <w:color w:val="auto"/>
              </w:rPr>
            </w:pPr>
            <w:r>
              <w:rPr>
                <w:rFonts w:ascii="Arial" w:cs="Arial" w:eastAsia="Arial" w:hAnsi="Arial"/>
                <w:sz w:val="12"/>
                <w:szCs w:val="12"/>
                <w:b w:val="1"/>
                <w:bCs w:val="1"/>
                <w:color w:val="auto"/>
              </w:rPr>
              <w:t>U.S. State:</w:t>
            </w:r>
          </w:p>
        </w:tc>
        <w:tc>
          <w:tcPr>
            <w:tcW w:w="120" w:type="dxa"/>
            <w:vAlign w:val="bottom"/>
          </w:tcPr>
          <w:p>
            <w:pPr>
              <w:spacing w:after="0"/>
              <w:rPr>
                <w:sz w:val="13"/>
                <w:szCs w:val="13"/>
                <w:color w:val="auto"/>
              </w:rPr>
            </w:pPr>
          </w:p>
        </w:tc>
        <w:tc>
          <w:tcPr>
            <w:tcW w:w="2160" w:type="dxa"/>
            <w:vAlign w:val="bottom"/>
            <w:gridSpan w:val="3"/>
          </w:tcPr>
          <w:p>
            <w:pPr>
              <w:ind w:left="40"/>
              <w:spacing w:after="0"/>
              <w:rPr>
                <w:sz w:val="20"/>
                <w:szCs w:val="20"/>
                <w:color w:val="auto"/>
              </w:rPr>
            </w:pPr>
            <w:r>
              <w:rPr>
                <w:rFonts w:ascii="Arial" w:cs="Arial" w:eastAsia="Arial" w:hAnsi="Arial"/>
                <w:sz w:val="12"/>
                <w:szCs w:val="12"/>
                <w:b w:val="1"/>
                <w:bCs w:val="1"/>
                <w:color w:val="auto"/>
              </w:rPr>
              <w:t>Unpaid Principal Balance</w:t>
            </w:r>
          </w:p>
        </w:tc>
        <w:tc>
          <w:tcPr>
            <w:tcW w:w="1200" w:type="dxa"/>
            <w:vAlign w:val="bottom"/>
          </w:tcPr>
          <w:p>
            <w:pPr>
              <w:jc w:val="right"/>
              <w:ind w:right="541"/>
              <w:spacing w:after="0"/>
              <w:rPr>
                <w:sz w:val="20"/>
                <w:szCs w:val="20"/>
                <w:color w:val="auto"/>
              </w:rPr>
            </w:pPr>
            <w:r>
              <w:rPr>
                <w:rFonts w:ascii="Arial" w:cs="Arial" w:eastAsia="Arial" w:hAnsi="Arial"/>
                <w:sz w:val="12"/>
                <w:szCs w:val="12"/>
                <w:b w:val="1"/>
                <w:bCs w:val="1"/>
                <w:color w:val="auto"/>
              </w:rPr>
              <w:t>% of Total</w:t>
            </w:r>
          </w:p>
        </w:tc>
      </w:tr>
      <w:tr>
        <w:trPr>
          <w:trHeight w:val="146"/>
        </w:trPr>
        <w:tc>
          <w:tcPr>
            <w:tcW w:w="7800" w:type="dxa"/>
            <w:vAlign w:val="bottom"/>
          </w:tcPr>
          <w:p>
            <w:pPr>
              <w:ind w:left="20"/>
              <w:spacing w:after="0"/>
              <w:rPr>
                <w:sz w:val="20"/>
                <w:szCs w:val="20"/>
                <w:color w:val="auto"/>
              </w:rPr>
            </w:pPr>
            <w:r>
              <w:rPr>
                <w:rFonts w:ascii="Arial" w:cs="Arial" w:eastAsia="Arial" w:hAnsi="Arial"/>
                <w:sz w:val="12"/>
                <w:szCs w:val="12"/>
                <w:color w:val="auto"/>
              </w:rPr>
              <w:t>California</w:t>
            </w:r>
          </w:p>
        </w:tc>
        <w:tc>
          <w:tcPr>
            <w:tcW w:w="120" w:type="dxa"/>
            <w:vAlign w:val="bottom"/>
            <w:tcBorders>
              <w:top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150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164</w:t>
            </w:r>
          </w:p>
        </w:tc>
        <w:tc>
          <w:tcPr>
            <w:tcW w:w="1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15 %</w:t>
            </w:r>
          </w:p>
        </w:tc>
      </w:tr>
      <w:tr>
        <w:trPr>
          <w:trHeight w:val="157"/>
        </w:trPr>
        <w:tc>
          <w:tcPr>
            <w:tcW w:w="7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Florida</w:t>
            </w: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188</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16 %</w:t>
            </w:r>
          </w:p>
        </w:tc>
      </w:tr>
      <w:tr>
        <w:trPr>
          <w:trHeight w:val="152"/>
        </w:trPr>
        <w:tc>
          <w:tcPr>
            <w:tcW w:w="7800" w:type="dxa"/>
            <w:vAlign w:val="bottom"/>
          </w:tcPr>
          <w:p>
            <w:pPr>
              <w:ind w:left="20"/>
              <w:spacing w:after="0"/>
              <w:rPr>
                <w:sz w:val="20"/>
                <w:szCs w:val="20"/>
                <w:color w:val="auto"/>
              </w:rPr>
            </w:pPr>
            <w:r>
              <w:rPr>
                <w:rFonts w:ascii="Arial" w:cs="Arial" w:eastAsia="Arial" w:hAnsi="Arial"/>
                <w:sz w:val="12"/>
                <w:szCs w:val="12"/>
                <w:color w:val="auto"/>
              </w:rPr>
              <w:t>New Jersey</w:t>
            </w:r>
          </w:p>
        </w:tc>
        <w:tc>
          <w:tcPr>
            <w:tcW w:w="120" w:type="dxa"/>
            <w:vAlign w:val="bottom"/>
          </w:tcPr>
          <w:p>
            <w:pPr>
              <w:spacing w:after="0"/>
              <w:rPr>
                <w:sz w:val="13"/>
                <w:szCs w:val="13"/>
                <w:color w:val="auto"/>
              </w:rPr>
            </w:pPr>
          </w:p>
        </w:tc>
        <w:tc>
          <w:tcPr>
            <w:tcW w:w="1500" w:type="dxa"/>
            <w:vAlign w:val="bottom"/>
          </w:tcPr>
          <w:p>
            <w:pPr>
              <w:jc w:val="right"/>
              <w:ind w:right="1"/>
              <w:spacing w:after="0"/>
              <w:rPr>
                <w:sz w:val="20"/>
                <w:szCs w:val="20"/>
                <w:color w:val="auto"/>
              </w:rPr>
            </w:pPr>
            <w:r>
              <w:rPr>
                <w:rFonts w:ascii="Arial" w:cs="Arial" w:eastAsia="Arial" w:hAnsi="Arial"/>
                <w:sz w:val="12"/>
                <w:szCs w:val="12"/>
                <w:color w:val="auto"/>
              </w:rPr>
              <w:t>96</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8 %</w:t>
            </w:r>
          </w:p>
        </w:tc>
      </w:tr>
      <w:tr>
        <w:trPr>
          <w:trHeight w:val="155"/>
        </w:trPr>
        <w:tc>
          <w:tcPr>
            <w:tcW w:w="7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All other states</w:t>
            </w:r>
          </w:p>
        </w:tc>
        <w:tc>
          <w:tcPr>
            <w:tcW w:w="12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704</w:t>
            </w:r>
          </w:p>
        </w:tc>
        <w:tc>
          <w:tcPr>
            <w:tcW w:w="14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61 %</w:t>
            </w:r>
          </w:p>
        </w:tc>
      </w:tr>
      <w:tr>
        <w:trPr>
          <w:trHeight w:val="148"/>
        </w:trPr>
        <w:tc>
          <w:tcPr>
            <w:tcW w:w="7800" w:type="dxa"/>
            <w:vAlign w:val="bottom"/>
          </w:tcPr>
          <w:p>
            <w:pPr>
              <w:ind w:left="20"/>
              <w:spacing w:after="0"/>
              <w:rPr>
                <w:sz w:val="20"/>
                <w:szCs w:val="20"/>
                <w:color w:val="auto"/>
              </w:rPr>
            </w:pPr>
            <w:r>
              <w:rPr>
                <w:rFonts w:ascii="Arial" w:cs="Arial" w:eastAsia="Arial" w:hAnsi="Arial"/>
                <w:sz w:val="12"/>
                <w:szCs w:val="12"/>
                <w:b w:val="1"/>
                <w:bCs w:val="1"/>
                <w:color w:val="auto"/>
              </w:rPr>
              <w:t>Total residential mortgage loans</w:t>
            </w:r>
          </w:p>
        </w:tc>
        <w:tc>
          <w:tcPr>
            <w:tcW w:w="12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1,152</w:t>
            </w:r>
          </w:p>
        </w:tc>
        <w:tc>
          <w:tcPr>
            <w:tcW w:w="14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100 %</w:t>
            </w:r>
          </w:p>
        </w:tc>
      </w:tr>
      <w:tr>
        <w:trPr>
          <w:trHeight w:val="20"/>
        </w:trPr>
        <w:tc>
          <w:tcPr>
            <w:tcW w:w="7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2"/>
          <w:szCs w:val="12"/>
          <w:color w:val="auto"/>
        </w:rPr>
        <w:t>(1) The individual concentration of each state is less than 8% as of December 31, 2020.</w:t>
      </w:r>
    </w:p>
    <w:p>
      <w:pPr>
        <w:spacing w:after="0" w:line="88" w:lineRule="exact"/>
        <w:rPr>
          <w:sz w:val="20"/>
          <w:szCs w:val="20"/>
          <w:color w:val="auto"/>
        </w:rPr>
      </w:pPr>
    </w:p>
    <w:p>
      <w:pPr>
        <w:ind w:firstLine="331"/>
        <w:spacing w:after="0" w:line="302" w:lineRule="auto"/>
        <w:rPr>
          <w:sz w:val="20"/>
          <w:szCs w:val="20"/>
          <w:color w:val="auto"/>
        </w:rPr>
      </w:pPr>
      <w:r>
        <w:rPr>
          <w:rFonts w:ascii="Arial" w:cs="Arial" w:eastAsia="Arial" w:hAnsi="Arial"/>
          <w:sz w:val="14"/>
          <w:szCs w:val="14"/>
          <w:color w:val="auto"/>
        </w:rPr>
        <w:t>Residential mortgage loans have a primary credit quality indicator of either a performing or nonperforming loan. We define non-performing residential mortgage loans as those that are 90 or more days past due or in non-accrual status which is assessed monthly. The credit quality of RMLs as of September 30, 2021, was as follows (dollars in millions):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8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3"/>
          </w:tcPr>
          <w:p>
            <w:pPr>
              <w:ind w:left="880"/>
              <w:spacing w:after="0"/>
              <w:rPr>
                <w:sz w:val="20"/>
                <w:szCs w:val="20"/>
                <w:color w:val="auto"/>
              </w:rPr>
            </w:pPr>
            <w:r>
              <w:rPr>
                <w:rFonts w:ascii="Arial" w:cs="Arial" w:eastAsia="Arial" w:hAnsi="Arial"/>
                <w:sz w:val="12"/>
                <w:szCs w:val="12"/>
                <w:b w:val="1"/>
                <w:bCs w:val="1"/>
                <w:color w:val="auto"/>
                <w:w w:val="87"/>
              </w:rPr>
              <w:t>September 30, 2021</w:t>
            </w:r>
          </w:p>
        </w:tc>
        <w:tc>
          <w:tcPr>
            <w:tcW w:w="10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ind w:left="880"/>
              <w:spacing w:after="0"/>
              <w:rPr>
                <w:sz w:val="20"/>
                <w:szCs w:val="20"/>
                <w:color w:val="auto"/>
              </w:rPr>
            </w:pPr>
            <w:r>
              <w:rPr>
                <w:rFonts w:ascii="Arial" w:cs="Arial" w:eastAsia="Arial" w:hAnsi="Arial"/>
                <w:sz w:val="12"/>
                <w:szCs w:val="12"/>
                <w:b w:val="1"/>
                <w:bCs w:val="1"/>
                <w:color w:val="auto"/>
                <w:w w:val="88"/>
              </w:rPr>
              <w:t>December 31, 2020</w:t>
            </w:r>
          </w:p>
        </w:tc>
        <w:tc>
          <w:tcPr>
            <w:tcW w:w="1060" w:type="dxa"/>
            <w:vAlign w:val="bottom"/>
            <w:tcBorders>
              <w:bottom w:val="single" w:sz="8" w:color="auto"/>
            </w:tcBorders>
          </w:tcPr>
          <w:p>
            <w:pPr>
              <w:spacing w:after="0"/>
              <w:rPr>
                <w:sz w:val="13"/>
                <w:szCs w:val="13"/>
                <w:color w:val="auto"/>
              </w:rPr>
            </w:pPr>
          </w:p>
        </w:tc>
      </w:tr>
      <w:tr>
        <w:trPr>
          <w:trHeight w:val="151"/>
        </w:trPr>
        <w:tc>
          <w:tcPr>
            <w:tcW w:w="4860" w:type="dxa"/>
            <w:vAlign w:val="bottom"/>
          </w:tcPr>
          <w:p>
            <w:pPr>
              <w:ind w:left="20"/>
              <w:spacing w:after="0"/>
              <w:rPr>
                <w:sz w:val="20"/>
                <w:szCs w:val="20"/>
                <w:color w:val="auto"/>
              </w:rPr>
            </w:pPr>
            <w:r>
              <w:rPr>
                <w:rFonts w:ascii="Arial" w:cs="Arial" w:eastAsia="Arial" w:hAnsi="Arial"/>
                <w:sz w:val="12"/>
                <w:szCs w:val="12"/>
                <w:b w:val="1"/>
                <w:bCs w:val="1"/>
                <w:color w:val="auto"/>
              </w:rPr>
              <w:t>Performance indicators:</w:t>
            </w:r>
          </w:p>
        </w:tc>
        <w:tc>
          <w:tcPr>
            <w:tcW w:w="220" w:type="dxa"/>
            <w:vAlign w:val="bottom"/>
          </w:tcPr>
          <w:p>
            <w:pPr>
              <w:spacing w:after="0"/>
              <w:rPr>
                <w:sz w:val="13"/>
                <w:szCs w:val="13"/>
                <w:color w:val="auto"/>
              </w:rPr>
            </w:pPr>
          </w:p>
        </w:tc>
        <w:tc>
          <w:tcPr>
            <w:tcW w:w="1880" w:type="dxa"/>
            <w:vAlign w:val="bottom"/>
            <w:gridSpan w:val="3"/>
          </w:tcPr>
          <w:p>
            <w:pPr>
              <w:ind w:left="140"/>
              <w:spacing w:after="0"/>
              <w:rPr>
                <w:sz w:val="20"/>
                <w:szCs w:val="20"/>
                <w:color w:val="auto"/>
              </w:rPr>
            </w:pPr>
            <w:r>
              <w:rPr>
                <w:rFonts w:ascii="Arial" w:cs="Arial" w:eastAsia="Arial" w:hAnsi="Arial"/>
                <w:sz w:val="12"/>
                <w:szCs w:val="12"/>
                <w:b w:val="1"/>
                <w:bCs w:val="1"/>
                <w:color w:val="auto"/>
              </w:rPr>
              <w:t>Carrying Value</w:t>
            </w:r>
          </w:p>
        </w:tc>
        <w:tc>
          <w:tcPr>
            <w:tcW w:w="1080" w:type="dxa"/>
            <w:vAlign w:val="bottom"/>
          </w:tcPr>
          <w:p>
            <w:pPr>
              <w:jc w:val="right"/>
              <w:ind w:right="461"/>
              <w:spacing w:after="0"/>
              <w:rPr>
                <w:sz w:val="20"/>
                <w:szCs w:val="20"/>
                <w:color w:val="auto"/>
              </w:rPr>
            </w:pPr>
            <w:r>
              <w:rPr>
                <w:rFonts w:ascii="Arial" w:cs="Arial" w:eastAsia="Arial" w:hAnsi="Arial"/>
                <w:sz w:val="12"/>
                <w:szCs w:val="12"/>
                <w:b w:val="1"/>
                <w:bCs w:val="1"/>
                <w:color w:val="auto"/>
                <w:w w:val="94"/>
              </w:rPr>
              <w:t>% of Total</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3"/>
          </w:tcPr>
          <w:p>
            <w:pPr>
              <w:ind w:left="140"/>
              <w:spacing w:after="0"/>
              <w:rPr>
                <w:sz w:val="20"/>
                <w:szCs w:val="20"/>
                <w:color w:val="auto"/>
              </w:rPr>
            </w:pPr>
            <w:r>
              <w:rPr>
                <w:rFonts w:ascii="Arial" w:cs="Arial" w:eastAsia="Arial" w:hAnsi="Arial"/>
                <w:sz w:val="12"/>
                <w:szCs w:val="12"/>
                <w:b w:val="1"/>
                <w:bCs w:val="1"/>
                <w:color w:val="auto"/>
              </w:rPr>
              <w:t>Carrying Value</w:t>
            </w:r>
          </w:p>
        </w:tc>
        <w:tc>
          <w:tcPr>
            <w:tcW w:w="1060" w:type="dxa"/>
            <w:vAlign w:val="bottom"/>
          </w:tcPr>
          <w:p>
            <w:pPr>
              <w:jc w:val="right"/>
              <w:ind w:right="461"/>
              <w:spacing w:after="0"/>
              <w:rPr>
                <w:sz w:val="20"/>
                <w:szCs w:val="20"/>
                <w:color w:val="auto"/>
              </w:rPr>
            </w:pPr>
            <w:r>
              <w:rPr>
                <w:rFonts w:ascii="Arial" w:cs="Arial" w:eastAsia="Arial" w:hAnsi="Arial"/>
                <w:sz w:val="12"/>
                <w:szCs w:val="12"/>
                <w:b w:val="1"/>
                <w:bCs w:val="1"/>
                <w:color w:val="auto"/>
                <w:w w:val="90"/>
              </w:rPr>
              <w:t>% of Total</w:t>
            </w:r>
          </w:p>
        </w:tc>
      </w:tr>
      <w:tr>
        <w:trPr>
          <w:trHeight w:val="146"/>
        </w:trPr>
        <w:tc>
          <w:tcPr>
            <w:tcW w:w="4860" w:type="dxa"/>
            <w:vAlign w:val="bottom"/>
          </w:tcPr>
          <w:p>
            <w:pPr>
              <w:ind w:left="20"/>
              <w:spacing w:after="0"/>
              <w:rPr>
                <w:sz w:val="20"/>
                <w:szCs w:val="20"/>
                <w:color w:val="auto"/>
              </w:rPr>
            </w:pPr>
            <w:r>
              <w:rPr>
                <w:rFonts w:ascii="Arial" w:cs="Arial" w:eastAsia="Arial" w:hAnsi="Arial"/>
                <w:sz w:val="12"/>
                <w:szCs w:val="12"/>
                <w:color w:val="auto"/>
              </w:rPr>
              <w:t>Performing</w:t>
            </w:r>
          </w:p>
        </w:tc>
        <w:tc>
          <w:tcPr>
            <w:tcW w:w="220" w:type="dxa"/>
            <w:vAlign w:val="bottom"/>
            <w:tcBorders>
              <w:top w:val="single" w:sz="8" w:color="auto"/>
            </w:tcBorders>
          </w:tcPr>
          <w:p>
            <w:pPr>
              <w:jc w:val="right"/>
              <w:ind w:right="81"/>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1,429</w:t>
            </w: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94 %</w:t>
            </w:r>
          </w:p>
        </w:tc>
        <w:tc>
          <w:tcPr>
            <w:tcW w:w="100" w:type="dxa"/>
            <w:vAlign w:val="bottom"/>
          </w:tcPr>
          <w:p>
            <w:pPr>
              <w:spacing w:after="0"/>
              <w:rPr>
                <w:sz w:val="12"/>
                <w:szCs w:val="12"/>
                <w:color w:val="auto"/>
              </w:rPr>
            </w:pPr>
          </w:p>
        </w:tc>
        <w:tc>
          <w:tcPr>
            <w:tcW w:w="220" w:type="dxa"/>
            <w:vAlign w:val="bottom"/>
            <w:tcBorders>
              <w:top w:val="single" w:sz="8" w:color="auto"/>
            </w:tcBorders>
          </w:tcPr>
          <w:p>
            <w:pPr>
              <w:jc w:val="right"/>
              <w:ind w:right="81"/>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1,059</w:t>
            </w:r>
          </w:p>
        </w:tc>
        <w:tc>
          <w:tcPr>
            <w:tcW w:w="1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91 %</w:t>
            </w:r>
          </w:p>
        </w:tc>
      </w:tr>
      <w:tr>
        <w:trPr>
          <w:trHeight w:val="157"/>
        </w:trPr>
        <w:tc>
          <w:tcPr>
            <w:tcW w:w="48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Non-performing</w:t>
            </w:r>
          </w:p>
        </w:tc>
        <w:tc>
          <w:tcPr>
            <w:tcW w:w="2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98</w:t>
            </w:r>
          </w:p>
        </w:tc>
        <w:tc>
          <w:tcPr>
            <w:tcW w:w="14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6 %</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106</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9 %</w:t>
            </w:r>
          </w:p>
        </w:tc>
      </w:tr>
      <w:tr>
        <w:trPr>
          <w:trHeight w:val="143"/>
        </w:trPr>
        <w:tc>
          <w:tcPr>
            <w:tcW w:w="4860" w:type="dxa"/>
            <w:vAlign w:val="bottom"/>
            <w:tcBorders>
              <w:bottom w:val="single" w:sz="8" w:color="CCEEFF"/>
            </w:tcBorders>
          </w:tcPr>
          <w:p>
            <w:pPr>
              <w:ind w:left="20"/>
              <w:spacing w:after="0" w:line="136" w:lineRule="exact"/>
              <w:rPr>
                <w:sz w:val="20"/>
                <w:szCs w:val="20"/>
                <w:color w:val="auto"/>
              </w:rPr>
            </w:pPr>
            <w:r>
              <w:rPr>
                <w:rFonts w:ascii="Arial" w:cs="Arial" w:eastAsia="Arial" w:hAnsi="Arial"/>
                <w:sz w:val="12"/>
                <w:szCs w:val="12"/>
                <w:b w:val="1"/>
                <w:bCs w:val="1"/>
                <w:color w:val="auto"/>
              </w:rPr>
              <w:t>Total residential mortgage loans, gross of valuation allowance</w:t>
            </w:r>
          </w:p>
        </w:tc>
        <w:tc>
          <w:tcPr>
            <w:tcW w:w="22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1,527</w:t>
            </w:r>
          </w:p>
        </w:tc>
        <w:tc>
          <w:tcPr>
            <w:tcW w:w="1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100 %</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1,165</w:t>
            </w: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100 %</w:t>
            </w:r>
          </w:p>
        </w:tc>
      </w:tr>
      <w:tr>
        <w:trPr>
          <w:trHeight w:val="146"/>
        </w:trPr>
        <w:tc>
          <w:tcPr>
            <w:tcW w:w="4860" w:type="dxa"/>
            <w:vAlign w:val="bottom"/>
            <w:shd w:val="clear" w:color="auto" w:fill="CCEEFF"/>
          </w:tcPr>
          <w:p>
            <w:pPr>
              <w:ind w:left="20"/>
              <w:spacing w:after="0"/>
              <w:rPr>
                <w:sz w:val="20"/>
                <w:szCs w:val="20"/>
                <w:color w:val="auto"/>
              </w:rPr>
            </w:pPr>
            <w:r>
              <w:rPr>
                <w:rFonts w:ascii="Arial" w:cs="Arial" w:eastAsia="Arial" w:hAnsi="Arial"/>
                <w:sz w:val="12"/>
                <w:szCs w:val="12"/>
                <w:color w:val="auto"/>
              </w:rPr>
              <w:t>Allowance for expected loan loss</w:t>
            </w:r>
          </w:p>
        </w:tc>
        <w:tc>
          <w:tcPr>
            <w:tcW w:w="22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4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10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w:t>
            </w:r>
          </w:p>
        </w:tc>
      </w:tr>
      <w:tr>
        <w:trPr>
          <w:trHeight w:val="148"/>
        </w:trPr>
        <w:tc>
          <w:tcPr>
            <w:tcW w:w="4860" w:type="dxa"/>
            <w:vAlign w:val="bottom"/>
          </w:tcPr>
          <w:p>
            <w:pPr>
              <w:ind w:left="20"/>
              <w:spacing w:after="0"/>
              <w:rPr>
                <w:sz w:val="20"/>
                <w:szCs w:val="20"/>
                <w:color w:val="auto"/>
              </w:rPr>
            </w:pPr>
            <w:r>
              <w:rPr>
                <w:rFonts w:ascii="Arial" w:cs="Arial" w:eastAsia="Arial" w:hAnsi="Arial"/>
                <w:sz w:val="12"/>
                <w:szCs w:val="12"/>
                <w:b w:val="1"/>
                <w:bCs w:val="1"/>
                <w:color w:val="auto"/>
              </w:rPr>
              <w:t>Total residential mortgage loans</w:t>
            </w:r>
          </w:p>
        </w:tc>
        <w:tc>
          <w:tcPr>
            <w:tcW w:w="22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1,500</w:t>
            </w:r>
          </w:p>
        </w:tc>
        <w:tc>
          <w:tcPr>
            <w:tcW w:w="1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100 %</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1,128</w:t>
            </w: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100 %</w:t>
            </w:r>
          </w:p>
        </w:tc>
      </w:tr>
      <w:tr>
        <w:trPr>
          <w:trHeight w:val="20"/>
        </w:trPr>
        <w:tc>
          <w:tcPr>
            <w:tcW w:w="4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76" w:lineRule="exact"/>
        <w:rPr>
          <w:sz w:val="20"/>
          <w:szCs w:val="20"/>
          <w:color w:val="auto"/>
        </w:rPr>
      </w:pPr>
    </w:p>
    <w:p>
      <w:pPr>
        <w:spacing w:after="0"/>
        <w:rPr>
          <w:sz w:val="20"/>
          <w:szCs w:val="20"/>
          <w:color w:val="auto"/>
        </w:rPr>
      </w:pPr>
      <w:r>
        <w:rPr>
          <w:rFonts w:ascii="Arial" w:cs="Arial" w:eastAsia="Arial" w:hAnsi="Arial"/>
          <w:sz w:val="15"/>
          <w:szCs w:val="15"/>
          <w:color w:val="auto"/>
        </w:rPr>
        <w:t>Loans segregated by risk rating exposure as of September 30, 2021 and December 31, 2020, were as follows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gridSpan w:val="2"/>
          </w:tcPr>
          <w:p>
            <w:pPr>
              <w:jc w:val="center"/>
              <w:spacing w:after="0"/>
              <w:rPr>
                <w:sz w:val="20"/>
                <w:szCs w:val="20"/>
                <w:color w:val="auto"/>
              </w:rPr>
            </w:pPr>
            <w:r>
              <w:rPr>
                <w:rFonts w:ascii="Arial" w:cs="Arial" w:eastAsia="Arial" w:hAnsi="Arial"/>
                <w:sz w:val="12"/>
                <w:szCs w:val="12"/>
                <w:b w:val="1"/>
                <w:bCs w:val="1"/>
                <w:color w:val="auto"/>
                <w:w w:val="87"/>
              </w:rPr>
              <w:t>September 30, 2021</w:t>
            </w: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4"/>
          </w:tcPr>
          <w:p>
            <w:pPr>
              <w:jc w:val="center"/>
              <w:ind w:left="361"/>
              <w:spacing w:after="0"/>
              <w:rPr>
                <w:sz w:val="20"/>
                <w:szCs w:val="20"/>
                <w:color w:val="auto"/>
              </w:rPr>
            </w:pPr>
            <w:r>
              <w:rPr>
                <w:rFonts w:ascii="Arial" w:cs="Arial" w:eastAsia="Arial" w:hAnsi="Arial"/>
                <w:sz w:val="12"/>
                <w:szCs w:val="12"/>
                <w:b w:val="1"/>
                <w:bCs w:val="1"/>
                <w:color w:val="auto"/>
                <w:w w:val="89"/>
              </w:rPr>
              <w:t>Amortized Cost by Origination Year</w:t>
            </w:r>
          </w:p>
        </w:tc>
        <w:tc>
          <w:tcPr>
            <w:tcW w:w="6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2021</w:t>
            </w: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2"/>
                <w:szCs w:val="12"/>
                <w:b w:val="1"/>
                <w:bCs w:val="1"/>
                <w:color w:val="auto"/>
              </w:rPr>
              <w:t>2020</w:t>
            </w: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2"/>
                <w:szCs w:val="12"/>
                <w:b w:val="1"/>
                <w:bCs w:val="1"/>
                <w:color w:val="auto"/>
              </w:rPr>
              <w:t>2019</w:t>
            </w: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61"/>
              <w:spacing w:after="0"/>
              <w:rPr>
                <w:sz w:val="20"/>
                <w:szCs w:val="20"/>
                <w:color w:val="auto"/>
              </w:rPr>
            </w:pPr>
            <w:r>
              <w:rPr>
                <w:rFonts w:ascii="Arial" w:cs="Arial" w:eastAsia="Arial" w:hAnsi="Arial"/>
                <w:sz w:val="12"/>
                <w:szCs w:val="12"/>
                <w:b w:val="1"/>
                <w:bCs w:val="1"/>
                <w:color w:val="auto"/>
                <w:w w:val="82"/>
              </w:rPr>
              <w:t>2018</w:t>
            </w:r>
          </w:p>
        </w:tc>
        <w:tc>
          <w:tcPr>
            <w:tcW w:w="4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41"/>
              <w:spacing w:after="0"/>
              <w:rPr>
                <w:sz w:val="20"/>
                <w:szCs w:val="20"/>
                <w:color w:val="auto"/>
              </w:rPr>
            </w:pPr>
            <w:r>
              <w:rPr>
                <w:rFonts w:ascii="Arial" w:cs="Arial" w:eastAsia="Arial" w:hAnsi="Arial"/>
                <w:sz w:val="12"/>
                <w:szCs w:val="12"/>
                <w:b w:val="1"/>
                <w:bCs w:val="1"/>
                <w:color w:val="auto"/>
                <w:w w:val="82"/>
              </w:rPr>
              <w:t>2017</w:t>
            </w: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b w:val="1"/>
                <w:bCs w:val="1"/>
                <w:color w:val="auto"/>
              </w:rPr>
              <w:t>Prior</w:t>
            </w: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1"/>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36"/>
        </w:trPr>
        <w:tc>
          <w:tcPr>
            <w:tcW w:w="386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b w:val="1"/>
                <w:bCs w:val="1"/>
                <w:color w:val="auto"/>
              </w:rPr>
              <w:t>Residential mortgages</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860" w:type="dxa"/>
            <w:vAlign w:val="bottom"/>
          </w:tcPr>
          <w:p>
            <w:pPr>
              <w:ind w:left="20"/>
              <w:spacing w:after="0"/>
              <w:rPr>
                <w:sz w:val="20"/>
                <w:szCs w:val="20"/>
                <w:color w:val="auto"/>
              </w:rPr>
            </w:pPr>
            <w:r>
              <w:rPr>
                <w:rFonts w:ascii="Arial" w:cs="Arial" w:eastAsia="Arial" w:hAnsi="Arial"/>
                <w:sz w:val="12"/>
                <w:szCs w:val="12"/>
                <w:color w:val="auto"/>
              </w:rPr>
              <w:t>Current (less than 30 days past due)</w:t>
            </w:r>
          </w:p>
        </w:tc>
        <w:tc>
          <w:tcPr>
            <w:tcW w:w="700" w:type="dxa"/>
            <w:vAlign w:val="bottom"/>
          </w:tcPr>
          <w:p>
            <w:pPr>
              <w:jc w:val="right"/>
              <w:ind w:right="561"/>
              <w:spacing w:after="0"/>
              <w:rPr>
                <w:sz w:val="20"/>
                <w:szCs w:val="20"/>
                <w:color w:val="auto"/>
              </w:rPr>
            </w:pPr>
            <w:r>
              <w:rPr>
                <w:rFonts w:ascii="Arial" w:cs="Arial" w:eastAsia="Arial" w:hAnsi="Arial"/>
                <w:sz w:val="12"/>
                <w:szCs w:val="12"/>
                <w:color w:val="auto"/>
                <w:w w:val="89"/>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623</w:t>
            </w:r>
          </w:p>
        </w:tc>
        <w:tc>
          <w:tcPr>
            <w:tcW w:w="26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310</w:t>
            </w:r>
          </w:p>
        </w:tc>
        <w:tc>
          <w:tcPr>
            <w:tcW w:w="26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334</w:t>
            </w:r>
          </w:p>
        </w:tc>
        <w:tc>
          <w:tcPr>
            <w:tcW w:w="26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56</w:t>
            </w:r>
          </w:p>
        </w:tc>
        <w:tc>
          <w:tcPr>
            <w:tcW w:w="420" w:type="dxa"/>
            <w:vAlign w:val="bottom"/>
          </w:tcPr>
          <w:p>
            <w:pPr>
              <w:jc w:val="right"/>
              <w:ind w:right="261"/>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36</w:t>
            </w:r>
          </w:p>
        </w:tc>
        <w:tc>
          <w:tcPr>
            <w:tcW w:w="26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19</w:t>
            </w:r>
          </w:p>
        </w:tc>
        <w:tc>
          <w:tcPr>
            <w:tcW w:w="26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1,378</w:t>
            </w:r>
          </w:p>
        </w:tc>
        <w:tc>
          <w:tcPr>
            <w:tcW w:w="0" w:type="dxa"/>
            <w:vAlign w:val="bottom"/>
          </w:tcPr>
          <w:p>
            <w:pPr>
              <w:spacing w:after="0"/>
              <w:rPr>
                <w:sz w:val="1"/>
                <w:szCs w:val="1"/>
                <w:color w:val="auto"/>
              </w:rPr>
            </w:pPr>
          </w:p>
        </w:tc>
      </w:tr>
      <w:tr>
        <w:trPr>
          <w:trHeight w:val="157"/>
        </w:trPr>
        <w:tc>
          <w:tcPr>
            <w:tcW w:w="3860" w:type="dxa"/>
            <w:vAlign w:val="bottom"/>
            <w:shd w:val="clear" w:color="auto" w:fill="CCEEFF"/>
          </w:tcPr>
          <w:p>
            <w:pPr>
              <w:ind w:left="20"/>
              <w:spacing w:after="0"/>
              <w:rPr>
                <w:sz w:val="20"/>
                <w:szCs w:val="20"/>
                <w:color w:val="auto"/>
              </w:rPr>
            </w:pPr>
            <w:r>
              <w:rPr>
                <w:rFonts w:ascii="Arial" w:cs="Arial" w:eastAsia="Arial" w:hAnsi="Arial"/>
                <w:sz w:val="12"/>
                <w:szCs w:val="12"/>
                <w:color w:val="auto"/>
              </w:rPr>
              <w:t>30-89 days past due</w:t>
            </w: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66</w:t>
            </w:r>
          </w:p>
        </w:tc>
        <w:tc>
          <w:tcPr>
            <w:tcW w:w="0" w:type="dxa"/>
            <w:vAlign w:val="bottom"/>
          </w:tcPr>
          <w:p>
            <w:pPr>
              <w:spacing w:after="0"/>
              <w:rPr>
                <w:sz w:val="1"/>
                <w:szCs w:val="1"/>
                <w:color w:val="auto"/>
              </w:rPr>
            </w:pPr>
          </w:p>
        </w:tc>
      </w:tr>
      <w:tr>
        <w:trPr>
          <w:trHeight w:val="152"/>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Over 90 days past due</w:t>
            </w:r>
          </w:p>
        </w:tc>
        <w:tc>
          <w:tcPr>
            <w:tcW w:w="7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4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80</w:t>
            </w:r>
          </w:p>
        </w:tc>
        <w:tc>
          <w:tcPr>
            <w:tcW w:w="0" w:type="dxa"/>
            <w:vAlign w:val="bottom"/>
          </w:tcPr>
          <w:p>
            <w:pPr>
              <w:spacing w:after="0"/>
              <w:rPr>
                <w:sz w:val="1"/>
                <w:szCs w:val="1"/>
                <w:color w:val="auto"/>
              </w:rPr>
            </w:pPr>
          </w:p>
        </w:tc>
      </w:tr>
      <w:tr>
        <w:trPr>
          <w:trHeight w:val="173"/>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residential mortgages</w:t>
            </w:r>
          </w:p>
        </w:tc>
        <w:tc>
          <w:tcPr>
            <w:tcW w:w="700" w:type="dxa"/>
            <w:vAlign w:val="bottom"/>
            <w:tcBorders>
              <w:bottom w:val="single" w:sz="8" w:color="auto"/>
            </w:tcBorders>
            <w:shd w:val="clear" w:color="auto" w:fill="CCEEFF"/>
          </w:tcPr>
          <w:p>
            <w:pPr>
              <w:jc w:val="right"/>
              <w:ind w:right="561"/>
              <w:spacing w:after="0"/>
              <w:rPr>
                <w:sz w:val="20"/>
                <w:szCs w:val="20"/>
                <w:color w:val="auto"/>
              </w:rPr>
            </w:pPr>
            <w:r>
              <w:rPr>
                <w:rFonts w:ascii="Arial" w:cs="Arial" w:eastAsia="Arial" w:hAnsi="Arial"/>
                <w:sz w:val="12"/>
                <w:szCs w:val="12"/>
                <w:color w:val="auto"/>
                <w:w w:val="8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633</w:t>
            </w: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353</w:t>
            </w: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421</w:t>
            </w: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42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1,524</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20"/>
              <w:spacing w:after="0" w:line="135" w:lineRule="exact"/>
              <w:rPr>
                <w:sz w:val="20"/>
                <w:szCs w:val="20"/>
                <w:color w:val="auto"/>
              </w:rPr>
            </w:pPr>
            <w:r>
              <w:rPr>
                <w:rFonts w:ascii="Arial" w:cs="Arial" w:eastAsia="Arial" w:hAnsi="Arial"/>
                <w:sz w:val="12"/>
                <w:szCs w:val="12"/>
                <w:b w:val="1"/>
                <w:bCs w:val="1"/>
                <w:color w:val="auto"/>
              </w:rPr>
              <w:t>Commercial mortgages</w:t>
            </w: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8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38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(less than 30 days past due)</w:t>
            </w:r>
          </w:p>
        </w:tc>
        <w:tc>
          <w:tcPr>
            <w:tcW w:w="700" w:type="dxa"/>
            <w:vAlign w:val="bottom"/>
            <w:shd w:val="clear" w:color="auto" w:fill="CCEEFF"/>
          </w:tcPr>
          <w:p>
            <w:pPr>
              <w:jc w:val="right"/>
              <w:ind w:right="561"/>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1,111</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543</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420" w:type="dxa"/>
            <w:vAlign w:val="bottom"/>
            <w:shd w:val="clear" w:color="auto" w:fill="CCEEFF"/>
          </w:tcPr>
          <w:p>
            <w:pPr>
              <w:jc w:val="right"/>
              <w:ind w:right="261"/>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330</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1,990</w:t>
            </w:r>
          </w:p>
        </w:tc>
        <w:tc>
          <w:tcPr>
            <w:tcW w:w="0" w:type="dxa"/>
            <w:vAlign w:val="bottom"/>
          </w:tcPr>
          <w:p>
            <w:pPr>
              <w:spacing w:after="0"/>
              <w:rPr>
                <w:sz w:val="1"/>
                <w:szCs w:val="1"/>
                <w:color w:val="auto"/>
              </w:rPr>
            </w:pPr>
          </w:p>
        </w:tc>
      </w:tr>
      <w:tr>
        <w:trPr>
          <w:trHeight w:val="152"/>
        </w:trPr>
        <w:tc>
          <w:tcPr>
            <w:tcW w:w="3860" w:type="dxa"/>
            <w:vAlign w:val="bottom"/>
          </w:tcPr>
          <w:p>
            <w:pPr>
              <w:ind w:left="20"/>
              <w:spacing w:after="0"/>
              <w:rPr>
                <w:sz w:val="20"/>
                <w:szCs w:val="20"/>
                <w:color w:val="auto"/>
              </w:rPr>
            </w:pPr>
            <w:r>
              <w:rPr>
                <w:rFonts w:ascii="Arial" w:cs="Arial" w:eastAsia="Arial" w:hAnsi="Arial"/>
                <w:sz w:val="12"/>
                <w:szCs w:val="12"/>
                <w:color w:val="auto"/>
              </w:rPr>
              <w:t>30-89 days past due</w:t>
            </w:r>
          </w:p>
        </w:tc>
        <w:tc>
          <w:tcPr>
            <w:tcW w:w="7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38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Over 90 days past due</w:t>
            </w:r>
          </w:p>
        </w:tc>
        <w:tc>
          <w:tcPr>
            <w:tcW w:w="70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860" w:type="dxa"/>
            <w:vAlign w:val="bottom"/>
          </w:tcPr>
          <w:p>
            <w:pPr>
              <w:ind w:left="20"/>
              <w:spacing w:after="0"/>
              <w:rPr>
                <w:sz w:val="20"/>
                <w:szCs w:val="20"/>
                <w:color w:val="auto"/>
              </w:rPr>
            </w:pPr>
            <w:r>
              <w:rPr>
                <w:rFonts w:ascii="Arial" w:cs="Arial" w:eastAsia="Arial" w:hAnsi="Arial"/>
                <w:sz w:val="12"/>
                <w:szCs w:val="12"/>
                <w:color w:val="auto"/>
              </w:rPr>
              <w:t>Total commercial mortgages</w:t>
            </w:r>
          </w:p>
        </w:tc>
        <w:tc>
          <w:tcPr>
            <w:tcW w:w="700" w:type="dxa"/>
            <w:vAlign w:val="bottom"/>
            <w:tcBorders>
              <w:bottom w:val="single" w:sz="8" w:color="auto"/>
            </w:tcBorders>
          </w:tcPr>
          <w:p>
            <w:pPr>
              <w:jc w:val="right"/>
              <w:ind w:right="561"/>
              <w:spacing w:after="0"/>
              <w:rPr>
                <w:sz w:val="20"/>
                <w:szCs w:val="20"/>
                <w:color w:val="auto"/>
              </w:rPr>
            </w:pPr>
            <w:r>
              <w:rPr>
                <w:rFonts w:ascii="Arial" w:cs="Arial" w:eastAsia="Arial" w:hAnsi="Arial"/>
                <w:sz w:val="12"/>
                <w:szCs w:val="12"/>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1,111</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543</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420" w:type="dxa"/>
            <w:vAlign w:val="bottom"/>
            <w:tcBorders>
              <w:bottom w:val="single" w:sz="8" w:color="auto"/>
            </w:tcBorders>
          </w:tcPr>
          <w:p>
            <w:pPr>
              <w:jc w:val="right"/>
              <w:ind w:right="261"/>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330</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1,990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8" w:name="page39"/>
    <w:bookmarkEnd w:id="38"/>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Arial" w:cs="Arial" w:eastAsia="Arial" w:hAnsi="Arial"/>
                <w:sz w:val="12"/>
                <w:szCs w:val="12"/>
                <w:b w:val="1"/>
                <w:bCs w:val="1"/>
                <w:color w:val="auto"/>
                <w:w w:val="92"/>
              </w:rPr>
              <w:t>December 31, 2020</w:t>
            </w: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6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Amortized Cost by Origination Year</w:t>
            </w:r>
          </w:p>
        </w:tc>
        <w:tc>
          <w:tcPr>
            <w:tcW w:w="6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rPr>
              <w:t>2020</w:t>
            </w: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2"/>
                <w:szCs w:val="12"/>
                <w:b w:val="1"/>
                <w:bCs w:val="1"/>
                <w:color w:val="auto"/>
              </w:rPr>
              <w:t>2019</w:t>
            </w: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2"/>
                <w:szCs w:val="12"/>
                <w:b w:val="1"/>
                <w:bCs w:val="1"/>
                <w:color w:val="auto"/>
              </w:rPr>
              <w:t>2018</w:t>
            </w: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2"/>
                <w:szCs w:val="12"/>
                <w:b w:val="1"/>
                <w:bCs w:val="1"/>
                <w:color w:val="auto"/>
              </w:rPr>
              <w:t>2017</w:t>
            </w:r>
          </w:p>
        </w:tc>
        <w:tc>
          <w:tcPr>
            <w:tcW w:w="4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41"/>
              <w:spacing w:after="0"/>
              <w:rPr>
                <w:sz w:val="20"/>
                <w:szCs w:val="20"/>
                <w:color w:val="auto"/>
              </w:rPr>
            </w:pPr>
            <w:r>
              <w:rPr>
                <w:rFonts w:ascii="Arial" w:cs="Arial" w:eastAsia="Arial" w:hAnsi="Arial"/>
                <w:sz w:val="12"/>
                <w:szCs w:val="12"/>
                <w:b w:val="1"/>
                <w:bCs w:val="1"/>
                <w:color w:val="auto"/>
                <w:w w:val="82"/>
              </w:rPr>
              <w:t>2016</w:t>
            </w: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b w:val="1"/>
                <w:bCs w:val="1"/>
                <w:color w:val="auto"/>
              </w:rPr>
              <w:t>Prior</w:t>
            </w: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1"/>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36"/>
        </w:trPr>
        <w:tc>
          <w:tcPr>
            <w:tcW w:w="386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b w:val="1"/>
                <w:bCs w:val="1"/>
                <w:color w:val="auto"/>
              </w:rPr>
              <w:t>Residential mortgages</w:t>
            </w: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860" w:type="dxa"/>
            <w:vAlign w:val="bottom"/>
          </w:tcPr>
          <w:p>
            <w:pPr>
              <w:ind w:left="20"/>
              <w:spacing w:after="0"/>
              <w:rPr>
                <w:sz w:val="20"/>
                <w:szCs w:val="20"/>
                <w:color w:val="auto"/>
              </w:rPr>
            </w:pPr>
            <w:r>
              <w:rPr>
                <w:rFonts w:ascii="Arial" w:cs="Arial" w:eastAsia="Arial" w:hAnsi="Arial"/>
                <w:sz w:val="12"/>
                <w:szCs w:val="12"/>
                <w:color w:val="auto"/>
              </w:rPr>
              <w:t>Current (less than 30 days past due)</w:t>
            </w:r>
          </w:p>
        </w:tc>
        <w:tc>
          <w:tcPr>
            <w:tcW w:w="740" w:type="dxa"/>
            <w:vAlign w:val="bottom"/>
          </w:tcPr>
          <w:p>
            <w:pPr>
              <w:jc w:val="right"/>
              <w:ind w:right="601"/>
              <w:spacing w:after="0"/>
              <w:rPr>
                <w:sz w:val="20"/>
                <w:szCs w:val="20"/>
                <w:color w:val="auto"/>
              </w:rPr>
            </w:pPr>
            <w:r>
              <w:rPr>
                <w:rFonts w:ascii="Arial" w:cs="Arial" w:eastAsia="Arial" w:hAnsi="Arial"/>
                <w:sz w:val="12"/>
                <w:szCs w:val="12"/>
                <w:color w:val="auto"/>
                <w:w w:val="89"/>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311</w:t>
            </w:r>
          </w:p>
        </w:tc>
        <w:tc>
          <w:tcPr>
            <w:tcW w:w="26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545</w:t>
            </w:r>
          </w:p>
        </w:tc>
        <w:tc>
          <w:tcPr>
            <w:tcW w:w="26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68</w:t>
            </w:r>
          </w:p>
        </w:tc>
        <w:tc>
          <w:tcPr>
            <w:tcW w:w="26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42</w:t>
            </w:r>
          </w:p>
        </w:tc>
        <w:tc>
          <w:tcPr>
            <w:tcW w:w="420" w:type="dxa"/>
            <w:vAlign w:val="bottom"/>
          </w:tcPr>
          <w:p>
            <w:pPr>
              <w:jc w:val="right"/>
              <w:ind w:right="261"/>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62</w:t>
            </w:r>
          </w:p>
        </w:tc>
        <w:tc>
          <w:tcPr>
            <w:tcW w:w="26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w:t>
            </w:r>
          </w:p>
        </w:tc>
        <w:tc>
          <w:tcPr>
            <w:tcW w:w="26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1,030</w:t>
            </w:r>
          </w:p>
        </w:tc>
        <w:tc>
          <w:tcPr>
            <w:tcW w:w="0" w:type="dxa"/>
            <w:vAlign w:val="bottom"/>
          </w:tcPr>
          <w:p>
            <w:pPr>
              <w:spacing w:after="0"/>
              <w:rPr>
                <w:sz w:val="1"/>
                <w:szCs w:val="1"/>
                <w:color w:val="auto"/>
              </w:rPr>
            </w:pPr>
          </w:p>
        </w:tc>
      </w:tr>
      <w:tr>
        <w:trPr>
          <w:trHeight w:val="157"/>
        </w:trPr>
        <w:tc>
          <w:tcPr>
            <w:tcW w:w="3860" w:type="dxa"/>
            <w:vAlign w:val="bottom"/>
            <w:shd w:val="clear" w:color="auto" w:fill="CCEEFF"/>
          </w:tcPr>
          <w:p>
            <w:pPr>
              <w:ind w:left="20"/>
              <w:spacing w:after="0"/>
              <w:rPr>
                <w:sz w:val="20"/>
                <w:szCs w:val="20"/>
                <w:color w:val="auto"/>
              </w:rPr>
            </w:pPr>
            <w:r>
              <w:rPr>
                <w:rFonts w:ascii="Arial" w:cs="Arial" w:eastAsia="Arial" w:hAnsi="Arial"/>
                <w:sz w:val="12"/>
                <w:szCs w:val="12"/>
                <w:color w:val="auto"/>
              </w:rPr>
              <w:t>30-89 days past due</w:t>
            </w:r>
          </w:p>
        </w:tc>
        <w:tc>
          <w:tcPr>
            <w:tcW w:w="7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52"/>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Over 90 days past due</w:t>
            </w:r>
          </w:p>
        </w:tc>
        <w:tc>
          <w:tcPr>
            <w:tcW w:w="7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103</w:t>
            </w:r>
          </w:p>
        </w:tc>
        <w:tc>
          <w:tcPr>
            <w:tcW w:w="0" w:type="dxa"/>
            <w:vAlign w:val="bottom"/>
          </w:tcPr>
          <w:p>
            <w:pPr>
              <w:spacing w:after="0"/>
              <w:rPr>
                <w:sz w:val="1"/>
                <w:szCs w:val="1"/>
                <w:color w:val="auto"/>
              </w:rPr>
            </w:pPr>
          </w:p>
        </w:tc>
      </w:tr>
      <w:tr>
        <w:trPr>
          <w:trHeight w:val="173"/>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residential mortgages</w:t>
            </w:r>
          </w:p>
        </w:tc>
        <w:tc>
          <w:tcPr>
            <w:tcW w:w="740" w:type="dxa"/>
            <w:vAlign w:val="bottom"/>
            <w:tcBorders>
              <w:bottom w:val="single" w:sz="8" w:color="auto"/>
            </w:tcBorders>
            <w:shd w:val="clear" w:color="auto" w:fill="CCEEFF"/>
          </w:tcPr>
          <w:p>
            <w:pPr>
              <w:jc w:val="right"/>
              <w:ind w:right="601"/>
              <w:spacing w:after="0"/>
              <w:rPr>
                <w:sz w:val="20"/>
                <w:szCs w:val="20"/>
                <w:color w:val="auto"/>
              </w:rPr>
            </w:pPr>
            <w:r>
              <w:rPr>
                <w:rFonts w:ascii="Arial" w:cs="Arial" w:eastAsia="Arial" w:hAnsi="Arial"/>
                <w:sz w:val="12"/>
                <w:szCs w:val="12"/>
                <w:color w:val="auto"/>
                <w:w w:val="8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339</w:t>
            </w: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641</w:t>
            </w: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w:t>
            </w: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42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w:t>
            </w: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1,159</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20"/>
              <w:spacing w:after="0" w:line="135" w:lineRule="exact"/>
              <w:rPr>
                <w:sz w:val="20"/>
                <w:szCs w:val="20"/>
                <w:color w:val="auto"/>
              </w:rPr>
            </w:pPr>
            <w:r>
              <w:rPr>
                <w:rFonts w:ascii="Arial" w:cs="Arial" w:eastAsia="Arial" w:hAnsi="Arial"/>
                <w:sz w:val="12"/>
                <w:szCs w:val="12"/>
                <w:b w:val="1"/>
                <w:bCs w:val="1"/>
                <w:color w:val="auto"/>
              </w:rPr>
              <w:t>Commercial mortgages</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8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38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(less than 30 days past due)</w:t>
            </w:r>
          </w:p>
        </w:tc>
        <w:tc>
          <w:tcPr>
            <w:tcW w:w="740" w:type="dxa"/>
            <w:vAlign w:val="bottom"/>
            <w:shd w:val="clear" w:color="auto" w:fill="CCEEFF"/>
          </w:tcPr>
          <w:p>
            <w:pPr>
              <w:jc w:val="right"/>
              <w:ind w:right="601"/>
              <w:spacing w:after="0"/>
              <w:rPr>
                <w:sz w:val="20"/>
                <w:szCs w:val="20"/>
                <w:color w:val="auto"/>
              </w:rPr>
            </w:pPr>
            <w:r>
              <w:rPr>
                <w:rFonts w:ascii="Arial" w:cs="Arial" w:eastAsia="Arial" w:hAnsi="Arial"/>
                <w:sz w:val="12"/>
                <w:szCs w:val="12"/>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542</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ind w:right="261"/>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346</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905</w:t>
            </w:r>
          </w:p>
        </w:tc>
        <w:tc>
          <w:tcPr>
            <w:tcW w:w="0" w:type="dxa"/>
            <w:vAlign w:val="bottom"/>
          </w:tcPr>
          <w:p>
            <w:pPr>
              <w:spacing w:after="0"/>
              <w:rPr>
                <w:sz w:val="1"/>
                <w:szCs w:val="1"/>
                <w:color w:val="auto"/>
              </w:rPr>
            </w:pPr>
          </w:p>
        </w:tc>
      </w:tr>
      <w:tr>
        <w:trPr>
          <w:trHeight w:val="152"/>
        </w:trPr>
        <w:tc>
          <w:tcPr>
            <w:tcW w:w="3860" w:type="dxa"/>
            <w:vAlign w:val="bottom"/>
          </w:tcPr>
          <w:p>
            <w:pPr>
              <w:ind w:left="20"/>
              <w:spacing w:after="0"/>
              <w:rPr>
                <w:sz w:val="20"/>
                <w:szCs w:val="20"/>
                <w:color w:val="auto"/>
              </w:rPr>
            </w:pPr>
            <w:r>
              <w:rPr>
                <w:rFonts w:ascii="Arial" w:cs="Arial" w:eastAsia="Arial" w:hAnsi="Arial"/>
                <w:sz w:val="12"/>
                <w:szCs w:val="12"/>
                <w:color w:val="auto"/>
              </w:rPr>
              <w:t>30-89 days past due</w:t>
            </w:r>
          </w:p>
        </w:tc>
        <w:tc>
          <w:tcPr>
            <w:tcW w:w="7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38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Over 90 days past due</w:t>
            </w:r>
          </w:p>
        </w:tc>
        <w:tc>
          <w:tcPr>
            <w:tcW w:w="74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860" w:type="dxa"/>
            <w:vAlign w:val="bottom"/>
          </w:tcPr>
          <w:p>
            <w:pPr>
              <w:ind w:left="20"/>
              <w:spacing w:after="0"/>
              <w:rPr>
                <w:sz w:val="20"/>
                <w:szCs w:val="20"/>
                <w:color w:val="auto"/>
              </w:rPr>
            </w:pPr>
            <w:r>
              <w:rPr>
                <w:rFonts w:ascii="Arial" w:cs="Arial" w:eastAsia="Arial" w:hAnsi="Arial"/>
                <w:sz w:val="12"/>
                <w:szCs w:val="12"/>
                <w:color w:val="auto"/>
              </w:rPr>
              <w:t>Total commercial mortgage</w:t>
            </w:r>
          </w:p>
        </w:tc>
        <w:tc>
          <w:tcPr>
            <w:tcW w:w="740" w:type="dxa"/>
            <w:vAlign w:val="bottom"/>
            <w:tcBorders>
              <w:bottom w:val="single" w:sz="8" w:color="auto"/>
            </w:tcBorders>
          </w:tcPr>
          <w:p>
            <w:pPr>
              <w:jc w:val="right"/>
              <w:ind w:right="601"/>
              <w:spacing w:after="0"/>
              <w:rPr>
                <w:sz w:val="20"/>
                <w:szCs w:val="20"/>
                <w:color w:val="auto"/>
              </w:rPr>
            </w:pPr>
            <w:r>
              <w:rPr>
                <w:rFonts w:ascii="Arial" w:cs="Arial" w:eastAsia="Arial" w:hAnsi="Arial"/>
                <w:sz w:val="12"/>
                <w:szCs w:val="12"/>
                <w:color w:val="auto"/>
                <w:w w:val="8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542</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auto"/>
            </w:tcBorders>
          </w:tcPr>
          <w:p>
            <w:pPr>
              <w:jc w:val="right"/>
              <w:ind w:right="261"/>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346</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905</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gridSpan w:val="2"/>
          </w:tcPr>
          <w:p>
            <w:pPr>
              <w:jc w:val="center"/>
              <w:spacing w:after="0"/>
              <w:rPr>
                <w:sz w:val="20"/>
                <w:szCs w:val="20"/>
                <w:color w:val="auto"/>
              </w:rPr>
            </w:pPr>
            <w:r>
              <w:rPr>
                <w:rFonts w:ascii="Arial" w:cs="Arial" w:eastAsia="Arial" w:hAnsi="Arial"/>
                <w:sz w:val="12"/>
                <w:szCs w:val="12"/>
                <w:b w:val="1"/>
                <w:bCs w:val="1"/>
                <w:color w:val="auto"/>
                <w:w w:val="87"/>
              </w:rPr>
              <w:t>September 30, 2021</w:t>
            </w: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0"/>
        </w:trPr>
        <w:tc>
          <w:tcPr>
            <w:tcW w:w="38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4"/>
          </w:tcPr>
          <w:p>
            <w:pPr>
              <w:jc w:val="center"/>
              <w:ind w:left="1"/>
              <w:spacing w:after="0"/>
              <w:rPr>
                <w:sz w:val="20"/>
                <w:szCs w:val="20"/>
                <w:color w:val="auto"/>
              </w:rPr>
            </w:pPr>
            <w:r>
              <w:rPr>
                <w:rFonts w:ascii="Arial" w:cs="Arial" w:eastAsia="Arial" w:hAnsi="Arial"/>
                <w:sz w:val="12"/>
                <w:szCs w:val="12"/>
                <w:b w:val="1"/>
                <w:bCs w:val="1"/>
                <w:color w:val="auto"/>
                <w:w w:val="89"/>
              </w:rPr>
              <w:t>Amortized Cost by Origination Year</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r>
      <w:tr>
        <w:trPr>
          <w:trHeight w:val="149"/>
        </w:trPr>
        <w:tc>
          <w:tcPr>
            <w:tcW w:w="38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2021</w:t>
            </w: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2"/>
                <w:szCs w:val="12"/>
                <w:b w:val="1"/>
                <w:bCs w:val="1"/>
                <w:color w:val="auto"/>
              </w:rPr>
              <w:t>2020</w:t>
            </w: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2019</w:t>
            </w: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61"/>
              <w:spacing w:after="0"/>
              <w:rPr>
                <w:sz w:val="20"/>
                <w:szCs w:val="20"/>
                <w:color w:val="auto"/>
              </w:rPr>
            </w:pPr>
            <w:r>
              <w:rPr>
                <w:rFonts w:ascii="Arial" w:cs="Arial" w:eastAsia="Arial" w:hAnsi="Arial"/>
                <w:sz w:val="12"/>
                <w:szCs w:val="12"/>
                <w:b w:val="1"/>
                <w:bCs w:val="1"/>
                <w:color w:val="auto"/>
                <w:w w:val="82"/>
              </w:rPr>
              <w:t>2018</w:t>
            </w: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b w:val="1"/>
                <w:bCs w:val="1"/>
                <w:color w:val="auto"/>
              </w:rPr>
              <w:t>2017</w:t>
            </w: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Prior</w:t>
            </w: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1"/>
              <w:spacing w:after="0"/>
              <w:rPr>
                <w:sz w:val="20"/>
                <w:szCs w:val="20"/>
                <w:color w:val="auto"/>
              </w:rPr>
            </w:pPr>
            <w:r>
              <w:rPr>
                <w:rFonts w:ascii="Arial" w:cs="Arial" w:eastAsia="Arial" w:hAnsi="Arial"/>
                <w:sz w:val="12"/>
                <w:szCs w:val="12"/>
                <w:b w:val="1"/>
                <w:bCs w:val="1"/>
                <w:color w:val="auto"/>
              </w:rPr>
              <w:t>Total</w:t>
            </w:r>
          </w:p>
        </w:tc>
      </w:tr>
      <w:tr>
        <w:trPr>
          <w:trHeight w:val="136"/>
        </w:trPr>
        <w:tc>
          <w:tcPr>
            <w:tcW w:w="386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b w:val="1"/>
                <w:bCs w:val="1"/>
                <w:color w:val="auto"/>
              </w:rPr>
              <w:t>Commercial mortgages</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52"/>
        </w:trPr>
        <w:tc>
          <w:tcPr>
            <w:tcW w:w="3860" w:type="dxa"/>
            <w:vAlign w:val="bottom"/>
          </w:tcPr>
          <w:p>
            <w:pPr>
              <w:ind w:left="20"/>
              <w:spacing w:after="0"/>
              <w:rPr>
                <w:sz w:val="20"/>
                <w:szCs w:val="20"/>
                <w:color w:val="auto"/>
              </w:rPr>
            </w:pPr>
            <w:r>
              <w:rPr>
                <w:rFonts w:ascii="Arial" w:cs="Arial" w:eastAsia="Arial" w:hAnsi="Arial"/>
                <w:sz w:val="12"/>
                <w:szCs w:val="12"/>
                <w:color w:val="auto"/>
              </w:rPr>
              <w:t>LTV</w:t>
            </w: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7"/>
        </w:trPr>
        <w:tc>
          <w:tcPr>
            <w:tcW w:w="3860" w:type="dxa"/>
            <w:vAlign w:val="bottom"/>
            <w:shd w:val="clear" w:color="auto" w:fill="CCEEFF"/>
          </w:tcPr>
          <w:p>
            <w:pPr>
              <w:ind w:left="20"/>
              <w:spacing w:after="0"/>
              <w:rPr>
                <w:sz w:val="20"/>
                <w:szCs w:val="20"/>
                <w:color w:val="auto"/>
              </w:rPr>
            </w:pPr>
            <w:r>
              <w:rPr>
                <w:rFonts w:ascii="Arial" w:cs="Arial" w:eastAsia="Arial" w:hAnsi="Arial"/>
                <w:sz w:val="12"/>
                <w:szCs w:val="12"/>
                <w:color w:val="auto"/>
              </w:rPr>
              <w:t>Less than 50%</w:t>
            </w:r>
          </w:p>
        </w:tc>
        <w:tc>
          <w:tcPr>
            <w:tcW w:w="700" w:type="dxa"/>
            <w:vAlign w:val="bottom"/>
            <w:shd w:val="clear" w:color="auto" w:fill="CCEEFF"/>
          </w:tcPr>
          <w:p>
            <w:pPr>
              <w:jc w:val="right"/>
              <w:ind w:right="561"/>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229</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2"/>
                <w:szCs w:val="12"/>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780" w:type="dxa"/>
            <w:vAlign w:val="bottom"/>
            <w:shd w:val="clear" w:color="auto" w:fill="CCEEFF"/>
          </w:tcPr>
          <w:p>
            <w:pPr>
              <w:jc w:val="right"/>
              <w:ind w:right="621"/>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 $</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640</w:t>
            </w:r>
          </w:p>
        </w:tc>
      </w:tr>
      <w:tr>
        <w:trPr>
          <w:trHeight w:val="152"/>
        </w:trPr>
        <w:tc>
          <w:tcPr>
            <w:tcW w:w="3860" w:type="dxa"/>
            <w:vAlign w:val="bottom"/>
          </w:tcPr>
          <w:p>
            <w:pPr>
              <w:ind w:left="20"/>
              <w:spacing w:after="0"/>
              <w:rPr>
                <w:sz w:val="20"/>
                <w:szCs w:val="20"/>
                <w:color w:val="auto"/>
              </w:rPr>
            </w:pPr>
            <w:r>
              <w:rPr>
                <w:rFonts w:ascii="Arial" w:cs="Arial" w:eastAsia="Arial" w:hAnsi="Arial"/>
                <w:sz w:val="12"/>
                <w:szCs w:val="12"/>
                <w:color w:val="auto"/>
              </w:rPr>
              <w:t>50% to 60%</w:t>
            </w:r>
          </w:p>
        </w:tc>
        <w:tc>
          <w:tcPr>
            <w:tcW w:w="7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184</w:t>
            </w:r>
          </w:p>
        </w:tc>
        <w:tc>
          <w:tcPr>
            <w:tcW w:w="2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192</w:t>
            </w:r>
          </w:p>
        </w:tc>
        <w:tc>
          <w:tcPr>
            <w:tcW w:w="260" w:type="dxa"/>
            <w:vAlign w:val="bottom"/>
          </w:tcPr>
          <w:p>
            <w:pPr>
              <w:spacing w:after="0"/>
              <w:rPr>
                <w:sz w:val="13"/>
                <w:szCs w:val="13"/>
                <w:color w:val="auto"/>
              </w:rPr>
            </w:pPr>
          </w:p>
        </w:tc>
        <w:tc>
          <w:tcPr>
            <w:tcW w:w="800" w:type="dxa"/>
            <w:vAlign w:val="bottom"/>
          </w:tcPr>
          <w:p>
            <w:pPr>
              <w:ind w:left="660"/>
              <w:spacing w:after="0"/>
              <w:rPr>
                <w:sz w:val="20"/>
                <w:szCs w:val="20"/>
                <w:color w:val="auto"/>
              </w:rPr>
            </w:pPr>
            <w:r>
              <w:rPr>
                <w:rFonts w:ascii="Arial" w:cs="Arial" w:eastAsia="Arial" w:hAnsi="Arial"/>
                <w:sz w:val="12"/>
                <w:szCs w:val="12"/>
                <w:color w:val="auto"/>
                <w:w w:val="99"/>
              </w:rPr>
              <w:t>—</w:t>
            </w:r>
          </w:p>
        </w:tc>
        <w:tc>
          <w:tcPr>
            <w:tcW w:w="2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280" w:type="dxa"/>
            <w:vAlign w:val="bottom"/>
          </w:tcPr>
          <w:p>
            <w:pPr>
              <w:ind w:left="140"/>
              <w:spacing w:after="0"/>
              <w:rPr>
                <w:sz w:val="20"/>
                <w:szCs w:val="20"/>
                <w:color w:val="auto"/>
              </w:rPr>
            </w:pPr>
            <w:r>
              <w:rPr>
                <w:rFonts w:ascii="Arial" w:cs="Arial" w:eastAsia="Arial" w:hAnsi="Arial"/>
                <w:sz w:val="12"/>
                <w:szCs w:val="12"/>
                <w:color w:val="auto"/>
                <w:w w:val="99"/>
              </w:rPr>
              <w:t>—</w:t>
            </w:r>
          </w:p>
        </w:tc>
        <w:tc>
          <w:tcPr>
            <w:tcW w:w="7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10</w:t>
            </w:r>
          </w:p>
        </w:tc>
        <w:tc>
          <w:tcPr>
            <w:tcW w:w="26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386</w:t>
            </w:r>
          </w:p>
        </w:tc>
      </w:tr>
      <w:tr>
        <w:trPr>
          <w:trHeight w:val="155"/>
        </w:trPr>
        <w:tc>
          <w:tcPr>
            <w:tcW w:w="3860" w:type="dxa"/>
            <w:vAlign w:val="bottom"/>
            <w:shd w:val="clear" w:color="auto" w:fill="CCEEFF"/>
          </w:tcPr>
          <w:p>
            <w:pPr>
              <w:ind w:left="20"/>
              <w:spacing w:after="0"/>
              <w:rPr>
                <w:sz w:val="20"/>
                <w:szCs w:val="20"/>
                <w:color w:val="auto"/>
              </w:rPr>
            </w:pPr>
            <w:r>
              <w:rPr>
                <w:rFonts w:ascii="Arial" w:cs="Arial" w:eastAsia="Arial" w:hAnsi="Arial"/>
                <w:sz w:val="12"/>
                <w:szCs w:val="12"/>
                <w:color w:val="auto"/>
              </w:rPr>
              <w:t>60% to 75%</w:t>
            </w:r>
          </w:p>
        </w:tc>
        <w:tc>
          <w:tcPr>
            <w:tcW w:w="70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842</w:t>
            </w: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w:t>
            </w: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2"/>
                <w:szCs w:val="12"/>
                <w:color w:val="auto"/>
                <w:w w:val="99"/>
              </w:rPr>
              <w:t>—</w:t>
            </w: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2"/>
                <w:szCs w:val="12"/>
                <w:color w:val="auto"/>
                <w:w w:val="99"/>
              </w:rPr>
              <w:t>—</w:t>
            </w:r>
          </w:p>
        </w:tc>
        <w:tc>
          <w:tcPr>
            <w:tcW w:w="76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964</w:t>
            </w:r>
          </w:p>
        </w:tc>
      </w:tr>
      <w:tr>
        <w:trPr>
          <w:trHeight w:val="148"/>
        </w:trPr>
        <w:tc>
          <w:tcPr>
            <w:tcW w:w="3860" w:type="dxa"/>
            <w:vAlign w:val="bottom"/>
          </w:tcPr>
          <w:p>
            <w:pPr>
              <w:ind w:left="20"/>
              <w:spacing w:after="0"/>
              <w:rPr>
                <w:sz w:val="20"/>
                <w:szCs w:val="20"/>
                <w:color w:val="auto"/>
              </w:rPr>
            </w:pPr>
            <w:r>
              <w:rPr>
                <w:rFonts w:ascii="Arial" w:cs="Arial" w:eastAsia="Arial" w:hAnsi="Arial"/>
                <w:sz w:val="12"/>
                <w:szCs w:val="12"/>
                <w:color w:val="auto"/>
              </w:rPr>
              <w:t>Total commercial mortgages</w:t>
            </w:r>
          </w:p>
        </w:tc>
        <w:tc>
          <w:tcPr>
            <w:tcW w:w="700" w:type="dxa"/>
            <w:vAlign w:val="bottom"/>
            <w:tcBorders>
              <w:bottom w:val="single" w:sz="8" w:color="auto"/>
            </w:tcBorders>
          </w:tcPr>
          <w:p>
            <w:pPr>
              <w:jc w:val="right"/>
              <w:ind w:right="561"/>
              <w:spacing w:after="0"/>
              <w:rPr>
                <w:sz w:val="20"/>
                <w:szCs w:val="20"/>
                <w:color w:val="auto"/>
              </w:rPr>
            </w:pPr>
            <w:r>
              <w:rPr>
                <w:rFonts w:ascii="Arial" w:cs="Arial" w:eastAsia="Arial" w:hAnsi="Arial"/>
                <w:sz w:val="12"/>
                <w:szCs w:val="12"/>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1,111</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543</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ind w:left="660"/>
              <w:spacing w:after="0"/>
              <w:rPr>
                <w:sz w:val="20"/>
                <w:szCs w:val="20"/>
                <w:color w:val="auto"/>
              </w:rPr>
            </w:pPr>
            <w:r>
              <w:rPr>
                <w:rFonts w:ascii="Arial" w:cs="Arial" w:eastAsia="Arial" w:hAnsi="Arial"/>
                <w:sz w:val="12"/>
                <w:szCs w:val="12"/>
                <w:color w:val="auto"/>
                <w:w w:val="99"/>
              </w:rPr>
              <w:t>—</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780" w:type="dxa"/>
            <w:vAlign w:val="bottom"/>
            <w:tcBorders>
              <w:bottom w:val="single" w:sz="8" w:color="auto"/>
            </w:tcBorders>
          </w:tcPr>
          <w:p>
            <w:pPr>
              <w:jc w:val="right"/>
              <w:ind w:right="621"/>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w w:val="99"/>
              </w:rPr>
              <w:t>—</w:t>
            </w:r>
          </w:p>
        </w:tc>
        <w:tc>
          <w:tcPr>
            <w:tcW w:w="760" w:type="dxa"/>
            <w:vAlign w:val="bottom"/>
            <w:tcBorders>
              <w:bottom w:val="single" w:sz="8" w:color="auto"/>
            </w:tcBorders>
          </w:tcPr>
          <w:p>
            <w:pPr>
              <w:jc w:val="right"/>
              <w:ind w:right="601"/>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330</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1,990</w:t>
            </w: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17"/>
        </w:trPr>
        <w:tc>
          <w:tcPr>
            <w:tcW w:w="3860" w:type="dxa"/>
            <w:vAlign w:val="bottom"/>
            <w:shd w:val="clear" w:color="auto" w:fill="CCEEFF"/>
          </w:tcPr>
          <w:p>
            <w:pPr>
              <w:ind w:left="20"/>
              <w:spacing w:after="0" w:line="117" w:lineRule="exact"/>
              <w:rPr>
                <w:sz w:val="20"/>
                <w:szCs w:val="20"/>
                <w:color w:val="auto"/>
              </w:rPr>
            </w:pPr>
            <w:r>
              <w:rPr>
                <w:rFonts w:ascii="Arial" w:cs="Arial" w:eastAsia="Arial" w:hAnsi="Arial"/>
                <w:sz w:val="12"/>
                <w:szCs w:val="12"/>
                <w:b w:val="1"/>
                <w:bCs w:val="1"/>
                <w:color w:val="auto"/>
              </w:rPr>
              <w:t>Commercial mortgages</w:t>
            </w: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r>
      <w:tr>
        <w:trPr>
          <w:trHeight w:val="152"/>
        </w:trPr>
        <w:tc>
          <w:tcPr>
            <w:tcW w:w="3860" w:type="dxa"/>
            <w:vAlign w:val="bottom"/>
          </w:tcPr>
          <w:p>
            <w:pPr>
              <w:ind w:left="20"/>
              <w:spacing w:after="0"/>
              <w:rPr>
                <w:sz w:val="20"/>
                <w:szCs w:val="20"/>
                <w:color w:val="auto"/>
              </w:rPr>
            </w:pPr>
            <w:r>
              <w:rPr>
                <w:rFonts w:ascii="Arial" w:cs="Arial" w:eastAsia="Arial" w:hAnsi="Arial"/>
                <w:sz w:val="12"/>
                <w:szCs w:val="12"/>
                <w:color w:val="auto"/>
              </w:rPr>
              <w:t>DSCR</w:t>
            </w: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7"/>
        </w:trPr>
        <w:tc>
          <w:tcPr>
            <w:tcW w:w="3860" w:type="dxa"/>
            <w:vAlign w:val="bottom"/>
            <w:shd w:val="clear" w:color="auto" w:fill="CCEEFF"/>
          </w:tcPr>
          <w:p>
            <w:pPr>
              <w:ind w:left="20"/>
              <w:spacing w:after="0"/>
              <w:rPr>
                <w:sz w:val="20"/>
                <w:szCs w:val="20"/>
                <w:color w:val="auto"/>
              </w:rPr>
            </w:pPr>
            <w:r>
              <w:rPr>
                <w:rFonts w:ascii="Arial" w:cs="Arial" w:eastAsia="Arial" w:hAnsi="Arial"/>
                <w:sz w:val="12"/>
                <w:szCs w:val="12"/>
                <w:color w:val="auto"/>
              </w:rPr>
              <w:t>Greater than 1.25x</w:t>
            </w:r>
          </w:p>
        </w:tc>
        <w:tc>
          <w:tcPr>
            <w:tcW w:w="700" w:type="dxa"/>
            <w:vAlign w:val="bottom"/>
            <w:shd w:val="clear" w:color="auto" w:fill="CCEEFF"/>
          </w:tcPr>
          <w:p>
            <w:pPr>
              <w:jc w:val="right"/>
              <w:ind w:right="561"/>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1,079</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417</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ind w:left="660"/>
              <w:spacing w:after="0"/>
              <w:rPr>
                <w:sz w:val="20"/>
                <w:szCs w:val="20"/>
                <w:color w:val="auto"/>
              </w:rPr>
            </w:pPr>
            <w:r>
              <w:rPr>
                <w:rFonts w:ascii="Arial" w:cs="Arial" w:eastAsia="Arial" w:hAnsi="Arial"/>
                <w:sz w:val="12"/>
                <w:szCs w:val="12"/>
                <w:color w:val="auto"/>
                <w:w w:val="99"/>
              </w:rPr>
              <w:t>—</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780" w:type="dxa"/>
            <w:vAlign w:val="bottom"/>
            <w:shd w:val="clear" w:color="auto" w:fill="CCEEFF"/>
          </w:tcPr>
          <w:p>
            <w:pPr>
              <w:jc w:val="right"/>
              <w:ind w:right="621"/>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ind w:left="140"/>
              <w:spacing w:after="0"/>
              <w:rPr>
                <w:sz w:val="20"/>
                <w:szCs w:val="20"/>
                <w:color w:val="auto"/>
              </w:rPr>
            </w:pPr>
            <w:r>
              <w:rPr>
                <w:rFonts w:ascii="Arial" w:cs="Arial" w:eastAsia="Arial" w:hAnsi="Arial"/>
                <w:sz w:val="12"/>
                <w:szCs w:val="12"/>
                <w:color w:val="auto"/>
                <w:w w:val="99"/>
              </w:rPr>
              <w:t>—</w:t>
            </w:r>
          </w:p>
        </w:tc>
        <w:tc>
          <w:tcPr>
            <w:tcW w:w="760" w:type="dxa"/>
            <w:vAlign w:val="bottom"/>
            <w:shd w:val="clear" w:color="auto" w:fill="CCEEFF"/>
          </w:tcPr>
          <w:p>
            <w:pPr>
              <w:jc w:val="right"/>
              <w:ind w:right="601"/>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1,790</w:t>
            </w:r>
          </w:p>
        </w:tc>
      </w:tr>
      <w:tr>
        <w:trPr>
          <w:trHeight w:val="152"/>
        </w:trPr>
        <w:tc>
          <w:tcPr>
            <w:tcW w:w="3860" w:type="dxa"/>
            <w:vAlign w:val="bottom"/>
          </w:tcPr>
          <w:p>
            <w:pPr>
              <w:ind w:left="20"/>
              <w:spacing w:after="0"/>
              <w:rPr>
                <w:sz w:val="20"/>
                <w:szCs w:val="20"/>
                <w:color w:val="auto"/>
              </w:rPr>
            </w:pPr>
            <w:r>
              <w:rPr>
                <w:rFonts w:ascii="Arial" w:cs="Arial" w:eastAsia="Arial" w:hAnsi="Arial"/>
                <w:sz w:val="12"/>
                <w:szCs w:val="12"/>
                <w:color w:val="auto"/>
              </w:rPr>
              <w:t>1.00x - 1.25x</w:t>
            </w:r>
          </w:p>
        </w:tc>
        <w:tc>
          <w:tcPr>
            <w:tcW w:w="7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00" w:type="dxa"/>
            <w:vAlign w:val="bottom"/>
          </w:tcPr>
          <w:p>
            <w:pPr>
              <w:ind w:left="660"/>
              <w:spacing w:after="0"/>
              <w:rPr>
                <w:sz w:val="20"/>
                <w:szCs w:val="20"/>
                <w:color w:val="auto"/>
              </w:rPr>
            </w:pPr>
            <w:r>
              <w:rPr>
                <w:rFonts w:ascii="Arial" w:cs="Arial" w:eastAsia="Arial" w:hAnsi="Arial"/>
                <w:sz w:val="12"/>
                <w:szCs w:val="12"/>
                <w:color w:val="auto"/>
                <w:w w:val="99"/>
              </w:rPr>
              <w:t>—</w:t>
            </w:r>
          </w:p>
        </w:tc>
        <w:tc>
          <w:tcPr>
            <w:tcW w:w="2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w:t>
            </w:r>
          </w:p>
        </w:tc>
        <w:tc>
          <w:tcPr>
            <w:tcW w:w="780" w:type="dxa"/>
            <w:vAlign w:val="bottom"/>
          </w:tcPr>
          <w:p>
            <w:pPr>
              <w:spacing w:after="0"/>
              <w:rPr>
                <w:sz w:val="13"/>
                <w:szCs w:val="13"/>
                <w:color w:val="auto"/>
              </w:rPr>
            </w:pPr>
          </w:p>
        </w:tc>
        <w:tc>
          <w:tcPr>
            <w:tcW w:w="280" w:type="dxa"/>
            <w:vAlign w:val="bottom"/>
          </w:tcPr>
          <w:p>
            <w:pPr>
              <w:ind w:left="140"/>
              <w:spacing w:after="0"/>
              <w:rPr>
                <w:sz w:val="20"/>
                <w:szCs w:val="20"/>
                <w:color w:val="auto"/>
              </w:rPr>
            </w:pPr>
            <w:r>
              <w:rPr>
                <w:rFonts w:ascii="Arial" w:cs="Arial" w:eastAsia="Arial" w:hAnsi="Arial"/>
                <w:sz w:val="12"/>
                <w:szCs w:val="12"/>
                <w:color w:val="auto"/>
                <w:w w:val="99"/>
              </w:rPr>
              <w:t>—</w:t>
            </w:r>
          </w:p>
        </w:tc>
        <w:tc>
          <w:tcPr>
            <w:tcW w:w="7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31</w:t>
            </w:r>
          </w:p>
        </w:tc>
        <w:tc>
          <w:tcPr>
            <w:tcW w:w="26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33</w:t>
            </w:r>
          </w:p>
        </w:tc>
      </w:tr>
      <w:tr>
        <w:trPr>
          <w:trHeight w:val="155"/>
        </w:trPr>
        <w:tc>
          <w:tcPr>
            <w:tcW w:w="3860" w:type="dxa"/>
            <w:vAlign w:val="bottom"/>
            <w:shd w:val="clear" w:color="auto" w:fill="CCEEFF"/>
          </w:tcPr>
          <w:p>
            <w:pPr>
              <w:ind w:left="20"/>
              <w:spacing w:after="0"/>
              <w:rPr>
                <w:sz w:val="20"/>
                <w:szCs w:val="20"/>
                <w:color w:val="auto"/>
              </w:rPr>
            </w:pPr>
            <w:r>
              <w:rPr>
                <w:rFonts w:ascii="Arial" w:cs="Arial" w:eastAsia="Arial" w:hAnsi="Arial"/>
                <w:sz w:val="12"/>
                <w:szCs w:val="12"/>
                <w:color w:val="auto"/>
              </w:rPr>
              <w:t>Less than 1.00x</w:t>
            </w:r>
          </w:p>
        </w:tc>
        <w:tc>
          <w:tcPr>
            <w:tcW w:w="70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126</w:t>
            </w: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2"/>
                <w:szCs w:val="12"/>
                <w:color w:val="auto"/>
                <w:w w:val="99"/>
              </w:rPr>
              <w:t>—</w:t>
            </w: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2"/>
                <w:szCs w:val="12"/>
                <w:color w:val="auto"/>
                <w:w w:val="99"/>
              </w:rPr>
              <w:t>—</w:t>
            </w:r>
          </w:p>
        </w:tc>
        <w:tc>
          <w:tcPr>
            <w:tcW w:w="76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2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167</w:t>
            </w:r>
          </w:p>
        </w:tc>
      </w:tr>
      <w:tr>
        <w:trPr>
          <w:trHeight w:val="148"/>
        </w:trPr>
        <w:tc>
          <w:tcPr>
            <w:tcW w:w="3860" w:type="dxa"/>
            <w:vAlign w:val="bottom"/>
          </w:tcPr>
          <w:p>
            <w:pPr>
              <w:ind w:left="20"/>
              <w:spacing w:after="0"/>
              <w:rPr>
                <w:sz w:val="20"/>
                <w:szCs w:val="20"/>
                <w:color w:val="auto"/>
              </w:rPr>
            </w:pPr>
            <w:r>
              <w:rPr>
                <w:rFonts w:ascii="Arial" w:cs="Arial" w:eastAsia="Arial" w:hAnsi="Arial"/>
                <w:sz w:val="12"/>
                <w:szCs w:val="12"/>
                <w:color w:val="auto"/>
              </w:rPr>
              <w:t>Total commercial mortgages</w:t>
            </w:r>
          </w:p>
        </w:tc>
        <w:tc>
          <w:tcPr>
            <w:tcW w:w="700" w:type="dxa"/>
            <w:vAlign w:val="bottom"/>
            <w:tcBorders>
              <w:bottom w:val="single" w:sz="8" w:color="auto"/>
            </w:tcBorders>
          </w:tcPr>
          <w:p>
            <w:pPr>
              <w:jc w:val="right"/>
              <w:ind w:right="561"/>
              <w:spacing w:after="0"/>
              <w:rPr>
                <w:sz w:val="20"/>
                <w:szCs w:val="20"/>
                <w:color w:val="auto"/>
              </w:rPr>
            </w:pPr>
            <w:r>
              <w:rPr>
                <w:rFonts w:ascii="Arial" w:cs="Arial" w:eastAsia="Arial" w:hAnsi="Arial"/>
                <w:sz w:val="12"/>
                <w:szCs w:val="12"/>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1,111</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543</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ind w:left="660"/>
              <w:spacing w:after="0"/>
              <w:rPr>
                <w:sz w:val="20"/>
                <w:szCs w:val="20"/>
                <w:color w:val="auto"/>
              </w:rPr>
            </w:pPr>
            <w:r>
              <w:rPr>
                <w:rFonts w:ascii="Arial" w:cs="Arial" w:eastAsia="Arial" w:hAnsi="Arial"/>
                <w:sz w:val="12"/>
                <w:szCs w:val="12"/>
                <w:color w:val="auto"/>
                <w:w w:val="99"/>
              </w:rPr>
              <w:t>—</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780" w:type="dxa"/>
            <w:vAlign w:val="bottom"/>
            <w:tcBorders>
              <w:bottom w:val="single" w:sz="8" w:color="auto"/>
            </w:tcBorders>
          </w:tcPr>
          <w:p>
            <w:pPr>
              <w:jc w:val="right"/>
              <w:ind w:right="621"/>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w w:val="99"/>
              </w:rPr>
              <w:t>—</w:t>
            </w:r>
          </w:p>
        </w:tc>
        <w:tc>
          <w:tcPr>
            <w:tcW w:w="760" w:type="dxa"/>
            <w:vAlign w:val="bottom"/>
            <w:tcBorders>
              <w:bottom w:val="single" w:sz="8" w:color="auto"/>
            </w:tcBorders>
          </w:tcPr>
          <w:p>
            <w:pPr>
              <w:jc w:val="right"/>
              <w:ind w:right="601"/>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330</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1,990</w:t>
            </w:r>
          </w:p>
        </w:tc>
      </w:tr>
      <w:tr>
        <w:trPr>
          <w:trHeight w:val="20"/>
        </w:trPr>
        <w:tc>
          <w:tcPr>
            <w:tcW w:w="38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gridSpan w:val="2"/>
          </w:tcPr>
          <w:p>
            <w:pPr>
              <w:jc w:val="center"/>
              <w:spacing w:after="0"/>
              <w:rPr>
                <w:sz w:val="20"/>
                <w:szCs w:val="20"/>
                <w:color w:val="auto"/>
              </w:rPr>
            </w:pPr>
            <w:r>
              <w:rPr>
                <w:rFonts w:ascii="Arial" w:cs="Arial" w:eastAsia="Arial" w:hAnsi="Arial"/>
                <w:sz w:val="12"/>
                <w:szCs w:val="12"/>
                <w:b w:val="1"/>
                <w:bCs w:val="1"/>
                <w:color w:val="auto"/>
                <w:w w:val="86"/>
              </w:rPr>
              <w:t>December 31, 2020</w:t>
            </w: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0"/>
        </w:trPr>
        <w:tc>
          <w:tcPr>
            <w:tcW w:w="386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4"/>
          </w:tcPr>
          <w:p>
            <w:pPr>
              <w:jc w:val="center"/>
              <w:ind w:left="1"/>
              <w:spacing w:after="0"/>
              <w:rPr>
                <w:sz w:val="20"/>
                <w:szCs w:val="20"/>
                <w:color w:val="auto"/>
              </w:rPr>
            </w:pPr>
            <w:r>
              <w:rPr>
                <w:rFonts w:ascii="Arial" w:cs="Arial" w:eastAsia="Arial" w:hAnsi="Arial"/>
                <w:sz w:val="12"/>
                <w:szCs w:val="12"/>
                <w:b w:val="1"/>
                <w:bCs w:val="1"/>
                <w:color w:val="auto"/>
                <w:w w:val="89"/>
              </w:rPr>
              <w:t>Amortized Cost by Origination Year</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r>
      <w:tr>
        <w:trPr>
          <w:trHeight w:val="149"/>
        </w:trPr>
        <w:tc>
          <w:tcPr>
            <w:tcW w:w="38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rPr>
              <w:t>2020</w:t>
            </w: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2019</w:t>
            </w: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2"/>
                <w:szCs w:val="12"/>
                <w:b w:val="1"/>
                <w:bCs w:val="1"/>
                <w:color w:val="auto"/>
              </w:rPr>
              <w:t>2018</w:t>
            </w:r>
          </w:p>
        </w:tc>
        <w:tc>
          <w:tcPr>
            <w:tcW w:w="780" w:type="dxa"/>
            <w:vAlign w:val="bottom"/>
            <w:tcBorders>
              <w:bottom w:val="single" w:sz="8" w:color="auto"/>
            </w:tcBorders>
          </w:tcPr>
          <w:p>
            <w:pPr>
              <w:jc w:val="center"/>
              <w:ind w:left="261"/>
              <w:spacing w:after="0"/>
              <w:rPr>
                <w:sz w:val="20"/>
                <w:szCs w:val="20"/>
                <w:color w:val="auto"/>
              </w:rPr>
            </w:pPr>
            <w:r>
              <w:rPr>
                <w:rFonts w:ascii="Arial" w:cs="Arial" w:eastAsia="Arial" w:hAnsi="Arial"/>
                <w:sz w:val="12"/>
                <w:szCs w:val="12"/>
                <w:b w:val="1"/>
                <w:bCs w:val="1"/>
                <w:color w:val="auto"/>
                <w:w w:val="82"/>
              </w:rPr>
              <w:t>2017</w:t>
            </w: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b w:val="1"/>
                <w:bCs w:val="1"/>
                <w:color w:val="auto"/>
              </w:rPr>
              <w:t>2016</w:t>
            </w: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Prior</w:t>
            </w: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1"/>
              <w:spacing w:after="0"/>
              <w:rPr>
                <w:sz w:val="20"/>
                <w:szCs w:val="20"/>
                <w:color w:val="auto"/>
              </w:rPr>
            </w:pPr>
            <w:r>
              <w:rPr>
                <w:rFonts w:ascii="Arial" w:cs="Arial" w:eastAsia="Arial" w:hAnsi="Arial"/>
                <w:sz w:val="12"/>
                <w:szCs w:val="12"/>
                <w:b w:val="1"/>
                <w:bCs w:val="1"/>
                <w:color w:val="auto"/>
              </w:rPr>
              <w:t>Total</w:t>
            </w:r>
          </w:p>
        </w:tc>
      </w:tr>
      <w:tr>
        <w:trPr>
          <w:trHeight w:val="136"/>
        </w:trPr>
        <w:tc>
          <w:tcPr>
            <w:tcW w:w="386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b w:val="1"/>
                <w:bCs w:val="1"/>
                <w:color w:val="auto"/>
              </w:rPr>
              <w:t>Commercial mortgages</w:t>
            </w: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52"/>
        </w:trPr>
        <w:tc>
          <w:tcPr>
            <w:tcW w:w="3860" w:type="dxa"/>
            <w:vAlign w:val="bottom"/>
          </w:tcPr>
          <w:p>
            <w:pPr>
              <w:ind w:left="20"/>
              <w:spacing w:after="0"/>
              <w:rPr>
                <w:sz w:val="20"/>
                <w:szCs w:val="20"/>
                <w:color w:val="auto"/>
              </w:rPr>
            </w:pPr>
            <w:r>
              <w:rPr>
                <w:rFonts w:ascii="Arial" w:cs="Arial" w:eastAsia="Arial" w:hAnsi="Arial"/>
                <w:sz w:val="12"/>
                <w:szCs w:val="12"/>
                <w:color w:val="auto"/>
              </w:rPr>
              <w:t>LTV</w:t>
            </w: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7"/>
        </w:trPr>
        <w:tc>
          <w:tcPr>
            <w:tcW w:w="3860" w:type="dxa"/>
            <w:vAlign w:val="bottom"/>
            <w:shd w:val="clear" w:color="auto" w:fill="CCEEFF"/>
          </w:tcPr>
          <w:p>
            <w:pPr>
              <w:ind w:left="20"/>
              <w:spacing w:after="0"/>
              <w:rPr>
                <w:sz w:val="20"/>
                <w:szCs w:val="20"/>
                <w:color w:val="auto"/>
              </w:rPr>
            </w:pPr>
            <w:r>
              <w:rPr>
                <w:rFonts w:ascii="Arial" w:cs="Arial" w:eastAsia="Arial" w:hAnsi="Arial"/>
                <w:sz w:val="12"/>
                <w:szCs w:val="12"/>
                <w:color w:val="auto"/>
              </w:rPr>
              <w:t>Less than 50%</w:t>
            </w:r>
          </w:p>
        </w:tc>
        <w:tc>
          <w:tcPr>
            <w:tcW w:w="740" w:type="dxa"/>
            <w:vAlign w:val="bottom"/>
            <w:shd w:val="clear" w:color="auto" w:fill="CCEEFF"/>
          </w:tcPr>
          <w:p>
            <w:pPr>
              <w:jc w:val="right"/>
              <w:ind w:right="601"/>
              <w:spacing w:after="0"/>
              <w:rPr>
                <w:sz w:val="20"/>
                <w:szCs w:val="20"/>
                <w:color w:val="auto"/>
              </w:rPr>
            </w:pPr>
            <w:r>
              <w:rPr>
                <w:rFonts w:ascii="Arial" w:cs="Arial" w:eastAsia="Arial" w:hAnsi="Arial"/>
                <w:sz w:val="12"/>
                <w:szCs w:val="12"/>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2"/>
                <w:szCs w:val="12"/>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780" w:type="dxa"/>
            <w:vAlign w:val="bottom"/>
            <w:shd w:val="clear" w:color="auto" w:fill="CCEEFF"/>
          </w:tcPr>
          <w:p>
            <w:pPr>
              <w:jc w:val="right"/>
              <w:ind w:right="621"/>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 $</w:t>
            </w:r>
          </w:p>
        </w:tc>
        <w:tc>
          <w:tcPr>
            <w:tcW w:w="104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 $</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303</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537</w:t>
            </w:r>
          </w:p>
        </w:tc>
      </w:tr>
      <w:tr>
        <w:trPr>
          <w:trHeight w:val="152"/>
        </w:trPr>
        <w:tc>
          <w:tcPr>
            <w:tcW w:w="3860" w:type="dxa"/>
            <w:vAlign w:val="bottom"/>
          </w:tcPr>
          <w:p>
            <w:pPr>
              <w:ind w:left="20"/>
              <w:spacing w:after="0"/>
              <w:rPr>
                <w:sz w:val="20"/>
                <w:szCs w:val="20"/>
                <w:color w:val="auto"/>
              </w:rPr>
            </w:pPr>
            <w:r>
              <w:rPr>
                <w:rFonts w:ascii="Arial" w:cs="Arial" w:eastAsia="Arial" w:hAnsi="Arial"/>
                <w:sz w:val="12"/>
                <w:szCs w:val="12"/>
                <w:color w:val="auto"/>
              </w:rPr>
              <w:t>50% to 60%</w:t>
            </w:r>
          </w:p>
        </w:tc>
        <w:tc>
          <w:tcPr>
            <w:tcW w:w="7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192</w:t>
            </w:r>
          </w:p>
        </w:tc>
        <w:tc>
          <w:tcPr>
            <w:tcW w:w="260" w:type="dxa"/>
            <w:vAlign w:val="bottom"/>
          </w:tcPr>
          <w:p>
            <w:pPr>
              <w:spacing w:after="0"/>
              <w:rPr>
                <w:sz w:val="13"/>
                <w:szCs w:val="13"/>
                <w:color w:val="auto"/>
              </w:rPr>
            </w:pPr>
          </w:p>
        </w:tc>
        <w:tc>
          <w:tcPr>
            <w:tcW w:w="800" w:type="dxa"/>
            <w:vAlign w:val="bottom"/>
          </w:tcPr>
          <w:p>
            <w:pPr>
              <w:ind w:left="660"/>
              <w:spacing w:after="0"/>
              <w:rPr>
                <w:sz w:val="20"/>
                <w:szCs w:val="20"/>
                <w:color w:val="auto"/>
              </w:rPr>
            </w:pPr>
            <w:r>
              <w:rPr>
                <w:rFonts w:ascii="Arial" w:cs="Arial" w:eastAsia="Arial" w:hAnsi="Arial"/>
                <w:sz w:val="12"/>
                <w:szCs w:val="12"/>
                <w:color w:val="auto"/>
                <w:w w:val="99"/>
              </w:rPr>
              <w:t>—</w:t>
            </w:r>
          </w:p>
        </w:tc>
        <w:tc>
          <w:tcPr>
            <w:tcW w:w="2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280" w:type="dxa"/>
            <w:vAlign w:val="bottom"/>
          </w:tcPr>
          <w:p>
            <w:pPr>
              <w:ind w:left="140"/>
              <w:spacing w:after="0"/>
              <w:rPr>
                <w:sz w:val="20"/>
                <w:szCs w:val="20"/>
                <w:color w:val="auto"/>
              </w:rPr>
            </w:pPr>
            <w:r>
              <w:rPr>
                <w:rFonts w:ascii="Arial" w:cs="Arial" w:eastAsia="Arial" w:hAnsi="Arial"/>
                <w:sz w:val="12"/>
                <w:szCs w:val="12"/>
                <w:color w:val="auto"/>
                <w:w w:val="99"/>
              </w:rPr>
              <w:t>—</w:t>
            </w:r>
          </w:p>
        </w:tc>
        <w:tc>
          <w:tcPr>
            <w:tcW w:w="780" w:type="dxa"/>
            <w:vAlign w:val="bottom"/>
          </w:tcPr>
          <w:p>
            <w:pPr>
              <w:spacing w:after="0"/>
              <w:rPr>
                <w:sz w:val="13"/>
                <w:szCs w:val="13"/>
                <w:color w:val="auto"/>
              </w:rPr>
            </w:pPr>
          </w:p>
        </w:tc>
        <w:tc>
          <w:tcPr>
            <w:tcW w:w="280" w:type="dxa"/>
            <w:vAlign w:val="bottom"/>
          </w:tcPr>
          <w:p>
            <w:pPr>
              <w:ind w:left="140"/>
              <w:spacing w:after="0"/>
              <w:rPr>
                <w:sz w:val="20"/>
                <w:szCs w:val="20"/>
                <w:color w:val="auto"/>
              </w:rPr>
            </w:pPr>
            <w:r>
              <w:rPr>
                <w:rFonts w:ascii="Arial" w:cs="Arial" w:eastAsia="Arial" w:hAnsi="Arial"/>
                <w:sz w:val="12"/>
                <w:szCs w:val="12"/>
                <w:color w:val="auto"/>
                <w:w w:val="89"/>
              </w:rPr>
              <w:t>11</w:t>
            </w:r>
          </w:p>
        </w:tc>
        <w:tc>
          <w:tcPr>
            <w:tcW w:w="7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43</w:t>
            </w:r>
          </w:p>
        </w:tc>
        <w:tc>
          <w:tcPr>
            <w:tcW w:w="26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246</w:t>
            </w:r>
          </w:p>
        </w:tc>
      </w:tr>
      <w:tr>
        <w:trPr>
          <w:trHeight w:val="155"/>
        </w:trPr>
        <w:tc>
          <w:tcPr>
            <w:tcW w:w="3860" w:type="dxa"/>
            <w:vAlign w:val="bottom"/>
            <w:shd w:val="clear" w:color="auto" w:fill="CCEEFF"/>
          </w:tcPr>
          <w:p>
            <w:pPr>
              <w:ind w:left="20"/>
              <w:spacing w:after="0"/>
              <w:rPr>
                <w:sz w:val="20"/>
                <w:szCs w:val="20"/>
                <w:color w:val="auto"/>
              </w:rPr>
            </w:pPr>
            <w:r>
              <w:rPr>
                <w:rFonts w:ascii="Arial" w:cs="Arial" w:eastAsia="Arial" w:hAnsi="Arial"/>
                <w:sz w:val="12"/>
                <w:szCs w:val="12"/>
                <w:color w:val="auto"/>
              </w:rPr>
              <w:t>60% to 75%</w:t>
            </w:r>
          </w:p>
        </w:tc>
        <w:tc>
          <w:tcPr>
            <w:tcW w:w="74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w:t>
            </w: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2"/>
                <w:szCs w:val="12"/>
                <w:color w:val="auto"/>
                <w:w w:val="99"/>
              </w:rPr>
              <w:t>—</w:t>
            </w: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2"/>
                <w:szCs w:val="12"/>
                <w:color w:val="auto"/>
                <w:w w:val="99"/>
              </w:rPr>
              <w:t>—</w:t>
            </w:r>
          </w:p>
        </w:tc>
        <w:tc>
          <w:tcPr>
            <w:tcW w:w="78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2"/>
                <w:szCs w:val="12"/>
                <w:color w:val="auto"/>
                <w:w w:val="99"/>
              </w:rPr>
              <w:t>—</w:t>
            </w:r>
          </w:p>
        </w:tc>
        <w:tc>
          <w:tcPr>
            <w:tcW w:w="76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122</w:t>
            </w:r>
          </w:p>
        </w:tc>
      </w:tr>
      <w:tr>
        <w:trPr>
          <w:trHeight w:val="148"/>
        </w:trPr>
        <w:tc>
          <w:tcPr>
            <w:tcW w:w="3860" w:type="dxa"/>
            <w:vAlign w:val="bottom"/>
          </w:tcPr>
          <w:p>
            <w:pPr>
              <w:ind w:left="20"/>
              <w:spacing w:after="0"/>
              <w:rPr>
                <w:sz w:val="20"/>
                <w:szCs w:val="20"/>
                <w:color w:val="auto"/>
              </w:rPr>
            </w:pPr>
            <w:r>
              <w:rPr>
                <w:rFonts w:ascii="Arial" w:cs="Arial" w:eastAsia="Arial" w:hAnsi="Arial"/>
                <w:sz w:val="12"/>
                <w:szCs w:val="12"/>
                <w:color w:val="auto"/>
              </w:rPr>
              <w:t>Total commercial mortgages</w:t>
            </w:r>
          </w:p>
        </w:tc>
        <w:tc>
          <w:tcPr>
            <w:tcW w:w="740" w:type="dxa"/>
            <w:vAlign w:val="bottom"/>
            <w:tcBorders>
              <w:bottom w:val="single" w:sz="8" w:color="auto"/>
            </w:tcBorders>
          </w:tcPr>
          <w:p>
            <w:pPr>
              <w:jc w:val="right"/>
              <w:ind w:right="601"/>
              <w:spacing w:after="0"/>
              <w:rPr>
                <w:sz w:val="20"/>
                <w:szCs w:val="20"/>
                <w:color w:val="auto"/>
              </w:rPr>
            </w:pPr>
            <w:r>
              <w:rPr>
                <w:rFonts w:ascii="Arial" w:cs="Arial" w:eastAsia="Arial" w:hAnsi="Arial"/>
                <w:sz w:val="12"/>
                <w:szCs w:val="12"/>
                <w:color w:val="auto"/>
                <w:w w:val="8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542</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ind w:left="660"/>
              <w:spacing w:after="0"/>
              <w:rPr>
                <w:sz w:val="20"/>
                <w:szCs w:val="20"/>
                <w:color w:val="auto"/>
              </w:rPr>
            </w:pPr>
            <w:r>
              <w:rPr>
                <w:rFonts w:ascii="Arial" w:cs="Arial" w:eastAsia="Arial" w:hAnsi="Arial"/>
                <w:sz w:val="12"/>
                <w:szCs w:val="12"/>
                <w:color w:val="auto"/>
                <w:w w:val="99"/>
              </w:rPr>
              <w:t>—</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780" w:type="dxa"/>
            <w:vAlign w:val="bottom"/>
            <w:tcBorders>
              <w:bottom w:val="single" w:sz="8" w:color="auto"/>
            </w:tcBorders>
          </w:tcPr>
          <w:p>
            <w:pPr>
              <w:jc w:val="right"/>
              <w:ind w:right="621"/>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w w:val="99"/>
              </w:rPr>
              <w:t>—</w:t>
            </w:r>
          </w:p>
        </w:tc>
        <w:tc>
          <w:tcPr>
            <w:tcW w:w="780" w:type="dxa"/>
            <w:vAlign w:val="bottom"/>
            <w:tcBorders>
              <w:bottom w:val="single" w:sz="8" w:color="auto"/>
            </w:tcBorders>
          </w:tcPr>
          <w:p>
            <w:pPr>
              <w:jc w:val="right"/>
              <w:ind w:right="621"/>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w w:val="89"/>
              </w:rPr>
              <w:t>11</w:t>
            </w:r>
          </w:p>
        </w:tc>
        <w:tc>
          <w:tcPr>
            <w:tcW w:w="760" w:type="dxa"/>
            <w:vAlign w:val="bottom"/>
            <w:tcBorders>
              <w:bottom w:val="single" w:sz="8" w:color="auto"/>
            </w:tcBorders>
          </w:tcPr>
          <w:p>
            <w:pPr>
              <w:jc w:val="right"/>
              <w:ind w:right="601"/>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346</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905</w:t>
            </w: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17"/>
        </w:trPr>
        <w:tc>
          <w:tcPr>
            <w:tcW w:w="3860" w:type="dxa"/>
            <w:vAlign w:val="bottom"/>
            <w:shd w:val="clear" w:color="auto" w:fill="CCEEFF"/>
          </w:tcPr>
          <w:p>
            <w:pPr>
              <w:ind w:left="20"/>
              <w:spacing w:after="0" w:line="117" w:lineRule="exact"/>
              <w:rPr>
                <w:sz w:val="20"/>
                <w:szCs w:val="20"/>
                <w:color w:val="auto"/>
              </w:rPr>
            </w:pPr>
            <w:r>
              <w:rPr>
                <w:rFonts w:ascii="Arial" w:cs="Arial" w:eastAsia="Arial" w:hAnsi="Arial"/>
                <w:sz w:val="12"/>
                <w:szCs w:val="12"/>
                <w:b w:val="1"/>
                <w:bCs w:val="1"/>
                <w:color w:val="auto"/>
              </w:rPr>
              <w:t>Commercial mortgages</w:t>
            </w:r>
          </w:p>
        </w:tc>
        <w:tc>
          <w:tcPr>
            <w:tcW w:w="7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r>
      <w:tr>
        <w:trPr>
          <w:trHeight w:val="152"/>
        </w:trPr>
        <w:tc>
          <w:tcPr>
            <w:tcW w:w="3860" w:type="dxa"/>
            <w:vAlign w:val="bottom"/>
          </w:tcPr>
          <w:p>
            <w:pPr>
              <w:ind w:left="20"/>
              <w:spacing w:after="0"/>
              <w:rPr>
                <w:sz w:val="20"/>
                <w:szCs w:val="20"/>
                <w:color w:val="auto"/>
              </w:rPr>
            </w:pPr>
            <w:r>
              <w:rPr>
                <w:rFonts w:ascii="Arial" w:cs="Arial" w:eastAsia="Arial" w:hAnsi="Arial"/>
                <w:sz w:val="12"/>
                <w:szCs w:val="12"/>
                <w:color w:val="auto"/>
              </w:rPr>
              <w:t>DSCR</w:t>
            </w: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7"/>
        </w:trPr>
        <w:tc>
          <w:tcPr>
            <w:tcW w:w="3860" w:type="dxa"/>
            <w:vAlign w:val="bottom"/>
            <w:shd w:val="clear" w:color="auto" w:fill="CCEEFF"/>
          </w:tcPr>
          <w:p>
            <w:pPr>
              <w:ind w:left="20"/>
              <w:spacing w:after="0"/>
              <w:rPr>
                <w:sz w:val="20"/>
                <w:szCs w:val="20"/>
                <w:color w:val="auto"/>
              </w:rPr>
            </w:pPr>
            <w:r>
              <w:rPr>
                <w:rFonts w:ascii="Arial" w:cs="Arial" w:eastAsia="Arial" w:hAnsi="Arial"/>
                <w:sz w:val="12"/>
                <w:szCs w:val="12"/>
                <w:color w:val="auto"/>
              </w:rPr>
              <w:t>Greater than 1.25x</w:t>
            </w:r>
          </w:p>
        </w:tc>
        <w:tc>
          <w:tcPr>
            <w:tcW w:w="740" w:type="dxa"/>
            <w:vAlign w:val="bottom"/>
            <w:shd w:val="clear" w:color="auto" w:fill="CCEEFF"/>
          </w:tcPr>
          <w:p>
            <w:pPr>
              <w:jc w:val="right"/>
              <w:ind w:right="601"/>
              <w:spacing w:after="0"/>
              <w:rPr>
                <w:sz w:val="20"/>
                <w:szCs w:val="20"/>
                <w:color w:val="auto"/>
              </w:rPr>
            </w:pPr>
            <w:r>
              <w:rPr>
                <w:rFonts w:ascii="Arial" w:cs="Arial" w:eastAsia="Arial" w:hAnsi="Arial"/>
                <w:sz w:val="12"/>
                <w:szCs w:val="12"/>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542</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ind w:left="660"/>
              <w:spacing w:after="0"/>
              <w:rPr>
                <w:sz w:val="20"/>
                <w:szCs w:val="20"/>
                <w:color w:val="auto"/>
              </w:rPr>
            </w:pPr>
            <w:r>
              <w:rPr>
                <w:rFonts w:ascii="Arial" w:cs="Arial" w:eastAsia="Arial" w:hAnsi="Arial"/>
                <w:sz w:val="12"/>
                <w:szCs w:val="12"/>
                <w:color w:val="auto"/>
                <w:w w:val="99"/>
              </w:rPr>
              <w:t>—</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780" w:type="dxa"/>
            <w:vAlign w:val="bottom"/>
            <w:shd w:val="clear" w:color="auto" w:fill="CCEEFF"/>
          </w:tcPr>
          <w:p>
            <w:pPr>
              <w:jc w:val="right"/>
              <w:ind w:right="621"/>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ind w:left="140"/>
              <w:spacing w:after="0"/>
              <w:rPr>
                <w:sz w:val="20"/>
                <w:szCs w:val="20"/>
                <w:color w:val="auto"/>
              </w:rPr>
            </w:pPr>
            <w:r>
              <w:rPr>
                <w:rFonts w:ascii="Arial" w:cs="Arial" w:eastAsia="Arial" w:hAnsi="Arial"/>
                <w:sz w:val="12"/>
                <w:szCs w:val="12"/>
                <w:color w:val="auto"/>
                <w:w w:val="99"/>
              </w:rPr>
              <w:t>—</w:t>
            </w:r>
          </w:p>
        </w:tc>
        <w:tc>
          <w:tcPr>
            <w:tcW w:w="780" w:type="dxa"/>
            <w:vAlign w:val="bottom"/>
            <w:shd w:val="clear" w:color="auto" w:fill="CCEEFF"/>
          </w:tcPr>
          <w:p>
            <w:pPr>
              <w:jc w:val="right"/>
              <w:ind w:right="621"/>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ind w:left="140"/>
              <w:spacing w:after="0"/>
              <w:rPr>
                <w:sz w:val="20"/>
                <w:szCs w:val="20"/>
                <w:color w:val="auto"/>
              </w:rPr>
            </w:pPr>
            <w:r>
              <w:rPr>
                <w:rFonts w:ascii="Arial" w:cs="Arial" w:eastAsia="Arial" w:hAnsi="Arial"/>
                <w:sz w:val="12"/>
                <w:szCs w:val="12"/>
                <w:color w:val="auto"/>
                <w:w w:val="89"/>
              </w:rPr>
              <w:t>11</w:t>
            </w:r>
          </w:p>
        </w:tc>
        <w:tc>
          <w:tcPr>
            <w:tcW w:w="760" w:type="dxa"/>
            <w:vAlign w:val="bottom"/>
            <w:shd w:val="clear" w:color="auto" w:fill="CCEEFF"/>
          </w:tcPr>
          <w:p>
            <w:pPr>
              <w:jc w:val="right"/>
              <w:ind w:right="601"/>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319</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878</w:t>
            </w:r>
          </w:p>
        </w:tc>
      </w:tr>
      <w:tr>
        <w:trPr>
          <w:trHeight w:val="152"/>
        </w:trPr>
        <w:tc>
          <w:tcPr>
            <w:tcW w:w="3860" w:type="dxa"/>
            <w:vAlign w:val="bottom"/>
          </w:tcPr>
          <w:p>
            <w:pPr>
              <w:ind w:left="20"/>
              <w:spacing w:after="0"/>
              <w:rPr>
                <w:sz w:val="20"/>
                <w:szCs w:val="20"/>
                <w:color w:val="auto"/>
              </w:rPr>
            </w:pPr>
            <w:r>
              <w:rPr>
                <w:rFonts w:ascii="Arial" w:cs="Arial" w:eastAsia="Arial" w:hAnsi="Arial"/>
                <w:sz w:val="12"/>
                <w:szCs w:val="12"/>
                <w:color w:val="auto"/>
              </w:rPr>
              <w:t>1.00x - 1.25x</w:t>
            </w:r>
          </w:p>
        </w:tc>
        <w:tc>
          <w:tcPr>
            <w:tcW w:w="7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00" w:type="dxa"/>
            <w:vAlign w:val="bottom"/>
          </w:tcPr>
          <w:p>
            <w:pPr>
              <w:ind w:left="660"/>
              <w:spacing w:after="0"/>
              <w:rPr>
                <w:sz w:val="20"/>
                <w:szCs w:val="20"/>
                <w:color w:val="auto"/>
              </w:rPr>
            </w:pPr>
            <w:r>
              <w:rPr>
                <w:rFonts w:ascii="Arial" w:cs="Arial" w:eastAsia="Arial" w:hAnsi="Arial"/>
                <w:sz w:val="12"/>
                <w:szCs w:val="12"/>
                <w:color w:val="auto"/>
                <w:w w:val="99"/>
              </w:rPr>
              <w:t>—</w:t>
            </w:r>
          </w:p>
        </w:tc>
        <w:tc>
          <w:tcPr>
            <w:tcW w:w="2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280" w:type="dxa"/>
            <w:vAlign w:val="bottom"/>
          </w:tcPr>
          <w:p>
            <w:pPr>
              <w:ind w:left="140"/>
              <w:spacing w:after="0"/>
              <w:rPr>
                <w:sz w:val="20"/>
                <w:szCs w:val="20"/>
                <w:color w:val="auto"/>
              </w:rPr>
            </w:pPr>
            <w:r>
              <w:rPr>
                <w:rFonts w:ascii="Arial" w:cs="Arial" w:eastAsia="Arial" w:hAnsi="Arial"/>
                <w:sz w:val="12"/>
                <w:szCs w:val="12"/>
                <w:color w:val="auto"/>
                <w:w w:val="99"/>
              </w:rPr>
              <w:t>—</w:t>
            </w:r>
          </w:p>
        </w:tc>
        <w:tc>
          <w:tcPr>
            <w:tcW w:w="780" w:type="dxa"/>
            <w:vAlign w:val="bottom"/>
          </w:tcPr>
          <w:p>
            <w:pPr>
              <w:spacing w:after="0"/>
              <w:rPr>
                <w:sz w:val="13"/>
                <w:szCs w:val="13"/>
                <w:color w:val="auto"/>
              </w:rPr>
            </w:pPr>
          </w:p>
        </w:tc>
        <w:tc>
          <w:tcPr>
            <w:tcW w:w="280" w:type="dxa"/>
            <w:vAlign w:val="bottom"/>
          </w:tcPr>
          <w:p>
            <w:pPr>
              <w:ind w:left="140"/>
              <w:spacing w:after="0"/>
              <w:rPr>
                <w:sz w:val="20"/>
                <w:szCs w:val="20"/>
                <w:color w:val="auto"/>
              </w:rPr>
            </w:pPr>
            <w:r>
              <w:rPr>
                <w:rFonts w:ascii="Arial" w:cs="Arial" w:eastAsia="Arial" w:hAnsi="Arial"/>
                <w:sz w:val="12"/>
                <w:szCs w:val="12"/>
                <w:color w:val="auto"/>
                <w:w w:val="99"/>
              </w:rPr>
              <w:t>—</w:t>
            </w:r>
          </w:p>
        </w:tc>
        <w:tc>
          <w:tcPr>
            <w:tcW w:w="7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27</w:t>
            </w:r>
          </w:p>
        </w:tc>
        <w:tc>
          <w:tcPr>
            <w:tcW w:w="26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27</w:t>
            </w:r>
          </w:p>
        </w:tc>
      </w:tr>
      <w:tr>
        <w:trPr>
          <w:trHeight w:val="155"/>
        </w:trPr>
        <w:tc>
          <w:tcPr>
            <w:tcW w:w="3860" w:type="dxa"/>
            <w:vAlign w:val="bottom"/>
            <w:shd w:val="clear" w:color="auto" w:fill="CCEEFF"/>
          </w:tcPr>
          <w:p>
            <w:pPr>
              <w:ind w:left="20"/>
              <w:spacing w:after="0"/>
              <w:rPr>
                <w:sz w:val="20"/>
                <w:szCs w:val="20"/>
                <w:color w:val="auto"/>
              </w:rPr>
            </w:pPr>
            <w:r>
              <w:rPr>
                <w:rFonts w:ascii="Arial" w:cs="Arial" w:eastAsia="Arial" w:hAnsi="Arial"/>
                <w:sz w:val="12"/>
                <w:szCs w:val="12"/>
                <w:color w:val="auto"/>
              </w:rPr>
              <w:t>Less than 1.00x</w:t>
            </w:r>
          </w:p>
        </w:tc>
        <w:tc>
          <w:tcPr>
            <w:tcW w:w="74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2"/>
                <w:szCs w:val="12"/>
                <w:color w:val="auto"/>
                <w:w w:val="99"/>
              </w:rPr>
              <w:t>—</w:t>
            </w: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2"/>
                <w:szCs w:val="12"/>
                <w:color w:val="auto"/>
                <w:w w:val="99"/>
              </w:rPr>
              <w:t>—</w:t>
            </w:r>
          </w:p>
        </w:tc>
        <w:tc>
          <w:tcPr>
            <w:tcW w:w="78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2"/>
                <w:szCs w:val="12"/>
                <w:color w:val="auto"/>
                <w:w w:val="99"/>
              </w:rPr>
              <w:t>—</w:t>
            </w:r>
          </w:p>
        </w:tc>
        <w:tc>
          <w:tcPr>
            <w:tcW w:w="76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48"/>
        </w:trPr>
        <w:tc>
          <w:tcPr>
            <w:tcW w:w="3860" w:type="dxa"/>
            <w:vAlign w:val="bottom"/>
          </w:tcPr>
          <w:p>
            <w:pPr>
              <w:ind w:left="20"/>
              <w:spacing w:after="0"/>
              <w:rPr>
                <w:sz w:val="20"/>
                <w:szCs w:val="20"/>
                <w:color w:val="auto"/>
              </w:rPr>
            </w:pPr>
            <w:r>
              <w:rPr>
                <w:rFonts w:ascii="Arial" w:cs="Arial" w:eastAsia="Arial" w:hAnsi="Arial"/>
                <w:sz w:val="12"/>
                <w:szCs w:val="12"/>
                <w:color w:val="auto"/>
              </w:rPr>
              <w:t>Total commercial mortgages</w:t>
            </w:r>
          </w:p>
        </w:tc>
        <w:tc>
          <w:tcPr>
            <w:tcW w:w="740" w:type="dxa"/>
            <w:vAlign w:val="bottom"/>
            <w:tcBorders>
              <w:bottom w:val="single" w:sz="8" w:color="auto"/>
            </w:tcBorders>
          </w:tcPr>
          <w:p>
            <w:pPr>
              <w:jc w:val="right"/>
              <w:ind w:right="601"/>
              <w:spacing w:after="0"/>
              <w:rPr>
                <w:sz w:val="20"/>
                <w:szCs w:val="20"/>
                <w:color w:val="auto"/>
              </w:rPr>
            </w:pPr>
            <w:r>
              <w:rPr>
                <w:rFonts w:ascii="Arial" w:cs="Arial" w:eastAsia="Arial" w:hAnsi="Arial"/>
                <w:sz w:val="12"/>
                <w:szCs w:val="12"/>
                <w:color w:val="auto"/>
                <w:w w:val="8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542</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ind w:left="660"/>
              <w:spacing w:after="0"/>
              <w:rPr>
                <w:sz w:val="20"/>
                <w:szCs w:val="20"/>
                <w:color w:val="auto"/>
              </w:rPr>
            </w:pPr>
            <w:r>
              <w:rPr>
                <w:rFonts w:ascii="Arial" w:cs="Arial" w:eastAsia="Arial" w:hAnsi="Arial"/>
                <w:sz w:val="12"/>
                <w:szCs w:val="12"/>
                <w:color w:val="auto"/>
                <w:w w:val="99"/>
              </w:rPr>
              <w:t>—</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780" w:type="dxa"/>
            <w:vAlign w:val="bottom"/>
            <w:tcBorders>
              <w:bottom w:val="single" w:sz="8" w:color="auto"/>
            </w:tcBorders>
          </w:tcPr>
          <w:p>
            <w:pPr>
              <w:jc w:val="right"/>
              <w:ind w:right="621"/>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w w:val="99"/>
              </w:rPr>
              <w:t>—</w:t>
            </w:r>
          </w:p>
        </w:tc>
        <w:tc>
          <w:tcPr>
            <w:tcW w:w="780" w:type="dxa"/>
            <w:vAlign w:val="bottom"/>
            <w:tcBorders>
              <w:bottom w:val="single" w:sz="8" w:color="auto"/>
            </w:tcBorders>
          </w:tcPr>
          <w:p>
            <w:pPr>
              <w:jc w:val="right"/>
              <w:ind w:right="621"/>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w w:val="89"/>
              </w:rPr>
              <w:t>11</w:t>
            </w:r>
          </w:p>
        </w:tc>
        <w:tc>
          <w:tcPr>
            <w:tcW w:w="760" w:type="dxa"/>
            <w:vAlign w:val="bottom"/>
            <w:tcBorders>
              <w:bottom w:val="single" w:sz="8" w:color="auto"/>
            </w:tcBorders>
          </w:tcPr>
          <w:p>
            <w:pPr>
              <w:jc w:val="right"/>
              <w:ind w:right="601"/>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346</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905</w:t>
            </w:r>
          </w:p>
        </w:tc>
      </w:tr>
      <w:tr>
        <w:trPr>
          <w:trHeight w:val="20"/>
        </w:trPr>
        <w:tc>
          <w:tcPr>
            <w:tcW w:w="38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9" w:name="page40"/>
    <w:bookmarkEnd w:id="39"/>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color w:val="auto"/>
        </w:rPr>
        <w:t>Non-accrual loans by amortized cost as of September 30, 2021 and December 31, 2020,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6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Amortized cost of loans on non-accrual</w:t>
            </w:r>
          </w:p>
        </w:tc>
        <w:tc>
          <w:tcPr>
            <w:tcW w:w="360" w:type="dxa"/>
            <w:vAlign w:val="bottom"/>
            <w:shd w:val="clear" w:color="auto" w:fill="CCEEFF"/>
          </w:tcPr>
          <w:p>
            <w:pPr>
              <w:spacing w:after="0"/>
              <w:rPr>
                <w:sz w:val="13"/>
                <w:szCs w:val="13"/>
                <w:color w:val="auto"/>
              </w:rPr>
            </w:pP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2"/>
                <w:szCs w:val="12"/>
                <w:b w:val="1"/>
                <w:bCs w:val="1"/>
                <w:color w:val="auto"/>
              </w:rPr>
              <w:t>September 30, 2021</w:t>
            </w:r>
          </w:p>
        </w:tc>
        <w:tc>
          <w:tcPr>
            <w:tcW w:w="360" w:type="dxa"/>
            <w:vAlign w:val="bottom"/>
            <w:shd w:val="clear" w:color="auto" w:fill="CCEEFF"/>
          </w:tcPr>
          <w:p>
            <w:pPr>
              <w:spacing w:after="0"/>
              <w:rPr>
                <w:sz w:val="13"/>
                <w:szCs w:val="13"/>
                <w:color w:val="auto"/>
              </w:rPr>
            </w:pPr>
          </w:p>
        </w:tc>
        <w:tc>
          <w:tcPr>
            <w:tcW w:w="1900" w:type="dxa"/>
            <w:vAlign w:val="bottom"/>
            <w:shd w:val="clear" w:color="auto" w:fill="CCEEFF"/>
          </w:tcPr>
          <w:p>
            <w:pPr>
              <w:jc w:val="right"/>
              <w:ind w:right="601"/>
              <w:spacing w:after="0"/>
              <w:rPr>
                <w:sz w:val="20"/>
                <w:szCs w:val="20"/>
                <w:color w:val="auto"/>
              </w:rPr>
            </w:pPr>
            <w:r>
              <w:rPr>
                <w:rFonts w:ascii="Arial" w:cs="Arial" w:eastAsia="Arial" w:hAnsi="Arial"/>
                <w:sz w:val="12"/>
                <w:szCs w:val="12"/>
                <w:b w:val="1"/>
                <w:bCs w:val="1"/>
                <w:color w:val="auto"/>
              </w:rPr>
              <w:t>December 31, 2020</w:t>
            </w:r>
          </w:p>
        </w:tc>
      </w:tr>
      <w:tr>
        <w:trPr>
          <w:trHeight w:val="143"/>
        </w:trPr>
        <w:tc>
          <w:tcPr>
            <w:tcW w:w="6680" w:type="dxa"/>
            <w:vAlign w:val="bottom"/>
          </w:tcPr>
          <w:p>
            <w:pPr>
              <w:ind w:left="20"/>
              <w:spacing w:after="0" w:line="136" w:lineRule="exact"/>
              <w:rPr>
                <w:sz w:val="20"/>
                <w:szCs w:val="20"/>
                <w:color w:val="auto"/>
              </w:rPr>
            </w:pPr>
            <w:r>
              <w:rPr>
                <w:rFonts w:ascii="Arial" w:cs="Arial" w:eastAsia="Arial" w:hAnsi="Arial"/>
                <w:sz w:val="12"/>
                <w:szCs w:val="12"/>
                <w:color w:val="auto"/>
              </w:rPr>
              <w:t>Residential mortgage:</w:t>
            </w:r>
          </w:p>
        </w:tc>
        <w:tc>
          <w:tcPr>
            <w:tcW w:w="360" w:type="dxa"/>
            <w:vAlign w:val="bottom"/>
            <w:tcBorders>
              <w:top w:val="single" w:sz="8" w:color="auto"/>
            </w:tcBorders>
          </w:tcPr>
          <w:p>
            <w:pPr>
              <w:jc w:val="right"/>
              <w:ind w:right="221"/>
              <w:spacing w:after="0"/>
              <w:rPr>
                <w:sz w:val="20"/>
                <w:szCs w:val="20"/>
                <w:color w:val="auto"/>
              </w:rPr>
            </w:pPr>
            <w:r>
              <w:rPr>
                <w:rFonts w:ascii="Arial" w:cs="Arial" w:eastAsia="Arial" w:hAnsi="Arial"/>
                <w:sz w:val="12"/>
                <w:szCs w:val="12"/>
                <w:color w:val="auto"/>
                <w:w w:val="89"/>
              </w:rPr>
              <w:t>$</w:t>
            </w:r>
          </w:p>
        </w:tc>
        <w:tc>
          <w:tcPr>
            <w:tcW w:w="190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80</w:t>
            </w:r>
          </w:p>
        </w:tc>
        <w:tc>
          <w:tcPr>
            <w:tcW w:w="80" w:type="dxa"/>
            <w:vAlign w:val="bottom"/>
          </w:tcPr>
          <w:p>
            <w:pPr>
              <w:spacing w:after="0"/>
              <w:rPr>
                <w:sz w:val="12"/>
                <w:szCs w:val="12"/>
                <w:color w:val="auto"/>
              </w:rPr>
            </w:pPr>
          </w:p>
        </w:tc>
        <w:tc>
          <w:tcPr>
            <w:tcW w:w="360" w:type="dxa"/>
            <w:vAlign w:val="bottom"/>
            <w:tcBorders>
              <w:top w:val="single" w:sz="8" w:color="auto"/>
            </w:tcBorders>
          </w:tcPr>
          <w:p>
            <w:pPr>
              <w:jc w:val="right"/>
              <w:ind w:right="221"/>
              <w:spacing w:after="0"/>
              <w:rPr>
                <w:sz w:val="20"/>
                <w:szCs w:val="20"/>
                <w:color w:val="auto"/>
              </w:rPr>
            </w:pPr>
            <w:r>
              <w:rPr>
                <w:rFonts w:ascii="Arial" w:cs="Arial" w:eastAsia="Arial" w:hAnsi="Arial"/>
                <w:sz w:val="12"/>
                <w:szCs w:val="12"/>
                <w:color w:val="auto"/>
                <w:w w:val="89"/>
              </w:rPr>
              <w:t>$</w:t>
            </w:r>
          </w:p>
        </w:tc>
        <w:tc>
          <w:tcPr>
            <w:tcW w:w="190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99</w:t>
            </w:r>
          </w:p>
        </w:tc>
      </w:tr>
      <w:tr>
        <w:trPr>
          <w:trHeight w:val="155"/>
        </w:trPr>
        <w:tc>
          <w:tcPr>
            <w:tcW w:w="6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Commercial mortgage:</w:t>
            </w:r>
          </w:p>
        </w:tc>
        <w:tc>
          <w:tcPr>
            <w:tcW w:w="360" w:type="dxa"/>
            <w:vAlign w:val="bottom"/>
            <w:shd w:val="clear" w:color="auto" w:fill="CCEEFF"/>
          </w:tcPr>
          <w:p>
            <w:pPr>
              <w:spacing w:after="0"/>
              <w:rPr>
                <w:sz w:val="13"/>
                <w:szCs w:val="13"/>
                <w:color w:val="auto"/>
              </w:rPr>
            </w:pP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1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48"/>
        </w:trPr>
        <w:tc>
          <w:tcPr>
            <w:tcW w:w="6680" w:type="dxa"/>
            <w:vAlign w:val="bottom"/>
          </w:tcPr>
          <w:p>
            <w:pPr>
              <w:ind w:left="20"/>
              <w:spacing w:after="0"/>
              <w:rPr>
                <w:sz w:val="20"/>
                <w:szCs w:val="20"/>
                <w:color w:val="auto"/>
              </w:rPr>
            </w:pPr>
            <w:r>
              <w:rPr>
                <w:rFonts w:ascii="Arial" w:cs="Arial" w:eastAsia="Arial" w:hAnsi="Arial"/>
                <w:sz w:val="12"/>
                <w:szCs w:val="12"/>
                <w:b w:val="1"/>
                <w:bCs w:val="1"/>
                <w:color w:val="auto"/>
              </w:rPr>
              <w:t>Total non-accrual loans</w:t>
            </w:r>
          </w:p>
        </w:tc>
        <w:tc>
          <w:tcPr>
            <w:tcW w:w="36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2"/>
                <w:szCs w:val="12"/>
                <w:color w:val="auto"/>
                <w:w w:val="89"/>
              </w:rPr>
              <w:t>$</w:t>
            </w:r>
          </w:p>
        </w:tc>
        <w:tc>
          <w:tcPr>
            <w:tcW w:w="1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80</w:t>
            </w:r>
          </w:p>
        </w:tc>
        <w:tc>
          <w:tcPr>
            <w:tcW w:w="8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2"/>
                <w:szCs w:val="12"/>
                <w:color w:val="auto"/>
                <w:w w:val="89"/>
              </w:rPr>
              <w:t>$</w:t>
            </w:r>
          </w:p>
        </w:tc>
        <w:tc>
          <w:tcPr>
            <w:tcW w:w="1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99</w:t>
            </w:r>
          </w:p>
        </w:tc>
      </w:tr>
      <w:tr>
        <w:trPr>
          <w:trHeight w:val="20"/>
        </w:trPr>
        <w:tc>
          <w:tcPr>
            <w:tcW w:w="6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Immaterial interest income was recognized on non-accrual financing receivables for the three and nine months ended September 30, 2021.</w:t>
      </w:r>
    </w:p>
    <w:p>
      <w:pPr>
        <w:spacing w:after="0" w:line="115" w:lineRule="exact"/>
        <w:rPr>
          <w:sz w:val="20"/>
          <w:szCs w:val="20"/>
          <w:color w:val="auto"/>
        </w:rPr>
      </w:pPr>
    </w:p>
    <w:p>
      <w:pPr>
        <w:jc w:val="both"/>
        <w:ind w:firstLine="331"/>
        <w:spacing w:after="0"/>
        <w:rPr>
          <w:sz w:val="20"/>
          <w:szCs w:val="20"/>
          <w:color w:val="auto"/>
        </w:rPr>
      </w:pPr>
      <w:r>
        <w:rPr>
          <w:rFonts w:ascii="Arial" w:cs="Arial" w:eastAsia="Arial" w:hAnsi="Arial"/>
          <w:sz w:val="14"/>
          <w:szCs w:val="14"/>
          <w:color w:val="auto"/>
        </w:rPr>
        <w:t>It is our policy to cease to accrue interest on loans that are over 90 days delinquent. For loans less than 90 days delinquent, interest is accrued unless it is determined that the accrued interest is not collectible. If a loan becomes over 90 days delinquent, it is our general policy to initiate foreclosure proceedings unless a workout arrangement to bring the loan current is in place. As of September 30, 2021 and December 31, 2020, we had $80 million and $103 million, respectively, of mortgage loans that were over 90 days past due, of which $48 million and $24 million, respectively, were in the process of foreclosure. We will continue to evaluate these policies with regard to the economic challenges for mortgage debtors related to COVID-19. Our ability to initiate foreclosure proceedings may be limited by legislation passed and executive orders issued in response to COVID-19.</w:t>
      </w: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Allowance for Expected Credit Loss for Residential Mortgages</w:t>
      </w:r>
    </w:p>
    <w:p>
      <w:pPr>
        <w:spacing w:after="0" w:line="203" w:lineRule="exact"/>
        <w:rPr>
          <w:sz w:val="20"/>
          <w:szCs w:val="20"/>
          <w:color w:val="auto"/>
        </w:rPr>
      </w:pPr>
    </w:p>
    <w:p>
      <w:pPr>
        <w:jc w:val="both"/>
        <w:ind w:firstLine="331"/>
        <w:spacing w:after="0" w:line="249" w:lineRule="auto"/>
        <w:rPr>
          <w:sz w:val="20"/>
          <w:szCs w:val="20"/>
          <w:color w:val="auto"/>
        </w:rPr>
      </w:pPr>
      <w:r>
        <w:rPr>
          <w:rFonts w:ascii="Arial" w:cs="Arial" w:eastAsia="Arial" w:hAnsi="Arial"/>
          <w:sz w:val="15"/>
          <w:szCs w:val="15"/>
          <w:color w:val="auto"/>
        </w:rPr>
        <w:t>We estimate expected credit losses for our mortgage loan portfolio using a probability of default/loss given default model. Significant inputs to this model include the loans' current performance, underlying collateral type, location, contractual life, LTV, and Debt to Income or FICO. The model projects losses using a two year reasonable and supportable forecast and then reverts over a three year period to market-wide historical loss experience. Changes in our allowance for expected credit losses on mortgage loans are recognized in Recognized gains and losses, net in the accompanying unaudited Condensed Consolidated Statements of Earnings.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allowances for our mortgage loan portfolio is summarized as follows:</w:t>
      </w:r>
    </w:p>
    <w:p>
      <w:pPr>
        <w:spacing w:after="0" w:line="119" w:lineRule="exact"/>
        <w:rPr>
          <w:sz w:val="20"/>
          <w:szCs w:val="20"/>
          <w:color w:val="auto"/>
        </w:rPr>
      </w:pPr>
    </w:p>
    <w:tbl>
      <w:tblPr>
        <w:tblLayout w:type="fixed"/>
        <w:tblInd w:w="340" w:type="dxa"/>
        <w:tblCellMar>
          <w:top w:w="0" w:type="dxa"/>
          <w:left w:w="0" w:type="dxa"/>
          <w:bottom w:w="0" w:type="dxa"/>
          <w:right w:w="0" w:type="dxa"/>
        </w:tblCellMar>
      </w:tblPr>
      <w:tr>
        <w:trPr>
          <w:trHeight w:val="156"/>
        </w:trPr>
        <w:tc>
          <w:tcPr>
            <w:tcW w:w="226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6"/>
          </w:tcPr>
          <w:p>
            <w:pPr>
              <w:ind w:left="80"/>
              <w:spacing w:after="0"/>
              <w:rPr>
                <w:sz w:val="20"/>
                <w:szCs w:val="20"/>
                <w:color w:val="auto"/>
              </w:rPr>
            </w:pPr>
            <w:r>
              <w:rPr>
                <w:rFonts w:ascii="Arial" w:cs="Arial" w:eastAsia="Arial" w:hAnsi="Arial"/>
                <w:sz w:val="12"/>
                <w:szCs w:val="12"/>
                <w:b w:val="1"/>
                <w:bCs w:val="1"/>
                <w:color w:val="auto"/>
                <w:w w:val="87"/>
              </w:rPr>
              <w:t>Three months ended September 30, 2021</w:t>
            </w: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6"/>
          </w:tcPr>
          <w:p>
            <w:pPr>
              <w:jc w:val="center"/>
              <w:ind w:left="741"/>
              <w:spacing w:after="0"/>
              <w:rPr>
                <w:sz w:val="20"/>
                <w:szCs w:val="20"/>
                <w:color w:val="auto"/>
              </w:rPr>
            </w:pPr>
            <w:r>
              <w:rPr>
                <w:rFonts w:ascii="Arial" w:cs="Arial" w:eastAsia="Arial" w:hAnsi="Arial"/>
                <w:sz w:val="12"/>
                <w:szCs w:val="12"/>
                <w:b w:val="1"/>
                <w:bCs w:val="1"/>
                <w:color w:val="auto"/>
                <w:w w:val="87"/>
              </w:rPr>
              <w:t>Nine months ended September 30, 2021</w:t>
            </w: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260" w:type="dxa"/>
            <w:vAlign w:val="bottom"/>
          </w:tcPr>
          <w:p>
            <w:pPr>
              <w:spacing w:after="0"/>
              <w:rPr>
                <w:sz w:val="9"/>
                <w:szCs w:val="9"/>
                <w:color w:val="auto"/>
              </w:rPr>
            </w:pPr>
          </w:p>
        </w:tc>
        <w:tc>
          <w:tcPr>
            <w:tcW w:w="1200" w:type="dxa"/>
            <w:vAlign w:val="bottom"/>
          </w:tcPr>
          <w:p>
            <w:pPr>
              <w:jc w:val="right"/>
              <w:ind w:right="1"/>
              <w:spacing w:after="0" w:line="107" w:lineRule="exact"/>
              <w:rPr>
                <w:sz w:val="20"/>
                <w:szCs w:val="20"/>
                <w:color w:val="auto"/>
              </w:rPr>
            </w:pPr>
            <w:r>
              <w:rPr>
                <w:rFonts w:ascii="Arial" w:cs="Arial" w:eastAsia="Arial" w:hAnsi="Arial"/>
                <w:sz w:val="12"/>
                <w:szCs w:val="12"/>
                <w:b w:val="1"/>
                <w:bCs w:val="1"/>
                <w:color w:val="auto"/>
              </w:rPr>
              <w:t>Residential</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0" w:type="dxa"/>
            <w:vAlign w:val="bottom"/>
            <w:gridSpan w:val="3"/>
          </w:tcPr>
          <w:p>
            <w:pPr>
              <w:ind w:left="120"/>
              <w:spacing w:after="0" w:line="107" w:lineRule="exact"/>
              <w:rPr>
                <w:sz w:val="20"/>
                <w:szCs w:val="20"/>
                <w:color w:val="auto"/>
              </w:rPr>
            </w:pPr>
            <w:r>
              <w:rPr>
                <w:rFonts w:ascii="Arial" w:cs="Arial" w:eastAsia="Arial" w:hAnsi="Arial"/>
                <w:sz w:val="12"/>
                <w:szCs w:val="12"/>
                <w:b w:val="1"/>
                <w:bCs w:val="1"/>
                <w:color w:val="auto"/>
              </w:rPr>
              <w:t>Commercial</w:t>
            </w:r>
          </w:p>
        </w:tc>
        <w:tc>
          <w:tcPr>
            <w:tcW w:w="220" w:type="dxa"/>
            <w:vAlign w:val="bottom"/>
          </w:tcPr>
          <w:p>
            <w:pPr>
              <w:spacing w:after="0"/>
              <w:rPr>
                <w:sz w:val="9"/>
                <w:szCs w:val="9"/>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Total</w:t>
            </w:r>
          </w:p>
        </w:tc>
        <w:tc>
          <w:tcPr>
            <w:tcW w:w="480" w:type="dxa"/>
            <w:vAlign w:val="bottom"/>
          </w:tcPr>
          <w:p>
            <w:pPr>
              <w:spacing w:after="0"/>
              <w:rPr>
                <w:sz w:val="9"/>
                <w:szCs w:val="9"/>
                <w:color w:val="auto"/>
              </w:rPr>
            </w:pPr>
          </w:p>
        </w:tc>
        <w:tc>
          <w:tcPr>
            <w:tcW w:w="900" w:type="dxa"/>
            <w:vAlign w:val="bottom"/>
            <w:gridSpan w:val="2"/>
          </w:tcPr>
          <w:p>
            <w:pPr>
              <w:ind w:left="60"/>
              <w:spacing w:after="0" w:line="107" w:lineRule="exact"/>
              <w:rPr>
                <w:sz w:val="20"/>
                <w:szCs w:val="20"/>
                <w:color w:val="auto"/>
              </w:rPr>
            </w:pPr>
            <w:r>
              <w:rPr>
                <w:rFonts w:ascii="Arial" w:cs="Arial" w:eastAsia="Arial" w:hAnsi="Arial"/>
                <w:sz w:val="12"/>
                <w:szCs w:val="12"/>
                <w:b w:val="1"/>
                <w:bCs w:val="1"/>
                <w:color w:val="auto"/>
              </w:rPr>
              <w:t>Residential</w:t>
            </w:r>
          </w:p>
        </w:tc>
        <w:tc>
          <w:tcPr>
            <w:tcW w:w="440" w:type="dxa"/>
            <w:vAlign w:val="bottom"/>
          </w:tcPr>
          <w:p>
            <w:pPr>
              <w:spacing w:after="0"/>
              <w:rPr>
                <w:sz w:val="9"/>
                <w:szCs w:val="9"/>
                <w:color w:val="auto"/>
              </w:rPr>
            </w:pPr>
          </w:p>
        </w:tc>
        <w:tc>
          <w:tcPr>
            <w:tcW w:w="1440" w:type="dxa"/>
            <w:vAlign w:val="bottom"/>
            <w:gridSpan w:val="3"/>
          </w:tcPr>
          <w:p>
            <w:pPr>
              <w:jc w:val="center"/>
              <w:ind w:right="540"/>
              <w:spacing w:after="0" w:line="107" w:lineRule="exact"/>
              <w:rPr>
                <w:sz w:val="20"/>
                <w:szCs w:val="20"/>
                <w:color w:val="auto"/>
              </w:rPr>
            </w:pPr>
            <w:r>
              <w:rPr>
                <w:rFonts w:ascii="Arial" w:cs="Arial" w:eastAsia="Arial" w:hAnsi="Arial"/>
                <w:sz w:val="12"/>
                <w:szCs w:val="12"/>
                <w:b w:val="1"/>
                <w:bCs w:val="1"/>
                <w:color w:val="auto"/>
                <w:w w:val="90"/>
              </w:rPr>
              <w:t>Commercial</w:t>
            </w:r>
          </w:p>
        </w:tc>
        <w:tc>
          <w:tcPr>
            <w:tcW w:w="180" w:type="dxa"/>
            <w:vAlign w:val="bottom"/>
          </w:tcPr>
          <w:p>
            <w:pPr>
              <w:spacing w:after="0"/>
              <w:rPr>
                <w:sz w:val="9"/>
                <w:szCs w:val="9"/>
                <w:color w:val="auto"/>
              </w:rPr>
            </w:pP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3"/>
        </w:trPr>
        <w:tc>
          <w:tcPr>
            <w:tcW w:w="2260" w:type="dxa"/>
            <w:vAlign w:val="bottom"/>
          </w:tcPr>
          <w:p>
            <w:pPr>
              <w:spacing w:after="0"/>
              <w:rPr>
                <w:sz w:val="13"/>
                <w:szCs w:val="13"/>
                <w:color w:val="auto"/>
              </w:rPr>
            </w:pPr>
          </w:p>
        </w:tc>
        <w:tc>
          <w:tcPr>
            <w:tcW w:w="1200" w:type="dxa"/>
            <w:vAlign w:val="bottom"/>
          </w:tcPr>
          <w:p>
            <w:pPr>
              <w:jc w:val="right"/>
              <w:ind w:right="201"/>
              <w:spacing w:after="0"/>
              <w:rPr>
                <w:sz w:val="20"/>
                <w:szCs w:val="20"/>
                <w:color w:val="auto"/>
              </w:rPr>
            </w:pPr>
            <w:r>
              <w:rPr>
                <w:rFonts w:ascii="Arial" w:cs="Arial" w:eastAsia="Arial" w:hAnsi="Arial"/>
                <w:sz w:val="12"/>
                <w:szCs w:val="12"/>
                <w:b w:val="1"/>
                <w:bCs w:val="1"/>
                <w:color w:val="auto"/>
              </w:rPr>
              <w:t>Mortgage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gridSpan w:val="3"/>
          </w:tcPr>
          <w:p>
            <w:pPr>
              <w:ind w:left="20"/>
              <w:spacing w:after="0"/>
              <w:rPr>
                <w:sz w:val="20"/>
                <w:szCs w:val="20"/>
                <w:color w:val="auto"/>
              </w:rPr>
            </w:pPr>
            <w:r>
              <w:rPr>
                <w:rFonts w:ascii="Arial" w:cs="Arial" w:eastAsia="Arial" w:hAnsi="Arial"/>
                <w:sz w:val="12"/>
                <w:szCs w:val="12"/>
                <w:b w:val="1"/>
                <w:bCs w:val="1"/>
                <w:color w:val="auto"/>
              </w:rPr>
              <w:t>Mortgage</w:t>
            </w:r>
          </w:p>
        </w:tc>
        <w:tc>
          <w:tcPr>
            <w:tcW w:w="2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380" w:type="dxa"/>
            <w:vAlign w:val="bottom"/>
            <w:gridSpan w:val="3"/>
          </w:tcPr>
          <w:p>
            <w:pPr>
              <w:ind w:left="400"/>
              <w:spacing w:after="0"/>
              <w:rPr>
                <w:sz w:val="20"/>
                <w:szCs w:val="20"/>
                <w:color w:val="auto"/>
              </w:rPr>
            </w:pPr>
            <w:r>
              <w:rPr>
                <w:rFonts w:ascii="Arial" w:cs="Arial" w:eastAsia="Arial" w:hAnsi="Arial"/>
                <w:sz w:val="12"/>
                <w:szCs w:val="12"/>
                <w:b w:val="1"/>
                <w:bCs w:val="1"/>
                <w:color w:val="auto"/>
              </w:rPr>
              <w:t>Mortgage</w:t>
            </w:r>
          </w:p>
        </w:tc>
        <w:tc>
          <w:tcPr>
            <w:tcW w:w="440" w:type="dxa"/>
            <w:vAlign w:val="bottom"/>
          </w:tcPr>
          <w:p>
            <w:pPr>
              <w:spacing w:after="0"/>
              <w:rPr>
                <w:sz w:val="13"/>
                <w:szCs w:val="13"/>
                <w:color w:val="auto"/>
              </w:rPr>
            </w:pPr>
          </w:p>
        </w:tc>
        <w:tc>
          <w:tcPr>
            <w:tcW w:w="1440" w:type="dxa"/>
            <w:vAlign w:val="bottom"/>
            <w:gridSpan w:val="3"/>
          </w:tcPr>
          <w:p>
            <w:pPr>
              <w:ind w:left="40"/>
              <w:spacing w:after="0"/>
              <w:rPr>
                <w:sz w:val="20"/>
                <w:szCs w:val="20"/>
                <w:color w:val="auto"/>
              </w:rPr>
            </w:pPr>
            <w:r>
              <w:rPr>
                <w:rFonts w:ascii="Arial" w:cs="Arial" w:eastAsia="Arial" w:hAnsi="Arial"/>
                <w:sz w:val="12"/>
                <w:szCs w:val="12"/>
                <w:b w:val="1"/>
                <w:bCs w:val="1"/>
                <w:color w:val="auto"/>
              </w:rPr>
              <w:t>Mortgage</w:t>
            </w:r>
          </w:p>
        </w:tc>
        <w:tc>
          <w:tcPr>
            <w:tcW w:w="1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2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2"/>
                <w:szCs w:val="12"/>
                <w:b w:val="1"/>
                <w:bCs w:val="1"/>
                <w:color w:val="auto"/>
              </w:rPr>
              <w:t>Beginning Balance</w:t>
            </w:r>
          </w:p>
        </w:tc>
        <w:tc>
          <w:tcPr>
            <w:tcW w:w="1200" w:type="dxa"/>
            <w:vAlign w:val="bottom"/>
            <w:tcBorders>
              <w:top w:val="single" w:sz="8" w:color="auto"/>
            </w:tcBorders>
            <w:shd w:val="clear" w:color="auto" w:fill="CCEEFF"/>
          </w:tcPr>
          <w:p>
            <w:pPr>
              <w:jc w:val="right"/>
              <w:ind w:right="741"/>
              <w:spacing w:after="0"/>
              <w:rPr>
                <w:sz w:val="20"/>
                <w:szCs w:val="20"/>
                <w:color w:val="auto"/>
              </w:rPr>
            </w:pPr>
            <w:r>
              <w:rPr>
                <w:rFonts w:ascii="Arial" w:cs="Arial" w:eastAsia="Arial" w:hAnsi="Arial"/>
                <w:sz w:val="12"/>
                <w:szCs w:val="12"/>
                <w:color w:val="auto"/>
              </w:rPr>
              <w:t>$</w:t>
            </w:r>
          </w:p>
        </w:tc>
        <w:tc>
          <w:tcPr>
            <w:tcW w:w="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rPr>
              <w:t>28</w:t>
            </w: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2"/>
                <w:szCs w:val="12"/>
                <w:color w:val="auto"/>
              </w:rPr>
              <w:t>34</w:t>
            </w: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center"/>
              <w:ind w:left="521"/>
              <w:spacing w:after="0"/>
              <w:rPr>
                <w:sz w:val="20"/>
                <w:szCs w:val="20"/>
                <w:color w:val="auto"/>
              </w:rPr>
            </w:pPr>
            <w:r>
              <w:rPr>
                <w:rFonts w:ascii="Arial" w:cs="Arial" w:eastAsia="Arial" w:hAnsi="Arial"/>
                <w:sz w:val="12"/>
                <w:szCs w:val="12"/>
                <w:color w:val="auto"/>
                <w:w w:val="89"/>
              </w:rPr>
              <w:t>37</w:t>
            </w: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w:t>
            </w: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52"/>
        </w:trPr>
        <w:tc>
          <w:tcPr>
            <w:tcW w:w="2260" w:type="dxa"/>
            <w:vAlign w:val="bottom"/>
          </w:tcPr>
          <w:p>
            <w:pPr>
              <w:ind w:left="340"/>
              <w:spacing w:after="0"/>
              <w:rPr>
                <w:sz w:val="20"/>
                <w:szCs w:val="20"/>
                <w:color w:val="auto"/>
              </w:rPr>
            </w:pPr>
            <w:r>
              <w:rPr>
                <w:rFonts w:ascii="Arial" w:cs="Arial" w:eastAsia="Arial" w:hAnsi="Arial"/>
                <w:sz w:val="12"/>
                <w:szCs w:val="12"/>
                <w:color w:val="auto"/>
              </w:rPr>
              <w:t>Provision for loan losses</w:t>
            </w:r>
          </w:p>
        </w:tc>
        <w:tc>
          <w:tcPr>
            <w:tcW w:w="1200" w:type="dxa"/>
            <w:vAlign w:val="bottom"/>
          </w:tcPr>
          <w:p>
            <w:pPr>
              <w:spacing w:after="0"/>
              <w:rPr>
                <w:sz w:val="13"/>
                <w:szCs w:val="13"/>
                <w:color w:val="auto"/>
              </w:rPr>
            </w:pPr>
          </w:p>
        </w:tc>
        <w:tc>
          <w:tcPr>
            <w:tcW w:w="200" w:type="dxa"/>
            <w:vAlign w:val="bottom"/>
          </w:tcPr>
          <w:p>
            <w:pPr>
              <w:ind w:left="40"/>
              <w:spacing w:after="0"/>
              <w:rPr>
                <w:sz w:val="20"/>
                <w:szCs w:val="20"/>
                <w:color w:val="auto"/>
              </w:rPr>
            </w:pPr>
            <w:r>
              <w:rPr>
                <w:rFonts w:ascii="Arial" w:cs="Arial" w:eastAsia="Arial" w:hAnsi="Arial"/>
                <w:sz w:val="12"/>
                <w:szCs w:val="12"/>
                <w:color w:val="auto"/>
                <w:w w:val="95"/>
              </w:rPr>
              <w:t>(1)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gridSpan w:val="3"/>
          </w:tcPr>
          <w:p>
            <w:pPr>
              <w:jc w:val="right"/>
              <w:ind w:right="4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40" w:type="dxa"/>
            <w:vAlign w:val="bottom"/>
          </w:tcPr>
          <w:p>
            <w:pPr>
              <w:ind w:left="580"/>
              <w:spacing w:after="0"/>
              <w:rPr>
                <w:sz w:val="20"/>
                <w:szCs w:val="20"/>
                <w:color w:val="auto"/>
              </w:rPr>
            </w:pPr>
            <w:r>
              <w:rPr>
                <w:rFonts w:ascii="Arial" w:cs="Arial" w:eastAsia="Arial" w:hAnsi="Arial"/>
                <w:sz w:val="12"/>
                <w:szCs w:val="12"/>
                <w:color w:val="auto"/>
                <w:w w:val="95"/>
              </w:rPr>
              <w:t>(1)</w:t>
            </w:r>
          </w:p>
        </w:tc>
        <w:tc>
          <w:tcPr>
            <w:tcW w:w="80" w:type="dxa"/>
            <w:vAlign w:val="bottom"/>
          </w:tcPr>
          <w:p>
            <w:pPr>
              <w:spacing w:after="0"/>
              <w:rPr>
                <w:sz w:val="13"/>
                <w:szCs w:val="13"/>
                <w:color w:val="auto"/>
              </w:rPr>
            </w:pPr>
          </w:p>
        </w:tc>
        <w:tc>
          <w:tcPr>
            <w:tcW w:w="4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820" w:type="dxa"/>
            <w:vAlign w:val="bottom"/>
          </w:tcPr>
          <w:p>
            <w:pPr>
              <w:jc w:val="center"/>
              <w:ind w:left="521"/>
              <w:spacing w:after="0"/>
              <w:rPr>
                <w:sz w:val="20"/>
                <w:szCs w:val="20"/>
                <w:color w:val="auto"/>
              </w:rPr>
            </w:pPr>
            <w:r>
              <w:rPr>
                <w:rFonts w:ascii="Arial" w:cs="Arial" w:eastAsia="Arial" w:hAnsi="Arial"/>
                <w:sz w:val="12"/>
                <w:szCs w:val="12"/>
                <w:color w:val="auto"/>
                <w:w w:val="93"/>
              </w:rPr>
              <w:t>(10)</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740" w:type="dxa"/>
            <w:vAlign w:val="bottom"/>
          </w:tcPr>
          <w:p>
            <w:pPr>
              <w:ind w:left="600"/>
              <w:spacing w:after="0"/>
              <w:rPr>
                <w:sz w:val="20"/>
                <w:szCs w:val="20"/>
                <w:color w:val="auto"/>
              </w:rPr>
            </w:pPr>
            <w:r>
              <w:rPr>
                <w:rFonts w:ascii="Arial" w:cs="Arial" w:eastAsia="Arial" w:hAnsi="Arial"/>
                <w:sz w:val="12"/>
                <w:szCs w:val="12"/>
                <w:color w:val="auto"/>
                <w:w w:val="81"/>
              </w:rPr>
              <w:t>(6)</w:t>
            </w:r>
          </w:p>
        </w:tc>
        <w:tc>
          <w:tcPr>
            <w:tcW w:w="0" w:type="dxa"/>
            <w:vAlign w:val="bottom"/>
          </w:tcPr>
          <w:p>
            <w:pPr>
              <w:spacing w:after="0"/>
              <w:rPr>
                <w:sz w:val="1"/>
                <w:szCs w:val="1"/>
                <w:color w:val="auto"/>
              </w:rPr>
            </w:pPr>
          </w:p>
        </w:tc>
      </w:tr>
      <w:tr>
        <w:trPr>
          <w:trHeight w:val="173"/>
        </w:trPr>
        <w:tc>
          <w:tcPr>
            <w:tcW w:w="22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2"/>
                <w:szCs w:val="12"/>
                <w:b w:val="1"/>
                <w:bCs w:val="1"/>
                <w:color w:val="auto"/>
              </w:rPr>
              <w:t>Ending Balance</w:t>
            </w:r>
          </w:p>
        </w:tc>
        <w:tc>
          <w:tcPr>
            <w:tcW w:w="1200" w:type="dxa"/>
            <w:vAlign w:val="bottom"/>
            <w:tcBorders>
              <w:top w:val="single" w:sz="8" w:color="auto"/>
              <w:bottom w:val="single" w:sz="8" w:color="auto"/>
            </w:tcBorders>
            <w:shd w:val="clear" w:color="auto" w:fill="CCEEFF"/>
          </w:tcPr>
          <w:p>
            <w:pPr>
              <w:jc w:val="right"/>
              <w:ind w:right="741"/>
              <w:spacing w:after="0"/>
              <w:rPr>
                <w:sz w:val="20"/>
                <w:szCs w:val="20"/>
                <w:color w:val="auto"/>
              </w:rPr>
            </w:pPr>
            <w:r>
              <w:rPr>
                <w:rFonts w:ascii="Arial" w:cs="Arial" w:eastAsia="Arial" w:hAnsi="Arial"/>
                <w:sz w:val="12"/>
                <w:szCs w:val="12"/>
                <w:color w:val="auto"/>
              </w:rPr>
              <w:t>$</w:t>
            </w:r>
          </w:p>
        </w:tc>
        <w:tc>
          <w:tcPr>
            <w:tcW w:w="2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rPr>
              <w:t>27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2"/>
                <w:szCs w:val="12"/>
                <w:color w:val="auto"/>
              </w:rPr>
              <w:t>33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auto"/>
              <w:bottom w:val="single" w:sz="8" w:color="auto"/>
            </w:tcBorders>
            <w:shd w:val="clear" w:color="auto" w:fill="CCEEFF"/>
          </w:tcPr>
          <w:p>
            <w:pPr>
              <w:jc w:val="center"/>
              <w:ind w:left="521"/>
              <w:spacing w:after="0"/>
              <w:rPr>
                <w:sz w:val="20"/>
                <w:szCs w:val="20"/>
                <w:color w:val="auto"/>
              </w:rPr>
            </w:pPr>
            <w:r>
              <w:rPr>
                <w:rFonts w:ascii="Arial" w:cs="Arial" w:eastAsia="Arial" w:hAnsi="Arial"/>
                <w:sz w:val="12"/>
                <w:szCs w:val="12"/>
                <w:color w:val="auto"/>
                <w:w w:val="89"/>
              </w:rPr>
              <w:t>27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tbl>
      <w:tblPr>
        <w:tblLayout w:type="fixed"/>
        <w:tblInd w:w="340" w:type="dxa"/>
        <w:tblCellMar>
          <w:top w:w="0" w:type="dxa"/>
          <w:left w:w="0" w:type="dxa"/>
          <w:bottom w:w="0" w:type="dxa"/>
          <w:right w:w="0" w:type="dxa"/>
        </w:tblCellMar>
      </w:tblPr>
      <w:tr>
        <w:trPr>
          <w:trHeight w:val="156"/>
        </w:trPr>
        <w:tc>
          <w:tcPr>
            <w:tcW w:w="218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6"/>
          </w:tcPr>
          <w:p>
            <w:pPr>
              <w:ind w:left="100"/>
              <w:spacing w:after="0"/>
              <w:rPr>
                <w:sz w:val="20"/>
                <w:szCs w:val="20"/>
                <w:color w:val="auto"/>
              </w:rPr>
            </w:pPr>
            <w:r>
              <w:rPr>
                <w:rFonts w:ascii="Arial" w:cs="Arial" w:eastAsia="Arial" w:hAnsi="Arial"/>
                <w:sz w:val="12"/>
                <w:szCs w:val="12"/>
                <w:b w:val="1"/>
                <w:bCs w:val="1"/>
                <w:color w:val="auto"/>
                <w:w w:val="87"/>
              </w:rPr>
              <w:t>Three months ended September 30, 2020</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6"/>
          </w:tcPr>
          <w:p>
            <w:pPr>
              <w:ind w:left="900"/>
              <w:spacing w:after="0"/>
              <w:rPr>
                <w:sz w:val="20"/>
                <w:szCs w:val="20"/>
                <w:color w:val="auto"/>
              </w:rPr>
            </w:pPr>
            <w:r>
              <w:rPr>
                <w:rFonts w:ascii="Arial" w:cs="Arial" w:eastAsia="Arial" w:hAnsi="Arial"/>
                <w:sz w:val="12"/>
                <w:szCs w:val="12"/>
                <w:b w:val="1"/>
                <w:bCs w:val="1"/>
                <w:color w:val="auto"/>
                <w:w w:val="87"/>
              </w:rPr>
              <w:t>Four months ended September 30, 2020</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180" w:type="dxa"/>
            <w:vAlign w:val="bottom"/>
          </w:tcPr>
          <w:p>
            <w:pPr>
              <w:spacing w:after="0"/>
              <w:rPr>
                <w:sz w:val="9"/>
                <w:szCs w:val="9"/>
                <w:color w:val="auto"/>
              </w:rPr>
            </w:pPr>
          </w:p>
        </w:tc>
        <w:tc>
          <w:tcPr>
            <w:tcW w:w="1180" w:type="dxa"/>
            <w:vAlign w:val="bottom"/>
          </w:tcPr>
          <w:p>
            <w:pPr>
              <w:jc w:val="right"/>
              <w:spacing w:after="0" w:line="107" w:lineRule="exact"/>
              <w:rPr>
                <w:sz w:val="20"/>
                <w:szCs w:val="20"/>
                <w:color w:val="auto"/>
              </w:rPr>
            </w:pPr>
            <w:r>
              <w:rPr>
                <w:rFonts w:ascii="Arial" w:cs="Arial" w:eastAsia="Arial" w:hAnsi="Arial"/>
                <w:sz w:val="12"/>
                <w:szCs w:val="12"/>
                <w:b w:val="1"/>
                <w:bCs w:val="1"/>
                <w:color w:val="auto"/>
              </w:rPr>
              <w:t>Residential</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20" w:type="dxa"/>
            <w:vAlign w:val="bottom"/>
            <w:gridSpan w:val="3"/>
          </w:tcPr>
          <w:p>
            <w:pPr>
              <w:ind w:left="140"/>
              <w:spacing w:after="0" w:line="107" w:lineRule="exact"/>
              <w:rPr>
                <w:sz w:val="20"/>
                <w:szCs w:val="20"/>
                <w:color w:val="auto"/>
              </w:rPr>
            </w:pPr>
            <w:r>
              <w:rPr>
                <w:rFonts w:ascii="Arial" w:cs="Arial" w:eastAsia="Arial" w:hAnsi="Arial"/>
                <w:sz w:val="12"/>
                <w:szCs w:val="12"/>
                <w:b w:val="1"/>
                <w:bCs w:val="1"/>
                <w:color w:val="auto"/>
              </w:rPr>
              <w:t>Commercial</w:t>
            </w:r>
          </w:p>
        </w:tc>
        <w:tc>
          <w:tcPr>
            <w:tcW w:w="200" w:type="dxa"/>
            <w:vAlign w:val="bottom"/>
          </w:tcPr>
          <w:p>
            <w:pPr>
              <w:spacing w:after="0"/>
              <w:rPr>
                <w:sz w:val="9"/>
                <w:szCs w:val="9"/>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Total</w:t>
            </w:r>
          </w:p>
        </w:tc>
        <w:tc>
          <w:tcPr>
            <w:tcW w:w="420" w:type="dxa"/>
            <w:vAlign w:val="bottom"/>
          </w:tcPr>
          <w:p>
            <w:pPr>
              <w:spacing w:after="0"/>
              <w:rPr>
                <w:sz w:val="9"/>
                <w:szCs w:val="9"/>
                <w:color w:val="auto"/>
              </w:rPr>
            </w:pPr>
          </w:p>
        </w:tc>
        <w:tc>
          <w:tcPr>
            <w:tcW w:w="1080" w:type="dxa"/>
            <w:vAlign w:val="bottom"/>
            <w:gridSpan w:val="2"/>
          </w:tcPr>
          <w:p>
            <w:pPr>
              <w:ind w:left="160"/>
              <w:spacing w:after="0" w:line="107" w:lineRule="exact"/>
              <w:rPr>
                <w:sz w:val="20"/>
                <w:szCs w:val="20"/>
                <w:color w:val="auto"/>
              </w:rPr>
            </w:pPr>
            <w:r>
              <w:rPr>
                <w:rFonts w:ascii="Arial" w:cs="Arial" w:eastAsia="Arial" w:hAnsi="Arial"/>
                <w:sz w:val="12"/>
                <w:szCs w:val="12"/>
                <w:b w:val="1"/>
                <w:bCs w:val="1"/>
                <w:color w:val="auto"/>
              </w:rPr>
              <w:t>Residential</w:t>
            </w:r>
          </w:p>
        </w:tc>
        <w:tc>
          <w:tcPr>
            <w:tcW w:w="440" w:type="dxa"/>
            <w:vAlign w:val="bottom"/>
          </w:tcPr>
          <w:p>
            <w:pPr>
              <w:spacing w:after="0"/>
              <w:rPr>
                <w:sz w:val="9"/>
                <w:szCs w:val="9"/>
                <w:color w:val="auto"/>
              </w:rPr>
            </w:pPr>
          </w:p>
        </w:tc>
        <w:tc>
          <w:tcPr>
            <w:tcW w:w="1400" w:type="dxa"/>
            <w:vAlign w:val="bottom"/>
            <w:gridSpan w:val="3"/>
          </w:tcPr>
          <w:p>
            <w:pPr>
              <w:ind w:left="140"/>
              <w:spacing w:after="0" w:line="107" w:lineRule="exact"/>
              <w:rPr>
                <w:sz w:val="20"/>
                <w:szCs w:val="20"/>
                <w:color w:val="auto"/>
              </w:rPr>
            </w:pPr>
            <w:r>
              <w:rPr>
                <w:rFonts w:ascii="Arial" w:cs="Arial" w:eastAsia="Arial" w:hAnsi="Arial"/>
                <w:sz w:val="12"/>
                <w:szCs w:val="12"/>
                <w:b w:val="1"/>
                <w:bCs w:val="1"/>
                <w:color w:val="auto"/>
              </w:rPr>
              <w:t>Commercial</w:t>
            </w:r>
          </w:p>
        </w:tc>
        <w:tc>
          <w:tcPr>
            <w:tcW w:w="220" w:type="dxa"/>
            <w:vAlign w:val="bottom"/>
          </w:tcPr>
          <w:p>
            <w:pPr>
              <w:spacing w:after="0"/>
              <w:rPr>
                <w:sz w:val="9"/>
                <w:szCs w:val="9"/>
                <w:color w:val="auto"/>
              </w:rPr>
            </w:pPr>
          </w:p>
        </w:tc>
        <w:tc>
          <w:tcPr>
            <w:tcW w:w="720" w:type="dxa"/>
            <w:vAlign w:val="bottom"/>
            <w:vMerge w:val="restart"/>
          </w:tcPr>
          <w:p>
            <w:pPr>
              <w:jc w:val="right"/>
              <w:ind w:right="281"/>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3"/>
        </w:trPr>
        <w:tc>
          <w:tcPr>
            <w:tcW w:w="2180" w:type="dxa"/>
            <w:vAlign w:val="bottom"/>
          </w:tcPr>
          <w:p>
            <w:pPr>
              <w:spacing w:after="0"/>
              <w:rPr>
                <w:sz w:val="13"/>
                <w:szCs w:val="13"/>
                <w:color w:val="auto"/>
              </w:rPr>
            </w:pPr>
          </w:p>
        </w:tc>
        <w:tc>
          <w:tcPr>
            <w:tcW w:w="1180" w:type="dxa"/>
            <w:vAlign w:val="bottom"/>
          </w:tcPr>
          <w:p>
            <w:pPr>
              <w:jc w:val="right"/>
              <w:ind w:right="181"/>
              <w:spacing w:after="0"/>
              <w:rPr>
                <w:sz w:val="20"/>
                <w:szCs w:val="20"/>
                <w:color w:val="auto"/>
              </w:rPr>
            </w:pPr>
            <w:r>
              <w:rPr>
                <w:rFonts w:ascii="Arial" w:cs="Arial" w:eastAsia="Arial" w:hAnsi="Arial"/>
                <w:sz w:val="12"/>
                <w:szCs w:val="12"/>
                <w:b w:val="1"/>
                <w:bCs w:val="1"/>
                <w:color w:val="auto"/>
              </w:rPr>
              <w:t>Mortgage</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gridSpan w:val="3"/>
          </w:tcPr>
          <w:p>
            <w:pPr>
              <w:ind w:left="40"/>
              <w:spacing w:after="0"/>
              <w:rPr>
                <w:sz w:val="20"/>
                <w:szCs w:val="20"/>
                <w:color w:val="auto"/>
              </w:rPr>
            </w:pPr>
            <w:r>
              <w:rPr>
                <w:rFonts w:ascii="Arial" w:cs="Arial" w:eastAsia="Arial" w:hAnsi="Arial"/>
                <w:sz w:val="12"/>
                <w:szCs w:val="12"/>
                <w:b w:val="1"/>
                <w:bCs w:val="1"/>
                <w:color w:val="auto"/>
              </w:rPr>
              <w:t>Mortgage</w:t>
            </w:r>
          </w:p>
        </w:tc>
        <w:tc>
          <w:tcPr>
            <w:tcW w:w="2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Mortgage</w:t>
            </w:r>
          </w:p>
        </w:tc>
        <w:tc>
          <w:tcPr>
            <w:tcW w:w="440" w:type="dxa"/>
            <w:vAlign w:val="bottom"/>
          </w:tcPr>
          <w:p>
            <w:pPr>
              <w:spacing w:after="0"/>
              <w:rPr>
                <w:sz w:val="13"/>
                <w:szCs w:val="13"/>
                <w:color w:val="auto"/>
              </w:rPr>
            </w:pPr>
          </w:p>
        </w:tc>
        <w:tc>
          <w:tcPr>
            <w:tcW w:w="1400" w:type="dxa"/>
            <w:vAlign w:val="bottom"/>
            <w:gridSpan w:val="3"/>
          </w:tcPr>
          <w:p>
            <w:pPr>
              <w:ind w:left="20"/>
              <w:spacing w:after="0"/>
              <w:rPr>
                <w:sz w:val="20"/>
                <w:szCs w:val="20"/>
                <w:color w:val="auto"/>
              </w:rPr>
            </w:pPr>
            <w:r>
              <w:rPr>
                <w:rFonts w:ascii="Arial" w:cs="Arial" w:eastAsia="Arial" w:hAnsi="Arial"/>
                <w:sz w:val="12"/>
                <w:szCs w:val="12"/>
                <w:b w:val="1"/>
                <w:bCs w:val="1"/>
                <w:color w:val="auto"/>
              </w:rPr>
              <w:t>Mortgage</w:t>
            </w: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1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2"/>
                <w:szCs w:val="12"/>
                <w:b w:val="1"/>
                <w:bCs w:val="1"/>
                <w:color w:val="auto"/>
              </w:rPr>
              <w:t>Beginning Balance</w:t>
            </w:r>
          </w:p>
        </w:tc>
        <w:tc>
          <w:tcPr>
            <w:tcW w:w="1180" w:type="dxa"/>
            <w:vAlign w:val="bottom"/>
            <w:tcBorders>
              <w:top w:val="single" w:sz="8" w:color="auto"/>
            </w:tcBorders>
            <w:shd w:val="clear" w:color="auto" w:fill="CCEEFF"/>
          </w:tcPr>
          <w:p>
            <w:pPr>
              <w:jc w:val="right"/>
              <w:ind w:right="721"/>
              <w:spacing w:after="0"/>
              <w:rPr>
                <w:sz w:val="20"/>
                <w:szCs w:val="20"/>
                <w:color w:val="auto"/>
              </w:rPr>
            </w:pPr>
            <w:r>
              <w:rPr>
                <w:rFonts w:ascii="Arial" w:cs="Arial" w:eastAsia="Arial" w:hAnsi="Arial"/>
                <w:sz w:val="12"/>
                <w:szCs w:val="12"/>
                <w:color w:val="auto"/>
              </w:rPr>
              <w:t>$</w:t>
            </w:r>
          </w:p>
        </w:tc>
        <w:tc>
          <w:tcPr>
            <w:tcW w:w="2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26</w:t>
            </w: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2180" w:type="dxa"/>
            <w:vAlign w:val="bottom"/>
          </w:tcPr>
          <w:p>
            <w:pPr>
              <w:ind w:left="340"/>
              <w:spacing w:after="0"/>
              <w:rPr>
                <w:sz w:val="20"/>
                <w:szCs w:val="20"/>
                <w:color w:val="auto"/>
              </w:rPr>
            </w:pPr>
            <w:r>
              <w:rPr>
                <w:rFonts w:ascii="Arial" w:cs="Arial" w:eastAsia="Arial" w:hAnsi="Arial"/>
                <w:sz w:val="12"/>
                <w:szCs w:val="12"/>
                <w:color w:val="auto"/>
              </w:rPr>
              <w:t>Provision for loan losses</w:t>
            </w:r>
          </w:p>
        </w:tc>
        <w:tc>
          <w:tcPr>
            <w:tcW w:w="1180" w:type="dxa"/>
            <w:vAlign w:val="bottom"/>
          </w:tcPr>
          <w:p>
            <w:pPr>
              <w:spacing w:after="0"/>
              <w:rPr>
                <w:sz w:val="13"/>
                <w:szCs w:val="13"/>
                <w:color w:val="auto"/>
              </w:rPr>
            </w:pPr>
          </w:p>
        </w:tc>
        <w:tc>
          <w:tcPr>
            <w:tcW w:w="220" w:type="dxa"/>
            <w:vAlign w:val="bottom"/>
          </w:tcPr>
          <w:p>
            <w:pPr>
              <w:jc w:val="right"/>
              <w:ind w:right="1"/>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jc w:val="right"/>
              <w:ind w:right="81"/>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13"/>
        </w:trPr>
        <w:tc>
          <w:tcPr>
            <w:tcW w:w="2180" w:type="dxa"/>
            <w:vAlign w:val="bottom"/>
            <w:shd w:val="clear" w:color="auto" w:fill="CCEEFF"/>
          </w:tcPr>
          <w:p>
            <w:pPr>
              <w:ind w:left="340"/>
              <w:spacing w:after="0" w:line="113" w:lineRule="exact"/>
              <w:rPr>
                <w:sz w:val="20"/>
                <w:szCs w:val="20"/>
                <w:color w:val="auto"/>
              </w:rPr>
            </w:pPr>
            <w:r>
              <w:rPr>
                <w:rFonts w:ascii="Arial" w:cs="Arial" w:eastAsia="Arial" w:hAnsi="Arial"/>
                <w:sz w:val="12"/>
                <w:szCs w:val="12"/>
                <w:color w:val="auto"/>
                <w:w w:val="93"/>
              </w:rPr>
              <w:t>For initial credit losses on purchased</w:t>
            </w:r>
          </w:p>
        </w:tc>
        <w:tc>
          <w:tcPr>
            <w:tcW w:w="1180" w:type="dxa"/>
            <w:vAlign w:val="bottom"/>
            <w:shd w:val="clear" w:color="auto" w:fill="CCEEFF"/>
          </w:tcPr>
          <w:p>
            <w:pPr>
              <w:spacing w:after="0"/>
              <w:rPr>
                <w:sz w:val="9"/>
                <w:szCs w:val="9"/>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9"/>
                <w:szCs w:val="9"/>
                <w:color w:val="auto"/>
              </w:rPr>
            </w:pPr>
          </w:p>
        </w:tc>
        <w:tc>
          <w:tcPr>
            <w:tcW w:w="1420" w:type="dxa"/>
            <w:vAlign w:val="bottom"/>
            <w:gridSpan w:val="3"/>
            <w:vMerge w:val="restart"/>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0" w:type="dxa"/>
            <w:vAlign w:val="bottom"/>
            <w:gridSpan w:val="3"/>
            <w:vMerge w:val="restart"/>
            <w:shd w:val="clear" w:color="auto" w:fill="CCEEFF"/>
          </w:tcPr>
          <w:p>
            <w:pPr>
              <w:jc w:val="right"/>
              <w:ind w:right="4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55"/>
        </w:trPr>
        <w:tc>
          <w:tcPr>
            <w:tcW w:w="2180" w:type="dxa"/>
            <w:vAlign w:val="bottom"/>
            <w:shd w:val="clear" w:color="auto" w:fill="CCEEFF"/>
          </w:tcPr>
          <w:p>
            <w:pPr>
              <w:ind w:left="20"/>
              <w:spacing w:after="0"/>
              <w:rPr>
                <w:sz w:val="20"/>
                <w:szCs w:val="20"/>
                <w:color w:val="auto"/>
              </w:rPr>
            </w:pPr>
            <w:r>
              <w:rPr>
                <w:rFonts w:ascii="Arial" w:cs="Arial" w:eastAsia="Arial" w:hAnsi="Arial"/>
                <w:sz w:val="12"/>
                <w:szCs w:val="12"/>
                <w:color w:val="auto"/>
                <w:w w:val="91"/>
              </w:rPr>
              <w:t>loans accounted for as PCD financial assets</w:t>
            </w:r>
          </w:p>
        </w:tc>
        <w:tc>
          <w:tcPr>
            <w:tcW w:w="1180" w:type="dxa"/>
            <w:vAlign w:val="bottom"/>
            <w:shd w:val="clear" w:color="auto" w:fill="CCEEFF"/>
          </w:tcPr>
          <w:p>
            <w:pPr>
              <w:spacing w:after="0"/>
              <w:rPr>
                <w:sz w:val="13"/>
                <w:szCs w:val="13"/>
                <w:color w:val="auto"/>
              </w:rPr>
            </w:pPr>
          </w:p>
        </w:tc>
        <w:tc>
          <w:tcPr>
            <w:tcW w:w="300" w:type="dxa"/>
            <w:vAlign w:val="bottom"/>
            <w:gridSpan w:val="2"/>
            <w:vMerge w:val="continue"/>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20" w:type="dxa"/>
            <w:vAlign w:val="bottom"/>
            <w:gridSpan w:val="3"/>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0" w:type="dxa"/>
            <w:vAlign w:val="bottom"/>
            <w:gridSpan w:val="3"/>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180" w:type="dxa"/>
            <w:vAlign w:val="bottom"/>
          </w:tcPr>
          <w:p>
            <w:pPr>
              <w:ind w:left="340"/>
              <w:spacing w:after="0"/>
              <w:rPr>
                <w:sz w:val="20"/>
                <w:szCs w:val="20"/>
                <w:color w:val="auto"/>
              </w:rPr>
            </w:pPr>
            <w:r>
              <w:rPr>
                <w:rFonts w:ascii="Arial" w:cs="Arial" w:eastAsia="Arial" w:hAnsi="Arial"/>
                <w:sz w:val="12"/>
                <w:szCs w:val="12"/>
                <w:b w:val="1"/>
                <w:bCs w:val="1"/>
                <w:color w:val="auto"/>
              </w:rPr>
              <w:t>Ending Balance</w:t>
            </w:r>
          </w:p>
        </w:tc>
        <w:tc>
          <w:tcPr>
            <w:tcW w:w="118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12"/>
                <w:szCs w:val="12"/>
                <w:color w:val="auto"/>
              </w:rPr>
              <w:t>$</w:t>
            </w: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33</w:t>
            </w:r>
          </w:p>
        </w:tc>
        <w:tc>
          <w:tcPr>
            <w:tcW w:w="8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w:t>
            </w:r>
          </w:p>
        </w:tc>
        <w:tc>
          <w:tcPr>
            <w:tcW w:w="10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33</w:t>
            </w:r>
          </w:p>
        </w:tc>
        <w:tc>
          <w:tcPr>
            <w:tcW w:w="10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jc w:val="both"/>
        <w:ind w:firstLine="331"/>
        <w:spacing w:after="0"/>
        <w:rPr>
          <w:sz w:val="20"/>
          <w:szCs w:val="20"/>
          <w:color w:val="auto"/>
        </w:rPr>
      </w:pPr>
      <w:r>
        <w:rPr>
          <w:rFonts w:ascii="Arial" w:cs="Arial" w:eastAsia="Arial" w:hAnsi="Arial"/>
          <w:sz w:val="15"/>
          <w:szCs w:val="15"/>
          <w:color w:val="auto"/>
        </w:rPr>
        <w:t>An allowance for expected credit loss is not measured on accrued interest income for commercial mortgage loans as we have a process to write-off interest on loans that enter into non-accrual status (over 90 days past due). Allowances for expected credit losses are measured on accrued interest income for residential mortgage loans and were immaterial as of September 30, 2021 and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0" w:name="page41"/>
    <w:bookmarkEnd w:id="40"/>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and Investment Income</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major sources of Interest and investment income reported on the accompanying unaudited Condensed Consolidated Statements of Earnings were as follows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00" w:type="dxa"/>
            <w:vAlign w:val="bottom"/>
            <w:gridSpan w:val="5"/>
          </w:tcPr>
          <w:p>
            <w:pPr>
              <w:ind w:left="800"/>
              <w:spacing w:after="0"/>
              <w:rPr>
                <w:sz w:val="20"/>
                <w:szCs w:val="20"/>
                <w:color w:val="auto"/>
              </w:rPr>
            </w:pPr>
            <w:r>
              <w:rPr>
                <w:rFonts w:ascii="Arial" w:cs="Arial" w:eastAsia="Arial" w:hAnsi="Arial"/>
                <w:sz w:val="12"/>
                <w:szCs w:val="12"/>
                <w:b w:val="1"/>
                <w:bCs w:val="1"/>
                <w:color w:val="auto"/>
              </w:rPr>
              <w:t>Three months ended</w:t>
            </w:r>
          </w:p>
        </w:tc>
        <w:tc>
          <w:tcPr>
            <w:tcW w:w="140" w:type="dxa"/>
            <w:vAlign w:val="bottom"/>
          </w:tcPr>
          <w:p>
            <w:pPr>
              <w:spacing w:after="0"/>
              <w:rPr>
                <w:sz w:val="13"/>
                <w:szCs w:val="13"/>
                <w:color w:val="auto"/>
              </w:rPr>
            </w:pPr>
          </w:p>
        </w:tc>
        <w:tc>
          <w:tcPr>
            <w:tcW w:w="2800" w:type="dxa"/>
            <w:vAlign w:val="bottom"/>
            <w:gridSpan w:val="4"/>
          </w:tcPr>
          <w:p>
            <w:pPr>
              <w:jc w:val="right"/>
              <w:ind w:right="921"/>
              <w:spacing w:after="0"/>
              <w:rPr>
                <w:sz w:val="20"/>
                <w:szCs w:val="20"/>
                <w:color w:val="auto"/>
              </w:rPr>
            </w:pPr>
            <w:r>
              <w:rPr>
                <w:rFonts w:ascii="Arial" w:cs="Arial" w:eastAsia="Arial" w:hAnsi="Arial"/>
                <w:sz w:val="12"/>
                <w:szCs w:val="12"/>
                <w:b w:val="1"/>
                <w:bCs w:val="1"/>
                <w:color w:val="auto"/>
              </w:rPr>
              <w:t>Nine months ended</w:t>
            </w:r>
          </w:p>
        </w:tc>
      </w:tr>
      <w:tr>
        <w:trPr>
          <w:trHeight w:val="147"/>
        </w:trPr>
        <w:tc>
          <w:tcPr>
            <w:tcW w:w="5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September 30, 2021</w:t>
            </w: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161"/>
              <w:spacing w:after="0"/>
              <w:rPr>
                <w:sz w:val="20"/>
                <w:szCs w:val="20"/>
                <w:color w:val="auto"/>
              </w:rPr>
            </w:pPr>
            <w:r>
              <w:rPr>
                <w:rFonts w:ascii="Arial" w:cs="Arial" w:eastAsia="Arial" w:hAnsi="Arial"/>
                <w:sz w:val="12"/>
                <w:szCs w:val="12"/>
                <w:b w:val="1"/>
                <w:bCs w:val="1"/>
                <w:color w:val="auto"/>
                <w:w w:val="92"/>
              </w:rPr>
              <w:t>September 30, 2020</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September 30, 2021</w:t>
            </w: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161"/>
              <w:spacing w:after="0"/>
              <w:rPr>
                <w:sz w:val="20"/>
                <w:szCs w:val="20"/>
                <w:color w:val="auto"/>
              </w:rPr>
            </w:pPr>
            <w:r>
              <w:rPr>
                <w:rFonts w:ascii="Arial" w:cs="Arial" w:eastAsia="Arial" w:hAnsi="Arial"/>
                <w:sz w:val="12"/>
                <w:szCs w:val="12"/>
                <w:b w:val="1"/>
                <w:bCs w:val="1"/>
                <w:color w:val="auto"/>
                <w:w w:val="90"/>
              </w:rPr>
              <w:t>September 30, 2020</w:t>
            </w:r>
          </w:p>
        </w:tc>
      </w:tr>
      <w:tr>
        <w:trPr>
          <w:trHeight w:val="146"/>
        </w:trPr>
        <w:tc>
          <w:tcPr>
            <w:tcW w:w="5300" w:type="dxa"/>
            <w:vAlign w:val="bottom"/>
          </w:tcPr>
          <w:p>
            <w:pPr>
              <w:ind w:left="20"/>
              <w:spacing w:after="0"/>
              <w:rPr>
                <w:sz w:val="20"/>
                <w:szCs w:val="20"/>
                <w:color w:val="auto"/>
              </w:rPr>
            </w:pPr>
            <w:r>
              <w:rPr>
                <w:rFonts w:ascii="Arial" w:cs="Arial" w:eastAsia="Arial" w:hAnsi="Arial"/>
                <w:sz w:val="12"/>
                <w:szCs w:val="12"/>
                <w:color w:val="auto"/>
              </w:rPr>
              <w:t>Fixed maturity securities, available-for-sale</w:t>
            </w:r>
          </w:p>
        </w:tc>
        <w:tc>
          <w:tcPr>
            <w:tcW w:w="140" w:type="dxa"/>
            <w:vAlign w:val="bottom"/>
            <w:tcBorders>
              <w:top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313</w:t>
            </w:r>
          </w:p>
        </w:tc>
        <w:tc>
          <w:tcPr>
            <w:tcW w:w="120" w:type="dxa"/>
            <w:vAlign w:val="bottom"/>
          </w:tcPr>
          <w:p>
            <w:pPr>
              <w:spacing w:after="0"/>
              <w:rPr>
                <w:sz w:val="12"/>
                <w:szCs w:val="12"/>
                <w:color w:val="auto"/>
              </w:rPr>
            </w:pPr>
          </w:p>
        </w:tc>
        <w:tc>
          <w:tcPr>
            <w:tcW w:w="14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286</w:t>
            </w:r>
          </w:p>
        </w:tc>
        <w:tc>
          <w:tcPr>
            <w:tcW w:w="100" w:type="dxa"/>
            <w:vAlign w:val="bottom"/>
          </w:tcPr>
          <w:p>
            <w:pPr>
              <w:spacing w:after="0"/>
              <w:rPr>
                <w:sz w:val="12"/>
                <w:szCs w:val="12"/>
                <w:color w:val="auto"/>
              </w:rPr>
            </w:pPr>
          </w:p>
        </w:tc>
        <w:tc>
          <w:tcPr>
            <w:tcW w:w="14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944</w:t>
            </w:r>
          </w:p>
        </w:tc>
        <w:tc>
          <w:tcPr>
            <w:tcW w:w="100" w:type="dxa"/>
            <w:vAlign w:val="bottom"/>
          </w:tcPr>
          <w:p>
            <w:pPr>
              <w:spacing w:after="0"/>
              <w:rPr>
                <w:sz w:val="12"/>
                <w:szCs w:val="12"/>
                <w:color w:val="auto"/>
              </w:rPr>
            </w:pPr>
          </w:p>
        </w:tc>
        <w:tc>
          <w:tcPr>
            <w:tcW w:w="160" w:type="dxa"/>
            <w:vAlign w:val="bottom"/>
            <w:tcBorders>
              <w:top w:val="single" w:sz="8" w:color="auto"/>
            </w:tcBorders>
          </w:tcPr>
          <w:p>
            <w:pPr>
              <w:jc w:val="right"/>
              <w:ind w:right="21"/>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419</w:t>
            </w:r>
          </w:p>
        </w:tc>
      </w:tr>
      <w:tr>
        <w:trPr>
          <w:trHeight w:val="157"/>
        </w:trPr>
        <w:tc>
          <w:tcPr>
            <w:tcW w:w="5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 securities</w:t>
            </w: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w:t>
            </w:r>
          </w:p>
        </w:tc>
      </w:tr>
      <w:tr>
        <w:trPr>
          <w:trHeight w:val="152"/>
        </w:trPr>
        <w:tc>
          <w:tcPr>
            <w:tcW w:w="5300" w:type="dxa"/>
            <w:vAlign w:val="bottom"/>
          </w:tcPr>
          <w:p>
            <w:pPr>
              <w:ind w:left="20"/>
              <w:spacing w:after="0"/>
              <w:rPr>
                <w:sz w:val="20"/>
                <w:szCs w:val="20"/>
                <w:color w:val="auto"/>
              </w:rPr>
            </w:pPr>
            <w:r>
              <w:rPr>
                <w:rFonts w:ascii="Arial" w:cs="Arial" w:eastAsia="Arial" w:hAnsi="Arial"/>
                <w:sz w:val="12"/>
                <w:szCs w:val="12"/>
                <w:color w:val="auto"/>
              </w:rPr>
              <w:t>Preferred securities</w:t>
            </w:r>
          </w:p>
        </w:tc>
        <w:tc>
          <w:tcPr>
            <w:tcW w:w="1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ind w:right="1"/>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ind w:right="1"/>
              <w:spacing w:after="0"/>
              <w:rPr>
                <w:sz w:val="20"/>
                <w:szCs w:val="20"/>
                <w:color w:val="auto"/>
              </w:rPr>
            </w:pPr>
            <w:r>
              <w:rPr>
                <w:rFonts w:ascii="Arial" w:cs="Arial" w:eastAsia="Arial" w:hAnsi="Arial"/>
                <w:sz w:val="12"/>
                <w:szCs w:val="12"/>
                <w:color w:val="auto"/>
              </w:rPr>
              <w:t>45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1"/>
              <w:spacing w:after="0"/>
              <w:rPr>
                <w:sz w:val="20"/>
                <w:szCs w:val="20"/>
                <w:color w:val="auto"/>
              </w:rPr>
            </w:pPr>
            <w:r>
              <w:rPr>
                <w:rFonts w:ascii="Arial" w:cs="Arial" w:eastAsia="Arial" w:hAnsi="Arial"/>
                <w:sz w:val="12"/>
                <w:szCs w:val="12"/>
                <w:color w:val="auto"/>
              </w:rPr>
              <w:t>40</w:t>
            </w:r>
          </w:p>
        </w:tc>
      </w:tr>
      <w:tr>
        <w:trPr>
          <w:trHeight w:val="157"/>
        </w:trPr>
        <w:tc>
          <w:tcPr>
            <w:tcW w:w="5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Mortgage loans</w:t>
            </w: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31</w:t>
            </w:r>
          </w:p>
        </w:tc>
      </w:tr>
      <w:tr>
        <w:trPr>
          <w:trHeight w:val="152"/>
        </w:trPr>
        <w:tc>
          <w:tcPr>
            <w:tcW w:w="5300" w:type="dxa"/>
            <w:vAlign w:val="bottom"/>
          </w:tcPr>
          <w:p>
            <w:pPr>
              <w:ind w:left="20"/>
              <w:spacing w:after="0"/>
              <w:rPr>
                <w:sz w:val="20"/>
                <w:szCs w:val="20"/>
                <w:color w:val="auto"/>
              </w:rPr>
            </w:pPr>
            <w:r>
              <w:rPr>
                <w:rFonts w:ascii="Arial" w:cs="Arial" w:eastAsia="Arial" w:hAnsi="Arial"/>
                <w:sz w:val="12"/>
                <w:szCs w:val="12"/>
                <w:color w:val="auto"/>
              </w:rPr>
              <w:t>Invested cash and short-term investments</w:t>
            </w:r>
          </w:p>
        </w:tc>
        <w:tc>
          <w:tcPr>
            <w:tcW w:w="1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280" w:type="dxa"/>
            <w:vAlign w:val="bottom"/>
          </w:tcPr>
          <w:p>
            <w:pPr>
              <w:jc w:val="right"/>
              <w:ind w:right="1"/>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1"/>
              <w:spacing w:after="0"/>
              <w:rPr>
                <w:sz w:val="20"/>
                <w:szCs w:val="20"/>
                <w:color w:val="auto"/>
              </w:rPr>
            </w:pPr>
            <w:r>
              <w:rPr>
                <w:rFonts w:ascii="Arial" w:cs="Arial" w:eastAsia="Arial" w:hAnsi="Arial"/>
                <w:sz w:val="12"/>
                <w:szCs w:val="12"/>
                <w:color w:val="auto"/>
              </w:rPr>
              <w:t>8</w:t>
            </w:r>
          </w:p>
        </w:tc>
      </w:tr>
      <w:tr>
        <w:trPr>
          <w:trHeight w:val="157"/>
        </w:trPr>
        <w:tc>
          <w:tcPr>
            <w:tcW w:w="5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Limited partnerships</w:t>
            </w: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412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25</w:t>
            </w:r>
          </w:p>
        </w:tc>
      </w:tr>
      <w:tr>
        <w:trPr>
          <w:trHeight w:val="152"/>
        </w:trPr>
        <w:tc>
          <w:tcPr>
            <w:tcW w:w="5300" w:type="dxa"/>
            <w:vAlign w:val="bottom"/>
          </w:tcPr>
          <w:p>
            <w:pPr>
              <w:ind w:left="20"/>
              <w:spacing w:after="0"/>
              <w:rPr>
                <w:sz w:val="20"/>
                <w:szCs w:val="20"/>
                <w:color w:val="auto"/>
              </w:rPr>
            </w:pPr>
            <w:r>
              <w:rPr>
                <w:rFonts w:ascii="Arial" w:cs="Arial" w:eastAsia="Arial" w:hAnsi="Arial"/>
                <w:sz w:val="12"/>
                <w:szCs w:val="12"/>
                <w:color w:val="auto"/>
              </w:rPr>
              <w:t>Tax deferred property exchange income</w:t>
            </w:r>
          </w:p>
        </w:tc>
        <w:tc>
          <w:tcPr>
            <w:tcW w:w="1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ind w:right="1"/>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ind w:right="1"/>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1"/>
              <w:spacing w:after="0"/>
              <w:rPr>
                <w:sz w:val="20"/>
                <w:szCs w:val="20"/>
                <w:color w:val="auto"/>
              </w:rPr>
            </w:pPr>
            <w:r>
              <w:rPr>
                <w:rFonts w:ascii="Arial" w:cs="Arial" w:eastAsia="Arial" w:hAnsi="Arial"/>
                <w:sz w:val="12"/>
                <w:szCs w:val="12"/>
                <w:color w:val="auto"/>
              </w:rPr>
              <w:t>28</w:t>
            </w:r>
          </w:p>
        </w:tc>
      </w:tr>
      <w:tr>
        <w:trPr>
          <w:trHeight w:val="157"/>
        </w:trPr>
        <w:tc>
          <w:tcPr>
            <w:tcW w:w="5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investments</w:t>
            </w:r>
          </w:p>
        </w:tc>
        <w:tc>
          <w:tcPr>
            <w:tcW w:w="14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24</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19</w:t>
            </w:r>
          </w:p>
        </w:tc>
      </w:tr>
      <w:tr>
        <w:trPr>
          <w:trHeight w:val="143"/>
        </w:trPr>
        <w:tc>
          <w:tcPr>
            <w:tcW w:w="5300" w:type="dxa"/>
            <w:vAlign w:val="bottom"/>
          </w:tcPr>
          <w:p>
            <w:pPr>
              <w:ind w:left="180"/>
              <w:spacing w:after="0" w:line="136" w:lineRule="exact"/>
              <w:rPr>
                <w:sz w:val="20"/>
                <w:szCs w:val="20"/>
                <w:color w:val="auto"/>
              </w:rPr>
            </w:pPr>
            <w:r>
              <w:rPr>
                <w:rFonts w:ascii="Arial" w:cs="Arial" w:eastAsia="Arial" w:hAnsi="Arial"/>
                <w:sz w:val="12"/>
                <w:szCs w:val="12"/>
                <w:color w:val="auto"/>
              </w:rPr>
              <w:t>Gross investment income</w:t>
            </w:r>
          </w:p>
        </w:tc>
        <w:tc>
          <w:tcPr>
            <w:tcW w:w="14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551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1"/>
              <w:spacing w:after="0"/>
              <w:rPr>
                <w:sz w:val="20"/>
                <w:szCs w:val="20"/>
                <w:color w:val="auto"/>
              </w:rPr>
            </w:pPr>
            <w:r>
              <w:rPr>
                <w:rFonts w:ascii="Arial" w:cs="Arial" w:eastAsia="Arial" w:hAnsi="Arial"/>
                <w:sz w:val="12"/>
                <w:szCs w:val="12"/>
                <w:color w:val="auto"/>
              </w:rPr>
              <w:t>367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1"/>
              <w:spacing w:after="0"/>
              <w:rPr>
                <w:sz w:val="20"/>
                <w:szCs w:val="20"/>
                <w:color w:val="auto"/>
              </w:rPr>
            </w:pPr>
            <w:r>
              <w:rPr>
                <w:rFonts w:ascii="Arial" w:cs="Arial" w:eastAsia="Arial" w:hAnsi="Arial"/>
                <w:sz w:val="12"/>
                <w:szCs w:val="12"/>
                <w:color w:val="auto"/>
              </w:rPr>
              <w:t>1,549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ind w:right="1"/>
              <w:spacing w:after="0"/>
              <w:rPr>
                <w:sz w:val="20"/>
                <w:szCs w:val="20"/>
                <w:color w:val="auto"/>
              </w:rPr>
            </w:pPr>
            <w:r>
              <w:rPr>
                <w:rFonts w:ascii="Arial" w:cs="Arial" w:eastAsia="Arial" w:hAnsi="Arial"/>
                <w:sz w:val="12"/>
                <w:szCs w:val="12"/>
                <w:color w:val="auto"/>
              </w:rPr>
              <w:t>584</w:t>
            </w:r>
          </w:p>
        </w:tc>
      </w:tr>
      <w:tr>
        <w:trPr>
          <w:trHeight w:val="155"/>
        </w:trPr>
        <w:tc>
          <w:tcPr>
            <w:tcW w:w="5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Investment expense</w:t>
            </w:r>
          </w:p>
        </w:tc>
        <w:tc>
          <w:tcPr>
            <w:tcW w:w="14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w:t>
            </w:r>
          </w:p>
        </w:tc>
        <w:tc>
          <w:tcPr>
            <w:tcW w:w="1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(125)</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w:t>
            </w:r>
          </w:p>
        </w:tc>
      </w:tr>
      <w:tr>
        <w:trPr>
          <w:trHeight w:val="148"/>
        </w:trPr>
        <w:tc>
          <w:tcPr>
            <w:tcW w:w="5300" w:type="dxa"/>
            <w:vAlign w:val="bottom"/>
          </w:tcPr>
          <w:p>
            <w:pPr>
              <w:ind w:left="20"/>
              <w:spacing w:after="0"/>
              <w:rPr>
                <w:sz w:val="20"/>
                <w:szCs w:val="20"/>
                <w:color w:val="auto"/>
              </w:rPr>
            </w:pPr>
            <w:r>
              <w:rPr>
                <w:rFonts w:ascii="Arial" w:cs="Arial" w:eastAsia="Arial" w:hAnsi="Arial"/>
                <w:sz w:val="12"/>
                <w:szCs w:val="12"/>
                <w:b w:val="1"/>
                <w:bCs w:val="1"/>
                <w:color w:val="auto"/>
              </w:rPr>
              <w:t>Interest and investment income</w:t>
            </w:r>
          </w:p>
        </w:tc>
        <w:tc>
          <w:tcPr>
            <w:tcW w:w="14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508</w:t>
            </w:r>
          </w:p>
        </w:tc>
        <w:tc>
          <w:tcPr>
            <w:tcW w:w="120" w:type="dxa"/>
            <w:vAlign w:val="bottom"/>
          </w:tcPr>
          <w:p>
            <w:pPr>
              <w:spacing w:after="0"/>
              <w:rPr>
                <w:sz w:val="12"/>
                <w:szCs w:val="12"/>
                <w:color w:val="auto"/>
              </w:rPr>
            </w:pPr>
          </w:p>
        </w:tc>
        <w:tc>
          <w:tcPr>
            <w:tcW w:w="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336</w:t>
            </w:r>
          </w:p>
        </w:tc>
        <w:tc>
          <w:tcPr>
            <w:tcW w:w="100" w:type="dxa"/>
            <w:vAlign w:val="bottom"/>
          </w:tcPr>
          <w:p>
            <w:pPr>
              <w:spacing w:after="0"/>
              <w:rPr>
                <w:sz w:val="12"/>
                <w:szCs w:val="12"/>
                <w:color w:val="auto"/>
              </w:rPr>
            </w:pPr>
          </w:p>
        </w:tc>
        <w:tc>
          <w:tcPr>
            <w:tcW w:w="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1,424</w:t>
            </w:r>
          </w:p>
        </w:tc>
        <w:tc>
          <w:tcPr>
            <w:tcW w:w="100" w:type="dxa"/>
            <w:vAlign w:val="bottom"/>
          </w:tcPr>
          <w:p>
            <w:pPr>
              <w:spacing w:after="0"/>
              <w:rPr>
                <w:sz w:val="12"/>
                <w:szCs w:val="12"/>
                <w:color w:val="auto"/>
              </w:rPr>
            </w:pPr>
          </w:p>
        </w:tc>
        <w:tc>
          <w:tcPr>
            <w:tcW w:w="1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541</w:t>
            </w:r>
          </w:p>
        </w:tc>
      </w:tr>
      <w:tr>
        <w:trPr>
          <w:trHeight w:val="20"/>
        </w:trPr>
        <w:tc>
          <w:tcPr>
            <w:tcW w:w="5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Recognized Gains and Losses, net</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Details underlying Recognized gains and losses, net reported on the accompanying unaudited Condensed Consolidated Statements of Earnings were as follows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00" w:type="dxa"/>
            <w:vAlign w:val="bottom"/>
            <w:gridSpan w:val="5"/>
          </w:tcPr>
          <w:p>
            <w:pPr>
              <w:ind w:left="800"/>
              <w:spacing w:after="0"/>
              <w:rPr>
                <w:sz w:val="20"/>
                <w:szCs w:val="20"/>
                <w:color w:val="auto"/>
              </w:rPr>
            </w:pPr>
            <w:r>
              <w:rPr>
                <w:rFonts w:ascii="Arial" w:cs="Arial" w:eastAsia="Arial" w:hAnsi="Arial"/>
                <w:sz w:val="12"/>
                <w:szCs w:val="12"/>
                <w:b w:val="1"/>
                <w:bCs w:val="1"/>
                <w:color w:val="auto"/>
              </w:rPr>
              <w:t>Three months ended</w:t>
            </w:r>
          </w:p>
        </w:tc>
        <w:tc>
          <w:tcPr>
            <w:tcW w:w="140" w:type="dxa"/>
            <w:vAlign w:val="bottom"/>
          </w:tcPr>
          <w:p>
            <w:pPr>
              <w:spacing w:after="0"/>
              <w:rPr>
                <w:sz w:val="13"/>
                <w:szCs w:val="13"/>
                <w:color w:val="auto"/>
              </w:rPr>
            </w:pPr>
          </w:p>
        </w:tc>
        <w:tc>
          <w:tcPr>
            <w:tcW w:w="2800" w:type="dxa"/>
            <w:vAlign w:val="bottom"/>
            <w:gridSpan w:val="4"/>
          </w:tcPr>
          <w:p>
            <w:pPr>
              <w:jc w:val="right"/>
              <w:ind w:right="921"/>
              <w:spacing w:after="0"/>
              <w:rPr>
                <w:sz w:val="20"/>
                <w:szCs w:val="20"/>
                <w:color w:val="auto"/>
              </w:rPr>
            </w:pPr>
            <w:r>
              <w:rPr>
                <w:rFonts w:ascii="Arial" w:cs="Arial" w:eastAsia="Arial" w:hAnsi="Arial"/>
                <w:sz w:val="12"/>
                <w:szCs w:val="12"/>
                <w:b w:val="1"/>
                <w:bCs w:val="1"/>
                <w:color w:val="auto"/>
              </w:rPr>
              <w:t>Nine months ended</w:t>
            </w:r>
          </w:p>
        </w:tc>
      </w:tr>
      <w:tr>
        <w:trPr>
          <w:trHeight w:val="149"/>
        </w:trPr>
        <w:tc>
          <w:tcPr>
            <w:tcW w:w="5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September 30, 2021</w:t>
            </w: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161"/>
              <w:spacing w:after="0"/>
              <w:rPr>
                <w:sz w:val="20"/>
                <w:szCs w:val="20"/>
                <w:color w:val="auto"/>
              </w:rPr>
            </w:pPr>
            <w:r>
              <w:rPr>
                <w:rFonts w:ascii="Arial" w:cs="Arial" w:eastAsia="Arial" w:hAnsi="Arial"/>
                <w:sz w:val="12"/>
                <w:szCs w:val="12"/>
                <w:b w:val="1"/>
                <w:bCs w:val="1"/>
                <w:color w:val="auto"/>
                <w:w w:val="92"/>
              </w:rPr>
              <w:t>September 30, 2020</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September 30, 2021</w:t>
            </w: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161"/>
              <w:spacing w:after="0"/>
              <w:rPr>
                <w:sz w:val="20"/>
                <w:szCs w:val="20"/>
                <w:color w:val="auto"/>
              </w:rPr>
            </w:pPr>
            <w:r>
              <w:rPr>
                <w:rFonts w:ascii="Arial" w:cs="Arial" w:eastAsia="Arial" w:hAnsi="Arial"/>
                <w:sz w:val="12"/>
                <w:szCs w:val="12"/>
                <w:b w:val="1"/>
                <w:bCs w:val="1"/>
                <w:color w:val="auto"/>
                <w:w w:val="90"/>
              </w:rPr>
              <w:t>September 30, 2020</w:t>
            </w:r>
          </w:p>
        </w:tc>
      </w:tr>
      <w:tr>
        <w:trPr>
          <w:trHeight w:val="147"/>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realized gains on fixed maturity available-for-sale securities</w:t>
            </w:r>
          </w:p>
        </w:tc>
        <w:tc>
          <w:tcPr>
            <w:tcW w:w="1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20</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75</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36</w:t>
            </w:r>
          </w:p>
        </w:tc>
      </w:tr>
      <w:tr>
        <w:trPr>
          <w:trHeight w:val="152"/>
        </w:trPr>
        <w:tc>
          <w:tcPr>
            <w:tcW w:w="5300" w:type="dxa"/>
            <w:vAlign w:val="bottom"/>
          </w:tcPr>
          <w:p>
            <w:pPr>
              <w:ind w:left="20"/>
              <w:spacing w:after="0"/>
              <w:rPr>
                <w:sz w:val="20"/>
                <w:szCs w:val="20"/>
                <w:color w:val="auto"/>
              </w:rPr>
            </w:pPr>
            <w:r>
              <w:rPr>
                <w:rFonts w:ascii="Arial" w:cs="Arial" w:eastAsia="Arial" w:hAnsi="Arial"/>
                <w:sz w:val="12"/>
                <w:szCs w:val="12"/>
                <w:color w:val="auto"/>
              </w:rPr>
              <w:t>Net realized/unrealized losses on equity securities (2)</w:t>
            </w:r>
          </w:p>
        </w:tc>
        <w:tc>
          <w:tcPr>
            <w:tcW w:w="1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(193)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(281)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(63)</w:t>
            </w:r>
          </w:p>
        </w:tc>
      </w:tr>
      <w:tr>
        <w:trPr>
          <w:trHeight w:val="157"/>
        </w:trPr>
        <w:tc>
          <w:tcPr>
            <w:tcW w:w="5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realized/unrealized (losses) gains on preferred securities (3)</w:t>
            </w: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r>
      <w:tr>
        <w:trPr>
          <w:trHeight w:val="152"/>
        </w:trPr>
        <w:tc>
          <w:tcPr>
            <w:tcW w:w="5300" w:type="dxa"/>
            <w:vAlign w:val="bottom"/>
          </w:tcPr>
          <w:p>
            <w:pPr>
              <w:ind w:left="20"/>
              <w:spacing w:after="0"/>
              <w:rPr>
                <w:sz w:val="20"/>
                <w:szCs w:val="20"/>
                <w:color w:val="auto"/>
              </w:rPr>
            </w:pPr>
            <w:r>
              <w:rPr>
                <w:rFonts w:ascii="Arial" w:cs="Arial" w:eastAsia="Arial" w:hAnsi="Arial"/>
                <w:sz w:val="12"/>
                <w:szCs w:val="12"/>
                <w:color w:val="auto"/>
              </w:rPr>
              <w:t>Realized gains (losses) on other invested assets</w:t>
            </w:r>
          </w:p>
        </w:tc>
        <w:tc>
          <w:tcPr>
            <w:tcW w:w="140" w:type="dxa"/>
            <w:vAlign w:val="bottom"/>
          </w:tcPr>
          <w:p>
            <w:pPr>
              <w:spacing w:after="0"/>
              <w:rPr>
                <w:sz w:val="13"/>
                <w:szCs w:val="13"/>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ind w:right="1"/>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(23)</w:t>
            </w:r>
          </w:p>
        </w:tc>
      </w:tr>
      <w:tr>
        <w:trPr>
          <w:trHeight w:val="157"/>
        </w:trPr>
        <w:tc>
          <w:tcPr>
            <w:tcW w:w="5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 in allowance for expected credit losses</w:t>
            </w: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w:t>
            </w:r>
          </w:p>
        </w:tc>
      </w:tr>
      <w:tr>
        <w:trPr>
          <w:trHeight w:val="152"/>
        </w:trPr>
        <w:tc>
          <w:tcPr>
            <w:tcW w:w="5300" w:type="dxa"/>
            <w:vAlign w:val="bottom"/>
          </w:tcPr>
          <w:p>
            <w:pPr>
              <w:ind w:left="20"/>
              <w:spacing w:after="0"/>
              <w:rPr>
                <w:sz w:val="20"/>
                <w:szCs w:val="20"/>
                <w:color w:val="auto"/>
              </w:rPr>
            </w:pPr>
            <w:r>
              <w:rPr>
                <w:rFonts w:ascii="Arial" w:cs="Arial" w:eastAsia="Arial" w:hAnsi="Arial"/>
                <w:sz w:val="12"/>
                <w:szCs w:val="12"/>
                <w:color w:val="auto"/>
              </w:rPr>
              <w:t>Derivatives and embedded derivatives:</w:t>
            </w: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57"/>
        </w:trPr>
        <w:tc>
          <w:tcPr>
            <w:tcW w:w="5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Realized gains on certain derivative instruments</w:t>
            </w: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318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39</w:t>
            </w:r>
          </w:p>
        </w:tc>
      </w:tr>
      <w:tr>
        <w:trPr>
          <w:trHeight w:val="152"/>
        </w:trPr>
        <w:tc>
          <w:tcPr>
            <w:tcW w:w="5300" w:type="dxa"/>
            <w:vAlign w:val="bottom"/>
          </w:tcPr>
          <w:p>
            <w:pPr>
              <w:ind w:left="120"/>
              <w:spacing w:after="0"/>
              <w:rPr>
                <w:sz w:val="20"/>
                <w:szCs w:val="20"/>
                <w:color w:val="auto"/>
              </w:rPr>
            </w:pPr>
            <w:r>
              <w:rPr>
                <w:rFonts w:ascii="Arial" w:cs="Arial" w:eastAsia="Arial" w:hAnsi="Arial"/>
                <w:sz w:val="12"/>
                <w:szCs w:val="12"/>
                <w:color w:val="auto"/>
              </w:rPr>
              <w:t>Unrealized (losses) gains on certain derivative instruments</w:t>
            </w:r>
          </w:p>
        </w:tc>
        <w:tc>
          <w:tcPr>
            <w:tcW w:w="1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(141)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ind w:right="1"/>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1"/>
              <w:spacing w:after="0"/>
              <w:rPr>
                <w:sz w:val="20"/>
                <w:szCs w:val="20"/>
                <w:color w:val="auto"/>
              </w:rPr>
            </w:pPr>
            <w:r>
              <w:rPr>
                <w:rFonts w:ascii="Arial" w:cs="Arial" w:eastAsia="Arial" w:hAnsi="Arial"/>
                <w:sz w:val="12"/>
                <w:szCs w:val="12"/>
                <w:color w:val="auto"/>
              </w:rPr>
              <w:t>21</w:t>
            </w:r>
          </w:p>
        </w:tc>
      </w:tr>
      <w:tr>
        <w:trPr>
          <w:trHeight w:val="157"/>
        </w:trPr>
        <w:tc>
          <w:tcPr>
            <w:tcW w:w="5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Change in fair value of reinsurance related embedded derivatives (1)</w:t>
            </w: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w:t>
            </w:r>
          </w:p>
        </w:tc>
      </w:tr>
      <w:tr>
        <w:trPr>
          <w:trHeight w:val="152"/>
        </w:trPr>
        <w:tc>
          <w:tcPr>
            <w:tcW w:w="5300" w:type="dxa"/>
            <w:vAlign w:val="bottom"/>
          </w:tcPr>
          <w:p>
            <w:pPr>
              <w:ind w:left="120"/>
              <w:spacing w:after="0"/>
              <w:rPr>
                <w:sz w:val="20"/>
                <w:szCs w:val="20"/>
                <w:color w:val="auto"/>
              </w:rPr>
            </w:pPr>
            <w:r>
              <w:rPr>
                <w:rFonts w:ascii="Arial" w:cs="Arial" w:eastAsia="Arial" w:hAnsi="Arial"/>
                <w:sz w:val="12"/>
                <w:szCs w:val="12"/>
                <w:color w:val="auto"/>
              </w:rPr>
              <w:t>Change in fair value of other derivatives and embedded derivatives</w:t>
            </w:r>
          </w:p>
        </w:tc>
        <w:tc>
          <w:tcPr>
            <w:tcW w:w="140" w:type="dxa"/>
            <w:vAlign w:val="bottom"/>
          </w:tcPr>
          <w:p>
            <w:pPr>
              <w:spacing w:after="0"/>
              <w:rPr>
                <w:sz w:val="13"/>
                <w:szCs w:val="13"/>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280" w:type="dxa"/>
            <w:vAlign w:val="bottom"/>
          </w:tcPr>
          <w:p>
            <w:pPr>
              <w:jc w:val="right"/>
              <w:ind w:right="1"/>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ind w:right="1"/>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1"/>
              <w:spacing w:after="0"/>
              <w:rPr>
                <w:sz w:val="20"/>
                <w:szCs w:val="20"/>
                <w:color w:val="auto"/>
              </w:rPr>
            </w:pPr>
            <w:r>
              <w:rPr>
                <w:rFonts w:ascii="Arial" w:cs="Arial" w:eastAsia="Arial" w:hAnsi="Arial"/>
                <w:sz w:val="12"/>
                <w:szCs w:val="12"/>
                <w:color w:val="auto"/>
              </w:rPr>
              <w:t>3</w:t>
            </w:r>
          </w:p>
        </w:tc>
      </w:tr>
      <w:tr>
        <w:trPr>
          <w:trHeight w:val="146"/>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Realized gains on derivatives and embedded derivatives</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2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34</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2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310</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2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28</w:t>
            </w:r>
          </w:p>
        </w:tc>
      </w:tr>
      <w:tr>
        <w:trPr>
          <w:trHeight w:val="148"/>
        </w:trPr>
        <w:tc>
          <w:tcPr>
            <w:tcW w:w="5300" w:type="dxa"/>
            <w:vAlign w:val="bottom"/>
          </w:tcPr>
          <w:p>
            <w:pPr>
              <w:ind w:left="20"/>
              <w:spacing w:after="0"/>
              <w:rPr>
                <w:sz w:val="20"/>
                <w:szCs w:val="20"/>
                <w:color w:val="auto"/>
              </w:rPr>
            </w:pPr>
            <w:r>
              <w:rPr>
                <w:rFonts w:ascii="Arial" w:cs="Arial" w:eastAsia="Arial" w:hAnsi="Arial"/>
                <w:sz w:val="12"/>
                <w:szCs w:val="12"/>
                <w:b w:val="1"/>
                <w:bCs w:val="1"/>
                <w:color w:val="auto"/>
              </w:rPr>
              <w:t>Recognized gains and losses, net</w:t>
            </w:r>
          </w:p>
        </w:tc>
        <w:tc>
          <w:tcPr>
            <w:tcW w:w="14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(154)</w:t>
            </w:r>
          </w:p>
        </w:tc>
        <w:tc>
          <w:tcPr>
            <w:tcW w:w="120" w:type="dxa"/>
            <w:vAlign w:val="bottom"/>
          </w:tcPr>
          <w:p>
            <w:pPr>
              <w:spacing w:after="0"/>
              <w:rPr>
                <w:sz w:val="12"/>
                <w:szCs w:val="12"/>
                <w:color w:val="auto"/>
              </w:rPr>
            </w:pPr>
          </w:p>
        </w:tc>
        <w:tc>
          <w:tcPr>
            <w:tcW w:w="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73</w:t>
            </w:r>
          </w:p>
        </w:tc>
        <w:tc>
          <w:tcPr>
            <w:tcW w:w="100" w:type="dxa"/>
            <w:vAlign w:val="bottom"/>
          </w:tcPr>
          <w:p>
            <w:pPr>
              <w:spacing w:after="0"/>
              <w:rPr>
                <w:sz w:val="12"/>
                <w:szCs w:val="12"/>
                <w:color w:val="auto"/>
              </w:rPr>
            </w:pPr>
          </w:p>
        </w:tc>
        <w:tc>
          <w:tcPr>
            <w:tcW w:w="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121</w:t>
            </w:r>
          </w:p>
        </w:tc>
        <w:tc>
          <w:tcPr>
            <w:tcW w:w="100" w:type="dxa"/>
            <w:vAlign w:val="bottom"/>
          </w:tcPr>
          <w:p>
            <w:pPr>
              <w:spacing w:after="0"/>
              <w:rPr>
                <w:sz w:val="12"/>
                <w:szCs w:val="12"/>
                <w:color w:val="auto"/>
              </w:rPr>
            </w:pPr>
          </w:p>
        </w:tc>
        <w:tc>
          <w:tcPr>
            <w:tcW w:w="1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w:t>
            </w:r>
          </w:p>
        </w:tc>
      </w:tr>
      <w:tr>
        <w:trPr>
          <w:trHeight w:val="20"/>
        </w:trPr>
        <w:tc>
          <w:tcPr>
            <w:tcW w:w="5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51"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1"/>
          <w:szCs w:val="11"/>
          <w:color w:val="auto"/>
        </w:rPr>
      </w:pPr>
      <w:r>
        <w:rPr>
          <w:rFonts w:ascii="Arial" w:cs="Arial" w:eastAsia="Arial" w:hAnsi="Arial"/>
          <w:sz w:val="11"/>
          <w:szCs w:val="11"/>
          <w:color w:val="auto"/>
        </w:rPr>
        <w:t>Change in fair value of reinsurance related embedded derivatives is due to held for sale unaffiliated third party business under the fair value option election, and activity related to the FGL Insurance and Kubera reinsurance treaty.</w:t>
      </w:r>
    </w:p>
    <w:p>
      <w:pPr>
        <w:spacing w:after="0" w:line="15" w:lineRule="exact"/>
        <w:rPr>
          <w:rFonts w:ascii="Arial" w:cs="Arial" w:eastAsia="Arial" w:hAnsi="Arial"/>
          <w:sz w:val="11"/>
          <w:szCs w:val="11"/>
          <w:color w:val="auto"/>
        </w:rPr>
      </w:pPr>
    </w:p>
    <w:p>
      <w:pPr>
        <w:ind w:firstLine="8"/>
        <w:spacing w:after="0" w:line="230" w:lineRule="auto"/>
        <w:tabs>
          <w:tab w:leader="none" w:pos="166" w:val="left"/>
        </w:tabs>
        <w:numPr>
          <w:ilvl w:val="0"/>
          <w:numId w:val="8"/>
        </w:numPr>
        <w:rPr>
          <w:rFonts w:ascii="Arial" w:cs="Arial" w:eastAsia="Arial" w:hAnsi="Arial"/>
          <w:sz w:val="12"/>
          <w:szCs w:val="12"/>
          <w:color w:val="auto"/>
        </w:rPr>
      </w:pPr>
      <w:r>
        <w:rPr>
          <w:rFonts w:ascii="Arial" w:cs="Arial" w:eastAsia="Arial" w:hAnsi="Arial"/>
          <w:sz w:val="12"/>
          <w:szCs w:val="12"/>
          <w:color w:val="auto"/>
        </w:rPr>
        <w:t>Includes net valuation (losses) gains of $(194) million and less than $1 million for the three months ended September 30, 2021 and 2020, respectively, and net valuation losses of $(285) million and $56 million for the nine months ended September 30, 2021 and 2020, respectively.</w:t>
      </w:r>
    </w:p>
    <w:p>
      <w:pPr>
        <w:ind w:firstLine="8"/>
        <w:spacing w:after="0" w:line="235" w:lineRule="auto"/>
        <w:tabs>
          <w:tab w:leader="none" w:pos="17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Includes net valuation (losses) gains of $(1) million and $18 million for the three months ended September 30, 2021 and 2020, respectively, and net valuation gains of $4 million and $(55) million for the nine months ended September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1" w:name="page42"/>
    <w:bookmarkEnd w:id="4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proceeds from the sale of fixed-maturity available for-sale-securities and the gross gains and losses associated with those transactions were as follows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00" w:type="dxa"/>
            <w:vAlign w:val="bottom"/>
            <w:gridSpan w:val="5"/>
          </w:tcPr>
          <w:p>
            <w:pPr>
              <w:ind w:left="800"/>
              <w:spacing w:after="0"/>
              <w:rPr>
                <w:sz w:val="20"/>
                <w:szCs w:val="20"/>
                <w:color w:val="auto"/>
              </w:rPr>
            </w:pPr>
            <w:r>
              <w:rPr>
                <w:rFonts w:ascii="Arial" w:cs="Arial" w:eastAsia="Arial" w:hAnsi="Arial"/>
                <w:sz w:val="12"/>
                <w:szCs w:val="12"/>
                <w:b w:val="1"/>
                <w:bCs w:val="1"/>
                <w:color w:val="auto"/>
              </w:rPr>
              <w:t>Three months ended</w:t>
            </w:r>
          </w:p>
        </w:tc>
        <w:tc>
          <w:tcPr>
            <w:tcW w:w="140" w:type="dxa"/>
            <w:vAlign w:val="bottom"/>
          </w:tcPr>
          <w:p>
            <w:pPr>
              <w:spacing w:after="0"/>
              <w:rPr>
                <w:sz w:val="13"/>
                <w:szCs w:val="13"/>
                <w:color w:val="auto"/>
              </w:rPr>
            </w:pPr>
          </w:p>
        </w:tc>
        <w:tc>
          <w:tcPr>
            <w:tcW w:w="2800" w:type="dxa"/>
            <w:vAlign w:val="bottom"/>
            <w:gridSpan w:val="4"/>
          </w:tcPr>
          <w:p>
            <w:pPr>
              <w:jc w:val="right"/>
              <w:ind w:right="921"/>
              <w:spacing w:after="0"/>
              <w:rPr>
                <w:sz w:val="20"/>
                <w:szCs w:val="20"/>
                <w:color w:val="auto"/>
              </w:rPr>
            </w:pPr>
            <w:r>
              <w:rPr>
                <w:rFonts w:ascii="Arial" w:cs="Arial" w:eastAsia="Arial" w:hAnsi="Arial"/>
                <w:sz w:val="12"/>
                <w:szCs w:val="12"/>
                <w:b w:val="1"/>
                <w:bCs w:val="1"/>
                <w:color w:val="auto"/>
              </w:rPr>
              <w:t>Nine months ended</w:t>
            </w:r>
          </w:p>
        </w:tc>
      </w:tr>
      <w:tr>
        <w:trPr>
          <w:trHeight w:val="149"/>
        </w:trPr>
        <w:tc>
          <w:tcPr>
            <w:tcW w:w="5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September 30, 2021</w:t>
            </w: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161"/>
              <w:spacing w:after="0"/>
              <w:rPr>
                <w:sz w:val="20"/>
                <w:szCs w:val="20"/>
                <w:color w:val="auto"/>
              </w:rPr>
            </w:pPr>
            <w:r>
              <w:rPr>
                <w:rFonts w:ascii="Arial" w:cs="Arial" w:eastAsia="Arial" w:hAnsi="Arial"/>
                <w:sz w:val="12"/>
                <w:szCs w:val="12"/>
                <w:b w:val="1"/>
                <w:bCs w:val="1"/>
                <w:color w:val="auto"/>
                <w:w w:val="92"/>
              </w:rPr>
              <w:t>September 30, 2020</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September 30, 2021</w:t>
            </w: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161"/>
              <w:spacing w:after="0"/>
              <w:rPr>
                <w:sz w:val="20"/>
                <w:szCs w:val="20"/>
                <w:color w:val="auto"/>
              </w:rPr>
            </w:pPr>
            <w:r>
              <w:rPr>
                <w:rFonts w:ascii="Arial" w:cs="Arial" w:eastAsia="Arial" w:hAnsi="Arial"/>
                <w:sz w:val="12"/>
                <w:szCs w:val="12"/>
                <w:b w:val="1"/>
                <w:bCs w:val="1"/>
                <w:color w:val="auto"/>
                <w:w w:val="90"/>
              </w:rPr>
              <w:t>September 30, 2020</w:t>
            </w:r>
          </w:p>
        </w:tc>
      </w:tr>
      <w:tr>
        <w:trPr>
          <w:trHeight w:val="147"/>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Proceeds</w:t>
            </w:r>
          </w:p>
        </w:tc>
        <w:tc>
          <w:tcPr>
            <w:tcW w:w="1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1,816</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493</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2,685</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1,007</w:t>
            </w:r>
          </w:p>
        </w:tc>
      </w:tr>
      <w:tr>
        <w:trPr>
          <w:trHeight w:val="152"/>
        </w:trPr>
        <w:tc>
          <w:tcPr>
            <w:tcW w:w="5300" w:type="dxa"/>
            <w:vAlign w:val="bottom"/>
          </w:tcPr>
          <w:p>
            <w:pPr>
              <w:ind w:left="20"/>
              <w:spacing w:after="0"/>
              <w:rPr>
                <w:sz w:val="20"/>
                <w:szCs w:val="20"/>
                <w:color w:val="auto"/>
              </w:rPr>
            </w:pPr>
            <w:r>
              <w:rPr>
                <w:rFonts w:ascii="Arial" w:cs="Arial" w:eastAsia="Arial" w:hAnsi="Arial"/>
                <w:sz w:val="12"/>
                <w:szCs w:val="12"/>
                <w:color w:val="auto"/>
              </w:rPr>
              <w:t>Gross gains</w:t>
            </w:r>
          </w:p>
        </w:tc>
        <w:tc>
          <w:tcPr>
            <w:tcW w:w="1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ind w:right="1"/>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ind w:right="1"/>
              <w:spacing w:after="0"/>
              <w:rPr>
                <w:sz w:val="20"/>
                <w:szCs w:val="20"/>
                <w:color w:val="auto"/>
              </w:rPr>
            </w:pPr>
            <w:r>
              <w:rPr>
                <w:rFonts w:ascii="Arial" w:cs="Arial" w:eastAsia="Arial" w:hAnsi="Arial"/>
                <w:sz w:val="12"/>
                <w:szCs w:val="12"/>
                <w:color w:val="auto"/>
              </w:rPr>
              <w:t>98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1"/>
              <w:spacing w:after="0"/>
              <w:rPr>
                <w:sz w:val="20"/>
                <w:szCs w:val="20"/>
                <w:color w:val="auto"/>
              </w:rPr>
            </w:pPr>
            <w:r>
              <w:rPr>
                <w:rFonts w:ascii="Arial" w:cs="Arial" w:eastAsia="Arial" w:hAnsi="Arial"/>
                <w:sz w:val="12"/>
                <w:szCs w:val="12"/>
                <w:color w:val="auto"/>
              </w:rPr>
              <w:t>53</w:t>
            </w:r>
          </w:p>
        </w:tc>
      </w:tr>
      <w:tr>
        <w:trPr>
          <w:trHeight w:val="157"/>
        </w:trPr>
        <w:tc>
          <w:tcPr>
            <w:tcW w:w="5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Gross losses</w:t>
            </w: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r>
    </w:tbl>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Unconsolidated Variable Interest Entities</w:t>
      </w:r>
    </w:p>
    <w:p>
      <w:pPr>
        <w:spacing w:after="0" w:line="137" w:lineRule="exact"/>
        <w:rPr>
          <w:sz w:val="20"/>
          <w:szCs w:val="20"/>
          <w:color w:val="auto"/>
        </w:rPr>
      </w:pPr>
    </w:p>
    <w:p>
      <w:pPr>
        <w:jc w:val="both"/>
        <w:ind w:firstLine="364"/>
        <w:spacing w:after="0" w:line="273" w:lineRule="auto"/>
        <w:rPr>
          <w:sz w:val="20"/>
          <w:szCs w:val="20"/>
          <w:color w:val="auto"/>
        </w:rPr>
      </w:pPr>
      <w:r>
        <w:rPr>
          <w:rFonts w:ascii="Arial" w:cs="Arial" w:eastAsia="Arial" w:hAnsi="Arial"/>
          <w:sz w:val="14"/>
          <w:szCs w:val="14"/>
          <w:color w:val="auto"/>
        </w:rPr>
        <w:t>We own investments in VIEs that are not consolidated within our financial statements, and one investment in a VIE that is consolidated within our financial statements. VIEs do not have sufficient equity to finance their own activities without additional financial support and certain of its investors lack certain characteristics of a controlling financial interest. VIEs are consolidated by their ‘primary beneficiary’, a designation given to an entity that receives both the benefits from the VIE as well as the substantive power to make its key economic decisions. While we participate in the benefits from VIEs in which we invest, but do not consolidate, as the substantive power to make the key economic decisions for each respective VIE resides with entities not under our control. It is for this reason that the we are not considered the primary beneficiary for the VIE investments that are not consolidated.</w:t>
      </w:r>
    </w:p>
    <w:p>
      <w:pPr>
        <w:spacing w:after="0" w:line="100" w:lineRule="exact"/>
        <w:rPr>
          <w:sz w:val="20"/>
          <w:szCs w:val="20"/>
          <w:color w:val="auto"/>
        </w:rPr>
      </w:pPr>
    </w:p>
    <w:p>
      <w:pPr>
        <w:jc w:val="both"/>
        <w:ind w:firstLine="364"/>
        <w:spacing w:after="0" w:line="273" w:lineRule="auto"/>
        <w:rPr>
          <w:sz w:val="20"/>
          <w:szCs w:val="20"/>
          <w:color w:val="auto"/>
        </w:rPr>
      </w:pPr>
      <w:r>
        <w:rPr>
          <w:rFonts w:ascii="Arial" w:cs="Arial" w:eastAsia="Arial" w:hAnsi="Arial"/>
          <w:sz w:val="14"/>
          <w:szCs w:val="14"/>
          <w:color w:val="auto"/>
        </w:rPr>
        <w:t>We invest in various limited partnerships, which may be VIEs, as a passive investor. These investments are in credit funds with a bias towards current income, real assets, or private equity. Limited partnership interests are accounted for under the equity method and are included in Investments in unconsolidated affiliates on our unaudited Condensed Consolidated Balance Sheets. In addition, we invest in structured investments which may be VIEs, but for which we are not the primary beneficiary. These structured investments typically invest in fixed income investments and are managed by third parties and include asset-backed securities, commercial mortgage-backed securities and residential mortgage-backed securities included in fixed maturity securities available for sale on our unaudited Condensed Consolidated Balance Sheets.</w:t>
      </w:r>
    </w:p>
    <w:p>
      <w:pPr>
        <w:spacing w:after="0" w:line="100" w:lineRule="exact"/>
        <w:rPr>
          <w:sz w:val="20"/>
          <w:szCs w:val="20"/>
          <w:color w:val="auto"/>
        </w:rPr>
      </w:pPr>
    </w:p>
    <w:p>
      <w:pPr>
        <w:jc w:val="both"/>
        <w:ind w:firstLine="364"/>
        <w:spacing w:after="0" w:line="343" w:lineRule="auto"/>
        <w:rPr>
          <w:sz w:val="20"/>
          <w:szCs w:val="20"/>
          <w:color w:val="auto"/>
        </w:rPr>
      </w:pPr>
      <w:r>
        <w:rPr>
          <w:rFonts w:ascii="Arial" w:cs="Arial" w:eastAsia="Arial" w:hAnsi="Arial"/>
          <w:sz w:val="13"/>
          <w:szCs w:val="13"/>
          <w:color w:val="auto"/>
        </w:rPr>
        <w:t>Our maximum exposure to loss with respect to these VIEs is limited to the investment carrying amounts reported in our unaudited Condensed Consolidated Balance Sheets for limited partnerships and the amortized costs of our fixed maturity securities, in addition to any required unfunded commitments (also refer to Note F - Commitments and Contingencies).</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following table summarizes the carrying value and the maximum loss exposure of our unconsolidated VIEs as of September 30, 2021 and December 31, 2020.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3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jc w:val="right"/>
              <w:ind w:right="241"/>
              <w:spacing w:after="0"/>
              <w:rPr>
                <w:sz w:val="20"/>
                <w:szCs w:val="20"/>
                <w:color w:val="auto"/>
              </w:rPr>
            </w:pPr>
            <w:r>
              <w:rPr>
                <w:rFonts w:ascii="Arial" w:cs="Arial" w:eastAsia="Arial" w:hAnsi="Arial"/>
                <w:sz w:val="12"/>
                <w:szCs w:val="12"/>
                <w:b w:val="1"/>
                <w:bCs w:val="1"/>
                <w:color w:val="auto"/>
              </w:rPr>
              <w:t>September 30, 2021</w:t>
            </w: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jc w:val="right"/>
              <w:ind w:right="261"/>
              <w:spacing w:after="0"/>
              <w:rPr>
                <w:sz w:val="20"/>
                <w:szCs w:val="20"/>
                <w:color w:val="auto"/>
              </w:rPr>
            </w:pPr>
            <w:r>
              <w:rPr>
                <w:rFonts w:ascii="Arial" w:cs="Arial" w:eastAsia="Arial" w:hAnsi="Arial"/>
                <w:sz w:val="12"/>
                <w:szCs w:val="12"/>
                <w:b w:val="1"/>
                <w:bCs w:val="1"/>
                <w:color w:val="auto"/>
              </w:rPr>
              <w:t>December 31, 2020</w:t>
            </w:r>
          </w:p>
        </w:tc>
        <w:tc>
          <w:tcPr>
            <w:tcW w:w="680" w:type="dxa"/>
            <w:vAlign w:val="bottom"/>
            <w:tcBorders>
              <w:bottom w:val="single" w:sz="8" w:color="auto"/>
            </w:tcBorders>
          </w:tcPr>
          <w:p>
            <w:pPr>
              <w:spacing w:after="0"/>
              <w:rPr>
                <w:sz w:val="13"/>
                <w:szCs w:val="13"/>
                <w:color w:val="auto"/>
              </w:rPr>
            </w:pPr>
          </w:p>
        </w:tc>
      </w:tr>
      <w:tr>
        <w:trPr>
          <w:trHeight w:val="149"/>
        </w:trPr>
        <w:tc>
          <w:tcPr>
            <w:tcW w:w="5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ind w:left="120"/>
              <w:spacing w:after="0"/>
              <w:rPr>
                <w:sz w:val="20"/>
                <w:szCs w:val="20"/>
                <w:color w:val="auto"/>
              </w:rPr>
            </w:pPr>
            <w:r>
              <w:rPr>
                <w:rFonts w:ascii="Arial" w:cs="Arial" w:eastAsia="Arial" w:hAnsi="Arial"/>
                <w:sz w:val="12"/>
                <w:szCs w:val="12"/>
                <w:b w:val="1"/>
                <w:bCs w:val="1"/>
                <w:color w:val="auto"/>
              </w:rPr>
              <w:t>Carrying Value</w:t>
            </w:r>
          </w:p>
        </w:tc>
        <w:tc>
          <w:tcPr>
            <w:tcW w:w="1420" w:type="dxa"/>
            <w:vAlign w:val="bottom"/>
            <w:gridSpan w:val="2"/>
          </w:tcPr>
          <w:p>
            <w:pPr>
              <w:jc w:val="right"/>
              <w:ind w:right="21"/>
              <w:spacing w:after="0"/>
              <w:rPr>
                <w:sz w:val="20"/>
                <w:szCs w:val="20"/>
                <w:color w:val="auto"/>
              </w:rPr>
            </w:pPr>
            <w:r>
              <w:rPr>
                <w:rFonts w:ascii="Arial" w:cs="Arial" w:eastAsia="Arial" w:hAnsi="Arial"/>
                <w:sz w:val="12"/>
                <w:szCs w:val="12"/>
                <w:b w:val="1"/>
                <w:bCs w:val="1"/>
                <w:color w:val="auto"/>
                <w:w w:val="91"/>
              </w:rPr>
              <w:t>Maximum Loss Exposure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ind w:left="120"/>
              <w:spacing w:after="0"/>
              <w:rPr>
                <w:sz w:val="20"/>
                <w:szCs w:val="20"/>
                <w:color w:val="auto"/>
              </w:rPr>
            </w:pPr>
            <w:r>
              <w:rPr>
                <w:rFonts w:ascii="Arial" w:cs="Arial" w:eastAsia="Arial" w:hAnsi="Arial"/>
                <w:sz w:val="12"/>
                <w:szCs w:val="12"/>
                <w:b w:val="1"/>
                <w:bCs w:val="1"/>
                <w:color w:val="auto"/>
              </w:rPr>
              <w:t>Carrying Value</w:t>
            </w:r>
          </w:p>
        </w:tc>
        <w:tc>
          <w:tcPr>
            <w:tcW w:w="1420" w:type="dxa"/>
            <w:vAlign w:val="bottom"/>
            <w:gridSpan w:val="2"/>
          </w:tcPr>
          <w:p>
            <w:pPr>
              <w:jc w:val="right"/>
              <w:ind w:right="1"/>
              <w:spacing w:after="0"/>
              <w:rPr>
                <w:sz w:val="20"/>
                <w:szCs w:val="20"/>
                <w:color w:val="auto"/>
              </w:rPr>
            </w:pPr>
            <w:r>
              <w:rPr>
                <w:rFonts w:ascii="Arial" w:cs="Arial" w:eastAsia="Arial" w:hAnsi="Arial"/>
                <w:sz w:val="12"/>
                <w:szCs w:val="12"/>
                <w:b w:val="1"/>
                <w:bCs w:val="1"/>
                <w:color w:val="auto"/>
                <w:w w:val="92"/>
              </w:rPr>
              <w:t>Maximum Loss Exposure</w:t>
            </w:r>
          </w:p>
        </w:tc>
      </w:tr>
      <w:tr>
        <w:trPr>
          <w:trHeight w:val="147"/>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Investment in limited partnerships</w:t>
            </w:r>
          </w:p>
        </w:tc>
        <w:tc>
          <w:tcPr>
            <w:tcW w:w="20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2,022</w:t>
            </w: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ind w:right="601"/>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2,950</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1,156</w:t>
            </w: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ind w:right="601"/>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1,550</w:t>
            </w:r>
          </w:p>
        </w:tc>
      </w:tr>
      <w:tr>
        <w:trPr>
          <w:trHeight w:val="152"/>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Fixed maturity securities</w:t>
            </w: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11,928</w:t>
            </w:r>
          </w:p>
        </w:tc>
        <w:tc>
          <w:tcPr>
            <w:tcW w:w="12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12,209</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9,873</w:t>
            </w:r>
          </w:p>
        </w:tc>
        <w:tc>
          <w:tcPr>
            <w:tcW w:w="1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9,513</w:t>
            </w:r>
          </w:p>
        </w:tc>
      </w:tr>
      <w:tr>
        <w:trPr>
          <w:trHeight w:val="173"/>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unconsolidated VIE investments</w:t>
            </w:r>
          </w:p>
        </w:tc>
        <w:tc>
          <w:tcPr>
            <w:tcW w:w="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13,950</w:t>
            </w: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601"/>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15,159</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11,029</w:t>
            </w: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601"/>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11,063</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Investment with Related Party</w:t>
      </w:r>
    </w:p>
    <w:p>
      <w:pPr>
        <w:spacing w:after="0" w:line="92" w:lineRule="exact"/>
        <w:rPr>
          <w:sz w:val="20"/>
          <w:szCs w:val="20"/>
          <w:color w:val="auto"/>
        </w:rPr>
      </w:pPr>
    </w:p>
    <w:p>
      <w:pPr>
        <w:jc w:val="both"/>
        <w:ind w:firstLine="265"/>
        <w:spacing w:after="0" w:line="255" w:lineRule="auto"/>
        <w:rPr>
          <w:sz w:val="20"/>
          <w:szCs w:val="20"/>
          <w:color w:val="auto"/>
        </w:rPr>
      </w:pPr>
      <w:r>
        <w:rPr>
          <w:rFonts w:ascii="Arial" w:cs="Arial" w:eastAsia="Arial" w:hAnsi="Arial"/>
          <w:sz w:val="15"/>
          <w:szCs w:val="15"/>
          <w:color w:val="auto"/>
        </w:rPr>
        <w:t>Included in equity securities as of September 30, 2021 and December 31, 2020 are 5,775,598 and 5,706,134, respectively, shares of Cannae Holdings, Inc. ("Cannae") common stock (NYSE: CNNE). The fair value of our related party investment based on quoted market prices is $180 million and $253 million as of September 30,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2" w:name="page43"/>
    <w:bookmarkEnd w:id="4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E — Derivative Financial Instruments</w:t>
      </w:r>
    </w:p>
    <w:p>
      <w:pPr>
        <w:spacing w:after="0" w:line="141" w:lineRule="exact"/>
        <w:rPr>
          <w:sz w:val="20"/>
          <w:szCs w:val="20"/>
          <w:color w:val="auto"/>
        </w:rPr>
      </w:pPr>
    </w:p>
    <w:p>
      <w:pPr>
        <w:ind w:firstLine="331"/>
        <w:spacing w:after="0" w:line="266" w:lineRule="auto"/>
        <w:rPr>
          <w:sz w:val="20"/>
          <w:szCs w:val="20"/>
          <w:color w:val="auto"/>
        </w:rPr>
      </w:pPr>
      <w:r>
        <w:rPr>
          <w:rFonts w:ascii="Arial" w:cs="Arial" w:eastAsia="Arial" w:hAnsi="Arial"/>
          <w:sz w:val="15"/>
          <w:szCs w:val="15"/>
          <w:color w:val="auto"/>
        </w:rPr>
        <w:t>The carrying amounts of derivative instruments, including derivative instruments embedded in FIA and reinsurance contracts, as of September 30, 2021 and December 31, 2020 is as follows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September 30, 2021</w:t>
            </w: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401"/>
              <w:spacing w:after="0"/>
              <w:rPr>
                <w:sz w:val="20"/>
                <w:szCs w:val="20"/>
                <w:color w:val="auto"/>
              </w:rPr>
            </w:pPr>
            <w:r>
              <w:rPr>
                <w:rFonts w:ascii="Arial" w:cs="Arial" w:eastAsia="Arial" w:hAnsi="Arial"/>
                <w:sz w:val="12"/>
                <w:szCs w:val="12"/>
                <w:b w:val="1"/>
                <w:bCs w:val="1"/>
                <w:color w:val="auto"/>
              </w:rPr>
              <w:t>December 31, 2020</w:t>
            </w:r>
          </w:p>
        </w:tc>
      </w:tr>
      <w:tr>
        <w:trPr>
          <w:trHeight w:val="138"/>
        </w:trPr>
        <w:tc>
          <w:tcPr>
            <w:tcW w:w="7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Assets:</w:t>
            </w:r>
          </w:p>
        </w:tc>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60"/>
        </w:trPr>
        <w:tc>
          <w:tcPr>
            <w:tcW w:w="7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Derivative investments:</w:t>
            </w:r>
          </w:p>
        </w:tc>
        <w:tc>
          <w:tcPr>
            <w:tcW w:w="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r>
      <w:tr>
        <w:trPr>
          <w:trHeight w:val="152"/>
        </w:trPr>
        <w:tc>
          <w:tcPr>
            <w:tcW w:w="7460" w:type="dxa"/>
            <w:vAlign w:val="bottom"/>
          </w:tcPr>
          <w:p>
            <w:pPr>
              <w:ind w:left="180"/>
              <w:spacing w:after="0"/>
              <w:rPr>
                <w:sz w:val="20"/>
                <w:szCs w:val="20"/>
                <w:color w:val="auto"/>
              </w:rPr>
            </w:pPr>
            <w:r>
              <w:rPr>
                <w:rFonts w:ascii="Arial" w:cs="Arial" w:eastAsia="Arial" w:hAnsi="Arial"/>
                <w:sz w:val="12"/>
                <w:szCs w:val="12"/>
                <w:color w:val="auto"/>
              </w:rPr>
              <w:t>Call options</w:t>
            </w:r>
          </w:p>
        </w:tc>
        <w:tc>
          <w:tcPr>
            <w:tcW w:w="1500" w:type="dxa"/>
            <w:vAlign w:val="bottom"/>
            <w:gridSpan w:val="2"/>
          </w:tcPr>
          <w:p>
            <w:pPr>
              <w:jc w:val="right"/>
              <w:ind w:right="1341"/>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580</w:t>
            </w:r>
          </w:p>
        </w:tc>
        <w:tc>
          <w:tcPr>
            <w:tcW w:w="100" w:type="dxa"/>
            <w:vAlign w:val="bottom"/>
          </w:tcPr>
          <w:p>
            <w:pPr>
              <w:spacing w:after="0"/>
              <w:rPr>
                <w:sz w:val="13"/>
                <w:szCs w:val="13"/>
                <w:color w:val="auto"/>
              </w:rPr>
            </w:pP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1600" w:type="dxa"/>
            <w:vAlign w:val="bottom"/>
          </w:tcPr>
          <w:p>
            <w:pPr>
              <w:jc w:val="right"/>
              <w:ind w:right="1"/>
              <w:spacing w:after="0"/>
              <w:rPr>
                <w:sz w:val="20"/>
                <w:szCs w:val="20"/>
                <w:color w:val="auto"/>
              </w:rPr>
            </w:pPr>
            <w:r>
              <w:rPr>
                <w:rFonts w:ascii="Arial" w:cs="Arial" w:eastAsia="Arial" w:hAnsi="Arial"/>
                <w:sz w:val="12"/>
                <w:szCs w:val="12"/>
                <w:color w:val="auto"/>
              </w:rPr>
              <w:t>548</w:t>
            </w:r>
          </w:p>
        </w:tc>
      </w:tr>
      <w:tr>
        <w:trPr>
          <w:trHeight w:val="157"/>
        </w:trPr>
        <w:tc>
          <w:tcPr>
            <w:tcW w:w="74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Futures contracts</w:t>
            </w:r>
          </w:p>
        </w:tc>
        <w:tc>
          <w:tcPr>
            <w:tcW w:w="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52"/>
        </w:trPr>
        <w:tc>
          <w:tcPr>
            <w:tcW w:w="7460" w:type="dxa"/>
            <w:vAlign w:val="bottom"/>
          </w:tcPr>
          <w:p>
            <w:pPr>
              <w:ind w:left="180"/>
              <w:spacing w:after="0"/>
              <w:rPr>
                <w:sz w:val="20"/>
                <w:szCs w:val="20"/>
                <w:color w:val="auto"/>
              </w:rPr>
            </w:pPr>
            <w:r>
              <w:rPr>
                <w:rFonts w:ascii="Arial" w:cs="Arial" w:eastAsia="Arial" w:hAnsi="Arial"/>
                <w:sz w:val="12"/>
                <w:szCs w:val="12"/>
                <w:color w:val="auto"/>
              </w:rPr>
              <w:t>Foreign currency forward</w:t>
            </w:r>
          </w:p>
        </w:tc>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7"/>
        </w:trPr>
        <w:tc>
          <w:tcPr>
            <w:tcW w:w="7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long-term investments:</w:t>
            </w:r>
          </w:p>
        </w:tc>
        <w:tc>
          <w:tcPr>
            <w:tcW w:w="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r>
      <w:tr>
        <w:trPr>
          <w:trHeight w:val="152"/>
        </w:trPr>
        <w:tc>
          <w:tcPr>
            <w:tcW w:w="74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Other embedded derivatives</w:t>
            </w:r>
          </w:p>
        </w:tc>
        <w:tc>
          <w:tcPr>
            <w:tcW w:w="2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27</w:t>
            </w:r>
          </w:p>
        </w:tc>
      </w:tr>
      <w:tr>
        <w:trPr>
          <w:trHeight w:val="171"/>
        </w:trPr>
        <w:tc>
          <w:tcPr>
            <w:tcW w:w="74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1341"/>
              <w:spacing w:after="0"/>
              <w:rPr>
                <w:sz w:val="20"/>
                <w:szCs w:val="20"/>
                <w:color w:val="auto"/>
              </w:rPr>
            </w:pPr>
            <w:r>
              <w:rPr>
                <w:rFonts w:ascii="Arial" w:cs="Arial" w:eastAsia="Arial" w:hAnsi="Arial"/>
                <w:sz w:val="12"/>
                <w:szCs w:val="12"/>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611</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575</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133"/>
        </w:trPr>
        <w:tc>
          <w:tcPr>
            <w:tcW w:w="7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tcPr>
          <w:p>
            <w:pPr>
              <w:spacing w:after="0"/>
              <w:rPr>
                <w:sz w:val="11"/>
                <w:szCs w:val="11"/>
                <w:color w:val="auto"/>
              </w:rPr>
            </w:pPr>
          </w:p>
        </w:tc>
      </w:tr>
      <w:tr>
        <w:trPr>
          <w:trHeight w:val="155"/>
        </w:trPr>
        <w:tc>
          <w:tcPr>
            <w:tcW w:w="74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w:t>
            </w:r>
          </w:p>
        </w:tc>
        <w:tc>
          <w:tcPr>
            <w:tcW w:w="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r>
      <w:tr>
        <w:trPr>
          <w:trHeight w:val="152"/>
        </w:trPr>
        <w:tc>
          <w:tcPr>
            <w:tcW w:w="7460" w:type="dxa"/>
            <w:vAlign w:val="bottom"/>
          </w:tcPr>
          <w:p>
            <w:pPr>
              <w:ind w:left="20"/>
              <w:spacing w:after="0"/>
              <w:rPr>
                <w:sz w:val="20"/>
                <w:szCs w:val="20"/>
                <w:color w:val="auto"/>
              </w:rPr>
            </w:pPr>
            <w:r>
              <w:rPr>
                <w:rFonts w:ascii="Arial" w:cs="Arial" w:eastAsia="Arial" w:hAnsi="Arial"/>
                <w:sz w:val="12"/>
                <w:szCs w:val="12"/>
                <w:color w:val="auto"/>
              </w:rPr>
              <w:t>Contractholder funds:</w:t>
            </w:r>
          </w:p>
        </w:tc>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57"/>
        </w:trPr>
        <w:tc>
          <w:tcPr>
            <w:tcW w:w="74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FIA embedded derivative</w:t>
            </w:r>
          </w:p>
        </w:tc>
        <w:tc>
          <w:tcPr>
            <w:tcW w:w="1500" w:type="dxa"/>
            <w:vAlign w:val="bottom"/>
            <w:gridSpan w:val="2"/>
            <w:shd w:val="clear" w:color="auto" w:fill="CCEEFF"/>
          </w:tcPr>
          <w:p>
            <w:pPr>
              <w:jc w:val="right"/>
              <w:ind w:right="1361"/>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3,439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3,404</w:t>
            </w:r>
          </w:p>
        </w:tc>
      </w:tr>
      <w:tr>
        <w:trPr>
          <w:trHeight w:val="152"/>
        </w:trPr>
        <w:tc>
          <w:tcPr>
            <w:tcW w:w="7460" w:type="dxa"/>
            <w:vAlign w:val="bottom"/>
          </w:tcPr>
          <w:p>
            <w:pPr>
              <w:ind w:left="20"/>
              <w:spacing w:after="0"/>
              <w:rPr>
                <w:sz w:val="20"/>
                <w:szCs w:val="20"/>
                <w:color w:val="auto"/>
              </w:rPr>
            </w:pPr>
            <w:r>
              <w:rPr>
                <w:rFonts w:ascii="Arial" w:cs="Arial" w:eastAsia="Arial" w:hAnsi="Arial"/>
                <w:sz w:val="12"/>
                <w:szCs w:val="12"/>
                <w:color w:val="auto"/>
              </w:rPr>
              <w:t>Accounts payable and accrued liabilities:</w:t>
            </w:r>
          </w:p>
        </w:tc>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55"/>
        </w:trPr>
        <w:tc>
          <w:tcPr>
            <w:tcW w:w="74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Reinsurance related embedded derivative</w:t>
            </w:r>
          </w:p>
        </w:tc>
        <w:tc>
          <w:tcPr>
            <w:tcW w:w="2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101</w:t>
            </w:r>
          </w:p>
        </w:tc>
      </w:tr>
      <w:tr>
        <w:trPr>
          <w:trHeight w:val="146"/>
        </w:trPr>
        <w:tc>
          <w:tcPr>
            <w:tcW w:w="7460" w:type="dxa"/>
            <w:vAlign w:val="bottom"/>
          </w:tcPr>
          <w:p>
            <w:pPr>
              <w:spacing w:after="0"/>
              <w:rPr>
                <w:sz w:val="12"/>
                <w:szCs w:val="12"/>
                <w:color w:val="auto"/>
              </w:rPr>
            </w:pPr>
          </w:p>
        </w:tc>
        <w:tc>
          <w:tcPr>
            <w:tcW w:w="1500" w:type="dxa"/>
            <w:vAlign w:val="bottom"/>
            <w:tcBorders>
              <w:bottom w:val="single" w:sz="8" w:color="auto"/>
            </w:tcBorders>
            <w:gridSpan w:val="2"/>
          </w:tcPr>
          <w:p>
            <w:pPr>
              <w:jc w:val="right"/>
              <w:ind w:right="1361"/>
              <w:spacing w:after="0"/>
              <w:rPr>
                <w:sz w:val="20"/>
                <w:szCs w:val="20"/>
                <w:color w:val="auto"/>
              </w:rPr>
            </w:pPr>
            <w:r>
              <w:rPr>
                <w:rFonts w:ascii="Arial" w:cs="Arial" w:eastAsia="Arial" w:hAnsi="Arial"/>
                <w:sz w:val="12"/>
                <w:szCs w:val="12"/>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3,523</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53"/>
              <w:spacing w:after="0"/>
              <w:rPr>
                <w:sz w:val="20"/>
                <w:szCs w:val="20"/>
                <w:color w:val="auto"/>
              </w:rPr>
            </w:pPr>
            <w:r>
              <w:rPr>
                <w:rFonts w:ascii="Arial" w:cs="Arial" w:eastAsia="Arial" w:hAnsi="Arial"/>
                <w:sz w:val="9"/>
                <w:szCs w:val="9"/>
                <w:color w:val="auto"/>
                <w:w w:val="78"/>
              </w:rPr>
              <w:t>$</w:t>
            </w: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3,505</w:t>
            </w:r>
          </w:p>
        </w:tc>
      </w:tr>
      <w:tr>
        <w:trPr>
          <w:trHeight w:val="20"/>
        </w:trPr>
        <w:tc>
          <w:tcPr>
            <w:tcW w:w="7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change in fair value of derivative instruments included in the accompanying unaudited Condensed Consolidated Statements of Earnings is as follows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80" w:type="dxa"/>
            <w:vAlign w:val="bottom"/>
            <w:gridSpan w:val="5"/>
          </w:tcPr>
          <w:p>
            <w:pPr>
              <w:ind w:left="780"/>
              <w:spacing w:after="0"/>
              <w:rPr>
                <w:sz w:val="20"/>
                <w:szCs w:val="20"/>
                <w:color w:val="auto"/>
              </w:rPr>
            </w:pPr>
            <w:r>
              <w:rPr>
                <w:rFonts w:ascii="Arial" w:cs="Arial" w:eastAsia="Arial" w:hAnsi="Arial"/>
                <w:sz w:val="12"/>
                <w:szCs w:val="12"/>
                <w:b w:val="1"/>
                <w:bCs w:val="1"/>
                <w:color w:val="auto"/>
              </w:rPr>
              <w:t>Three Months Ended</w:t>
            </w:r>
          </w:p>
        </w:tc>
        <w:tc>
          <w:tcPr>
            <w:tcW w:w="140" w:type="dxa"/>
            <w:vAlign w:val="bottom"/>
          </w:tcPr>
          <w:p>
            <w:pPr>
              <w:spacing w:after="0"/>
              <w:rPr>
                <w:sz w:val="13"/>
                <w:szCs w:val="13"/>
                <w:color w:val="auto"/>
              </w:rPr>
            </w:pPr>
          </w:p>
        </w:tc>
        <w:tc>
          <w:tcPr>
            <w:tcW w:w="1380" w:type="dxa"/>
            <w:vAlign w:val="bottom"/>
            <w:gridSpan w:val="2"/>
          </w:tcPr>
          <w:p>
            <w:pPr>
              <w:ind w:left="80"/>
              <w:spacing w:after="0"/>
              <w:rPr>
                <w:sz w:val="20"/>
                <w:szCs w:val="20"/>
                <w:color w:val="auto"/>
              </w:rPr>
            </w:pPr>
            <w:r>
              <w:rPr>
                <w:rFonts w:ascii="Arial" w:cs="Arial" w:eastAsia="Arial" w:hAnsi="Arial"/>
                <w:sz w:val="12"/>
                <w:szCs w:val="12"/>
                <w:b w:val="1"/>
                <w:bCs w:val="1"/>
                <w:color w:val="auto"/>
              </w:rPr>
              <w:t>Nine Months Ended</w:t>
            </w:r>
          </w:p>
        </w:tc>
        <w:tc>
          <w:tcPr>
            <w:tcW w:w="140" w:type="dxa"/>
            <w:vAlign w:val="bottom"/>
          </w:tcPr>
          <w:p>
            <w:pPr>
              <w:spacing w:after="0"/>
              <w:rPr>
                <w:sz w:val="13"/>
                <w:szCs w:val="13"/>
                <w:color w:val="auto"/>
              </w:rPr>
            </w:pPr>
          </w:p>
        </w:tc>
        <w:tc>
          <w:tcPr>
            <w:tcW w:w="1300" w:type="dxa"/>
            <w:vAlign w:val="bottom"/>
          </w:tcPr>
          <w:p>
            <w:pPr>
              <w:jc w:val="right"/>
              <w:ind w:right="141"/>
              <w:spacing w:after="0"/>
              <w:rPr>
                <w:sz w:val="20"/>
                <w:szCs w:val="20"/>
                <w:color w:val="auto"/>
              </w:rPr>
            </w:pPr>
            <w:r>
              <w:rPr>
                <w:rFonts w:ascii="Arial" w:cs="Arial" w:eastAsia="Arial" w:hAnsi="Arial"/>
                <w:sz w:val="12"/>
                <w:szCs w:val="12"/>
                <w:b w:val="1"/>
                <w:bCs w:val="1"/>
                <w:color w:val="auto"/>
                <w:w w:val="95"/>
              </w:rPr>
              <w:t>Four Months Ended</w:t>
            </w:r>
          </w:p>
        </w:tc>
      </w:tr>
      <w:tr>
        <w:trPr>
          <w:trHeight w:val="147"/>
        </w:trPr>
        <w:tc>
          <w:tcPr>
            <w:tcW w:w="5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September 30, 2021</w:t>
            </w:r>
          </w:p>
        </w:tc>
        <w:tc>
          <w:tcPr>
            <w:tcW w:w="1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181"/>
              <w:spacing w:after="0"/>
              <w:rPr>
                <w:sz w:val="20"/>
                <w:szCs w:val="20"/>
                <w:color w:val="auto"/>
              </w:rPr>
            </w:pPr>
            <w:r>
              <w:rPr>
                <w:rFonts w:ascii="Arial" w:cs="Arial" w:eastAsia="Arial" w:hAnsi="Arial"/>
                <w:sz w:val="12"/>
                <w:szCs w:val="12"/>
                <w:b w:val="1"/>
                <w:bCs w:val="1"/>
                <w:color w:val="auto"/>
                <w:w w:val="92"/>
              </w:rPr>
              <w:t>September 30, 2020</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161"/>
              <w:spacing w:after="0"/>
              <w:rPr>
                <w:sz w:val="20"/>
                <w:szCs w:val="20"/>
                <w:color w:val="auto"/>
              </w:rPr>
            </w:pPr>
            <w:r>
              <w:rPr>
                <w:rFonts w:ascii="Arial" w:cs="Arial" w:eastAsia="Arial" w:hAnsi="Arial"/>
                <w:sz w:val="12"/>
                <w:szCs w:val="12"/>
                <w:b w:val="1"/>
                <w:bCs w:val="1"/>
                <w:color w:val="auto"/>
                <w:w w:val="94"/>
              </w:rPr>
              <w:t>September 30, 2021</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161"/>
              <w:spacing w:after="0"/>
              <w:rPr>
                <w:sz w:val="20"/>
                <w:szCs w:val="20"/>
                <w:color w:val="auto"/>
              </w:rPr>
            </w:pPr>
            <w:r>
              <w:rPr>
                <w:rFonts w:ascii="Arial" w:cs="Arial" w:eastAsia="Arial" w:hAnsi="Arial"/>
                <w:sz w:val="12"/>
                <w:szCs w:val="12"/>
                <w:b w:val="1"/>
                <w:bCs w:val="1"/>
                <w:color w:val="auto"/>
                <w:w w:val="94"/>
              </w:rPr>
              <w:t>September 30, 2020</w:t>
            </w:r>
          </w:p>
        </w:tc>
      </w:tr>
      <w:tr>
        <w:trPr>
          <w:trHeight w:val="135"/>
        </w:trPr>
        <w:tc>
          <w:tcPr>
            <w:tcW w:w="52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Net investment gains (losses):</w:t>
            </w: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r>
      <w:tr>
        <w:trPr>
          <w:trHeight w:val="158"/>
        </w:trPr>
        <w:tc>
          <w:tcPr>
            <w:tcW w:w="5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Call options</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273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55</w:t>
            </w:r>
          </w:p>
        </w:tc>
      </w:tr>
      <w:tr>
        <w:trPr>
          <w:trHeight w:val="152"/>
        </w:trPr>
        <w:tc>
          <w:tcPr>
            <w:tcW w:w="5280" w:type="dxa"/>
            <w:vAlign w:val="bottom"/>
          </w:tcPr>
          <w:p>
            <w:pPr>
              <w:ind w:left="120"/>
              <w:spacing w:after="0"/>
              <w:rPr>
                <w:sz w:val="20"/>
                <w:szCs w:val="20"/>
                <w:color w:val="auto"/>
              </w:rPr>
            </w:pPr>
            <w:r>
              <w:rPr>
                <w:rFonts w:ascii="Arial" w:cs="Arial" w:eastAsia="Arial" w:hAnsi="Arial"/>
                <w:sz w:val="12"/>
                <w:szCs w:val="12"/>
                <w:color w:val="auto"/>
              </w:rPr>
              <w:t>Futures contracts</w:t>
            </w:r>
          </w:p>
        </w:tc>
        <w:tc>
          <w:tcPr>
            <w:tcW w:w="160" w:type="dxa"/>
            <w:vAlign w:val="bottom"/>
          </w:tcPr>
          <w:p>
            <w:pPr>
              <w:spacing w:after="0"/>
              <w:rPr>
                <w:sz w:val="13"/>
                <w:szCs w:val="13"/>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300" w:type="dxa"/>
            <w:vAlign w:val="bottom"/>
          </w:tcPr>
          <w:p>
            <w:pPr>
              <w:jc w:val="right"/>
              <w:ind w:right="1"/>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ind w:right="1"/>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ind w:right="1"/>
              <w:spacing w:after="0"/>
              <w:rPr>
                <w:sz w:val="20"/>
                <w:szCs w:val="20"/>
                <w:color w:val="auto"/>
              </w:rPr>
            </w:pPr>
            <w:r>
              <w:rPr>
                <w:rFonts w:ascii="Arial" w:cs="Arial" w:eastAsia="Arial" w:hAnsi="Arial"/>
                <w:sz w:val="12"/>
                <w:szCs w:val="12"/>
                <w:color w:val="auto"/>
              </w:rPr>
              <w:t>9</w:t>
            </w:r>
          </w:p>
        </w:tc>
      </w:tr>
      <w:tr>
        <w:trPr>
          <w:trHeight w:val="157"/>
        </w:trPr>
        <w:tc>
          <w:tcPr>
            <w:tcW w:w="5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Foreign currency forward</w:t>
            </w: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r>
      <w:tr>
        <w:trPr>
          <w:trHeight w:val="152"/>
        </w:trPr>
        <w:tc>
          <w:tcPr>
            <w:tcW w:w="5280" w:type="dxa"/>
            <w:vAlign w:val="bottom"/>
          </w:tcPr>
          <w:p>
            <w:pPr>
              <w:ind w:left="120"/>
              <w:spacing w:after="0"/>
              <w:rPr>
                <w:sz w:val="20"/>
                <w:szCs w:val="20"/>
                <w:color w:val="auto"/>
              </w:rPr>
            </w:pPr>
            <w:r>
              <w:rPr>
                <w:rFonts w:ascii="Arial" w:cs="Arial" w:eastAsia="Arial" w:hAnsi="Arial"/>
                <w:sz w:val="12"/>
                <w:szCs w:val="12"/>
                <w:color w:val="auto"/>
              </w:rPr>
              <w:t>Other derivatives and embedded derivatives</w:t>
            </w: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ind w:right="1"/>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ind w:right="1"/>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ind w:right="1"/>
              <w:spacing w:after="0"/>
              <w:rPr>
                <w:sz w:val="20"/>
                <w:szCs w:val="20"/>
                <w:color w:val="auto"/>
              </w:rPr>
            </w:pPr>
            <w:r>
              <w:rPr>
                <w:rFonts w:ascii="Arial" w:cs="Arial" w:eastAsia="Arial" w:hAnsi="Arial"/>
                <w:sz w:val="12"/>
                <w:szCs w:val="12"/>
                <w:color w:val="auto"/>
              </w:rPr>
              <w:t>3</w:t>
            </w:r>
          </w:p>
        </w:tc>
      </w:tr>
      <w:tr>
        <w:trPr>
          <w:trHeight w:val="155"/>
        </w:trPr>
        <w:tc>
          <w:tcPr>
            <w:tcW w:w="5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Reinsurance related embedded derivatives</w:t>
            </w:r>
          </w:p>
        </w:tc>
        <w:tc>
          <w:tcPr>
            <w:tcW w:w="16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23</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w:t>
            </w:r>
          </w:p>
        </w:tc>
      </w:tr>
      <w:tr>
        <w:trPr>
          <w:trHeight w:val="148"/>
        </w:trPr>
        <w:tc>
          <w:tcPr>
            <w:tcW w:w="5280" w:type="dxa"/>
            <w:vAlign w:val="bottom"/>
          </w:tcPr>
          <w:p>
            <w:pPr>
              <w:ind w:left="20"/>
              <w:spacing w:after="0"/>
              <w:rPr>
                <w:sz w:val="20"/>
                <w:szCs w:val="20"/>
                <w:color w:val="auto"/>
              </w:rPr>
            </w:pPr>
            <w:r>
              <w:rPr>
                <w:rFonts w:ascii="Arial" w:cs="Arial" w:eastAsia="Arial" w:hAnsi="Arial"/>
                <w:sz w:val="12"/>
                <w:szCs w:val="12"/>
                <w:b w:val="1"/>
                <w:bCs w:val="1"/>
                <w:color w:val="auto"/>
              </w:rPr>
              <w:t>Total net investment gains (losses)</w:t>
            </w:r>
          </w:p>
        </w:tc>
        <w:tc>
          <w:tcPr>
            <w:tcW w:w="1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12"/>
                <w:szCs w:val="12"/>
                <w:color w:val="auto"/>
              </w:rPr>
            </w:pPr>
          </w:p>
        </w:tc>
        <w:tc>
          <w:tcPr>
            <w:tcW w:w="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34</w:t>
            </w: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309</w:t>
            </w: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28</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39"/>
        </w:trPr>
        <w:tc>
          <w:tcPr>
            <w:tcW w:w="5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5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Benefits and other changes in policy reserves:</w:t>
            </w: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r>
      <w:tr>
        <w:trPr>
          <w:trHeight w:val="172"/>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FIA embedded derivatives</w:t>
            </w:r>
          </w:p>
        </w:tc>
        <w:tc>
          <w:tcPr>
            <w:tcW w:w="1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(320)</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209</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35</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309</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3" w:name="page44"/>
    <w:bookmarkEnd w:id="43"/>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Additional Disclosures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FIA Embedded Derivative and Call Options and Futures</w:t>
      </w:r>
    </w:p>
    <w:p>
      <w:pPr>
        <w:spacing w:after="0" w:line="126" w:lineRule="exact"/>
        <w:rPr>
          <w:sz w:val="20"/>
          <w:szCs w:val="20"/>
          <w:color w:val="auto"/>
        </w:rPr>
      </w:pPr>
    </w:p>
    <w:p>
      <w:pPr>
        <w:ind w:right="60" w:firstLine="364"/>
        <w:spacing w:after="0" w:line="221" w:lineRule="auto"/>
        <w:rPr>
          <w:sz w:val="20"/>
          <w:szCs w:val="20"/>
          <w:color w:val="auto"/>
        </w:rPr>
      </w:pPr>
      <w:r>
        <w:rPr>
          <w:rFonts w:ascii="Arial" w:cs="Arial" w:eastAsia="Arial" w:hAnsi="Arial"/>
          <w:sz w:val="15"/>
          <w:szCs w:val="15"/>
          <w:color w:val="auto"/>
        </w:rPr>
        <w:t xml:space="preserve">We have FIA Contracts that permit the holder to elect an interest rate return or an equity index linked component, where interest credited to the contracts is linked to the performance of various equity indices, primarily the S&amp;P 500 Index. This feature represents an embedded derivative under GAAP. The FIA embedded derivative is valued at fair value and included in the liability for contractholder funds in the accompanying unaudited Condensed Consolidated Balance Sheets with changes in fair value included as a component of Benefits and other changes in policy reserves in the unaudited Condensed Consolidated Statements of Earnings. See a description of the fair value methodology used in Note C </w:t>
      </w:r>
      <w:r>
        <w:rPr>
          <w:rFonts w:ascii="Arial" w:cs="Arial" w:eastAsia="Arial" w:hAnsi="Arial"/>
          <w:sz w:val="15"/>
          <w:szCs w:val="15"/>
          <w:i w:val="1"/>
          <w:iCs w:val="1"/>
          <w:color w:val="auto"/>
        </w:rPr>
        <w:t>Fair Value of Financial Instruments</w:t>
      </w:r>
      <w:r>
        <w:rPr>
          <w:rFonts w:ascii="Arial" w:cs="Arial" w:eastAsia="Arial" w:hAnsi="Arial"/>
          <w:sz w:val="15"/>
          <w:szCs w:val="15"/>
          <w:color w:val="auto"/>
        </w:rPr>
        <w:t xml:space="preserve">. Also refer to Managements Estimates in Note A </w:t>
      </w:r>
      <w:r>
        <w:rPr>
          <w:rFonts w:ascii="Arial" w:cs="Arial" w:eastAsia="Arial" w:hAnsi="Arial"/>
          <w:sz w:val="15"/>
          <w:szCs w:val="15"/>
          <w:i w:val="1"/>
          <w:iCs w:val="1"/>
          <w:color w:val="auto"/>
        </w:rPr>
        <w:t>Basis of Financial Statements</w:t>
      </w:r>
      <w:r>
        <w:rPr>
          <w:rFonts w:ascii="Arial" w:cs="Arial" w:eastAsia="Arial" w:hAnsi="Arial"/>
          <w:sz w:val="15"/>
          <w:szCs w:val="15"/>
          <w:color w:val="auto"/>
        </w:rPr>
        <w:t xml:space="preserve"> regarding the implementation of a new actuarial valuation system and assumption updates during the three-months ended September 30, 2021. The system implementation and assumption review process included refinements in the calculation of the fair value of the embedded derivative component of our fixed index annuities.</w:t>
      </w:r>
    </w:p>
    <w:p>
      <w:pPr>
        <w:spacing w:after="0" w:line="114" w:lineRule="exact"/>
        <w:rPr>
          <w:sz w:val="20"/>
          <w:szCs w:val="20"/>
          <w:color w:val="auto"/>
        </w:rPr>
      </w:pPr>
    </w:p>
    <w:p>
      <w:pPr>
        <w:jc w:val="both"/>
        <w:ind w:firstLine="364"/>
        <w:spacing w:after="0" w:line="293" w:lineRule="auto"/>
        <w:rPr>
          <w:sz w:val="20"/>
          <w:szCs w:val="20"/>
          <w:color w:val="auto"/>
        </w:rPr>
      </w:pPr>
      <w:r>
        <w:rPr>
          <w:rFonts w:ascii="Arial" w:cs="Arial" w:eastAsia="Arial" w:hAnsi="Arial"/>
          <w:sz w:val="13"/>
          <w:szCs w:val="13"/>
          <w:color w:val="auto"/>
        </w:rPr>
        <w:t>We purchase derivatives consisting of a combination of call options and futures contracts on the applicable market indices to fund the index credits due to FIA contractholders. The call options are one, two, three, and five year options purchased to match the funding requirements of the underlying policies. On the respective anniversary dates of the index policies, the index used to compute the interest credit is reset and we purchase new call options to fund the next index credit. We manage the cost of these purchases through the terms of our FIA contracts, which permit us to change caps, spreads or participation rates, subject to guaranteed minimums, on each contract’s anniversary date. The change in the fair value of the call options and futures contracts is generally designed to offset the portion of the change in the fair value of the FIA embedded derivative related to index performance through the current credit period. The call options and futures contracts are marked to fair value with the change in fair value included as a component of Recognized gains and losses, net. The change in fair value of the call options and futures contracts includes the gains and losses recognized at the expiration of the instrument term or upon early termination and the changes in fair value of open positions.</w:t>
      </w:r>
    </w:p>
    <w:p>
      <w:pPr>
        <w:spacing w:after="0" w:line="91" w:lineRule="exact"/>
        <w:rPr>
          <w:sz w:val="20"/>
          <w:szCs w:val="20"/>
          <w:color w:val="auto"/>
        </w:rPr>
      </w:pPr>
    </w:p>
    <w:p>
      <w:pPr>
        <w:jc w:val="both"/>
        <w:ind w:firstLine="364"/>
        <w:spacing w:after="0" w:line="313" w:lineRule="auto"/>
        <w:rPr>
          <w:sz w:val="20"/>
          <w:szCs w:val="20"/>
          <w:color w:val="auto"/>
        </w:rPr>
      </w:pPr>
      <w:r>
        <w:rPr>
          <w:rFonts w:ascii="Arial" w:cs="Arial" w:eastAsia="Arial" w:hAnsi="Arial"/>
          <w:sz w:val="13"/>
          <w:szCs w:val="13"/>
          <w:color w:val="auto"/>
        </w:rPr>
        <w:t>Other market exposures are hedged periodically depending on market conditions and our risk tolerance. Our FIA hedging strategy economically hedges the equity returns and exposes us to the risk that unhedged market exposures result in divergence between changes in the fair value of the liabilities and the hedging assets. We use a variety of techniques, including direct estimation of market sensitivities, to monitor this risk daily. We intend to continue to adjust the hedging strategy as market conditions and our risk tolerance changes.</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Credit Risk</w:t>
      </w:r>
    </w:p>
    <w:p>
      <w:pPr>
        <w:spacing w:after="0" w:line="137"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5"/>
          <w:szCs w:val="15"/>
          <w:color w:val="auto"/>
        </w:rPr>
        <w:t>We are exposed to credit loss in the event of non-performance by our counterparties on the call options and reflect assumptions regarding this non-performance risk in the fair value of the call options. The non-performance risk is the net counterparty exposure based on the fair value of the open contracts less collateral held. We maintain a policy of requiring all derivative contracts to be governed by an International Swaps and Derivatives Association (“ISDA”) Master Agreement.</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Information regarding our exposure to credit loss on the call options we hold as of September 30, 2021 and December 31, 2020, is presented in the following table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0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5"/>
          </w:tcPr>
          <w:p>
            <w:pPr>
              <w:ind w:left="600"/>
              <w:spacing w:after="0"/>
              <w:rPr>
                <w:sz w:val="20"/>
                <w:szCs w:val="20"/>
                <w:color w:val="auto"/>
              </w:rPr>
            </w:pPr>
            <w:r>
              <w:rPr>
                <w:rFonts w:ascii="Arial" w:cs="Arial" w:eastAsia="Arial" w:hAnsi="Arial"/>
                <w:sz w:val="12"/>
                <w:szCs w:val="12"/>
                <w:b w:val="1"/>
                <w:bCs w:val="1"/>
                <w:color w:val="auto"/>
              </w:rPr>
              <w:t>September 30, 2021</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30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Counterparty</w:t>
            </w:r>
          </w:p>
        </w:tc>
        <w:tc>
          <w:tcPr>
            <w:tcW w:w="2880" w:type="dxa"/>
            <w:vAlign w:val="bottom"/>
            <w:gridSpan w:val="2"/>
          </w:tcPr>
          <w:p>
            <w:pPr>
              <w:jc w:val="center"/>
              <w:ind w:left="681"/>
              <w:spacing w:after="0" w:line="111" w:lineRule="exact"/>
              <w:rPr>
                <w:sz w:val="20"/>
                <w:szCs w:val="20"/>
                <w:color w:val="auto"/>
              </w:rPr>
            </w:pPr>
            <w:r>
              <w:rPr>
                <w:rFonts w:ascii="Arial" w:cs="Arial" w:eastAsia="Arial" w:hAnsi="Arial"/>
                <w:sz w:val="12"/>
                <w:szCs w:val="12"/>
                <w:b w:val="1"/>
                <w:bCs w:val="1"/>
                <w:color w:val="auto"/>
                <w:w w:val="92"/>
              </w:rPr>
              <w:t>Credit Rating</w:t>
            </w:r>
          </w:p>
        </w:tc>
        <w:tc>
          <w:tcPr>
            <w:tcW w:w="240" w:type="dxa"/>
            <w:vAlign w:val="bottom"/>
          </w:tcPr>
          <w:p>
            <w:pPr>
              <w:spacing w:after="0"/>
              <w:rPr>
                <w:sz w:val="9"/>
                <w:szCs w:val="9"/>
                <w:color w:val="auto"/>
              </w:rPr>
            </w:pPr>
          </w:p>
        </w:tc>
        <w:tc>
          <w:tcPr>
            <w:tcW w:w="1140" w:type="dxa"/>
            <w:vAlign w:val="bottom"/>
            <w:gridSpan w:val="2"/>
          </w:tcPr>
          <w:p>
            <w:pPr>
              <w:ind w:left="180"/>
              <w:spacing w:after="0" w:line="111" w:lineRule="exact"/>
              <w:rPr>
                <w:sz w:val="20"/>
                <w:szCs w:val="20"/>
                <w:color w:val="auto"/>
              </w:rPr>
            </w:pPr>
            <w:r>
              <w:rPr>
                <w:rFonts w:ascii="Arial" w:cs="Arial" w:eastAsia="Arial" w:hAnsi="Arial"/>
                <w:sz w:val="12"/>
                <w:szCs w:val="12"/>
                <w:b w:val="1"/>
                <w:bCs w:val="1"/>
                <w:color w:val="auto"/>
              </w:rPr>
              <w:t>Notional</w:t>
            </w:r>
          </w:p>
        </w:tc>
        <w:tc>
          <w:tcPr>
            <w:tcW w:w="220" w:type="dxa"/>
            <w:vAlign w:val="bottom"/>
          </w:tcPr>
          <w:p>
            <w:pPr>
              <w:spacing w:after="0"/>
              <w:rPr>
                <w:sz w:val="9"/>
                <w:szCs w:val="9"/>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Fair Value</w:t>
            </w:r>
          </w:p>
        </w:tc>
        <w:tc>
          <w:tcPr>
            <w:tcW w:w="220" w:type="dxa"/>
            <w:vAlign w:val="bottom"/>
          </w:tcPr>
          <w:p>
            <w:pPr>
              <w:spacing w:after="0"/>
              <w:rPr>
                <w:sz w:val="9"/>
                <w:szCs w:val="9"/>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Collateral</w:t>
            </w:r>
          </w:p>
        </w:tc>
        <w:tc>
          <w:tcPr>
            <w:tcW w:w="160" w:type="dxa"/>
            <w:vAlign w:val="bottom"/>
          </w:tcPr>
          <w:p>
            <w:pPr>
              <w:spacing w:after="0"/>
              <w:rPr>
                <w:sz w:val="9"/>
                <w:szCs w:val="9"/>
                <w:color w:val="auto"/>
              </w:rPr>
            </w:pPr>
          </w:p>
        </w:tc>
        <w:tc>
          <w:tcPr>
            <w:tcW w:w="1100" w:type="dxa"/>
            <w:vAlign w:val="bottom"/>
            <w:vMerge w:val="restart"/>
          </w:tcPr>
          <w:p>
            <w:pPr>
              <w:jc w:val="right"/>
              <w:ind w:right="181"/>
              <w:spacing w:after="0"/>
              <w:rPr>
                <w:sz w:val="20"/>
                <w:szCs w:val="20"/>
                <w:color w:val="auto"/>
              </w:rPr>
            </w:pPr>
            <w:r>
              <w:rPr>
                <w:rFonts w:ascii="Arial" w:cs="Arial" w:eastAsia="Arial" w:hAnsi="Arial"/>
                <w:sz w:val="12"/>
                <w:szCs w:val="12"/>
                <w:b w:val="1"/>
                <w:bCs w:val="1"/>
                <w:color w:val="auto"/>
                <w:w w:val="97"/>
              </w:rPr>
              <w:t>Net Credit Risk</w:t>
            </w:r>
          </w:p>
        </w:tc>
        <w:tc>
          <w:tcPr>
            <w:tcW w:w="0" w:type="dxa"/>
            <w:vAlign w:val="bottom"/>
          </w:tcPr>
          <w:p>
            <w:pPr>
              <w:spacing w:after="0"/>
              <w:rPr>
                <w:sz w:val="1"/>
                <w:szCs w:val="1"/>
                <w:color w:val="auto"/>
              </w:rPr>
            </w:pPr>
          </w:p>
        </w:tc>
      </w:tr>
      <w:tr>
        <w:trPr>
          <w:trHeight w:val="153"/>
        </w:trPr>
        <w:tc>
          <w:tcPr>
            <w:tcW w:w="3040" w:type="dxa"/>
            <w:vAlign w:val="bottom"/>
            <w:vMerge w:val="continue"/>
          </w:tcPr>
          <w:p>
            <w:pPr>
              <w:spacing w:after="0"/>
              <w:rPr>
                <w:sz w:val="13"/>
                <w:szCs w:val="13"/>
                <w:color w:val="auto"/>
              </w:rPr>
            </w:pPr>
          </w:p>
        </w:tc>
        <w:tc>
          <w:tcPr>
            <w:tcW w:w="2880" w:type="dxa"/>
            <w:vAlign w:val="bottom"/>
            <w:gridSpan w:val="2"/>
          </w:tcPr>
          <w:p>
            <w:pPr>
              <w:jc w:val="center"/>
              <w:ind w:left="681"/>
              <w:spacing w:after="0"/>
              <w:rPr>
                <w:sz w:val="20"/>
                <w:szCs w:val="20"/>
                <w:color w:val="auto"/>
              </w:rPr>
            </w:pPr>
            <w:r>
              <w:rPr>
                <w:rFonts w:ascii="Arial" w:cs="Arial" w:eastAsia="Arial" w:hAnsi="Arial"/>
                <w:sz w:val="12"/>
                <w:szCs w:val="12"/>
                <w:b w:val="1"/>
                <w:bCs w:val="1"/>
                <w:color w:val="auto"/>
                <w:w w:val="90"/>
              </w:rPr>
              <w:t>(Fitch/Moody's/S&amp;P) (1)</w:t>
            </w:r>
          </w:p>
        </w:tc>
        <w:tc>
          <w:tcPr>
            <w:tcW w:w="24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Merrill Lynch</w:t>
            </w:r>
          </w:p>
        </w:tc>
        <w:tc>
          <w:tcPr>
            <w:tcW w:w="2780" w:type="dxa"/>
            <w:vAlign w:val="bottom"/>
            <w:tcBorders>
              <w:top w:val="single" w:sz="8" w:color="auto"/>
            </w:tcBorders>
            <w:shd w:val="clear" w:color="auto" w:fill="CCEEFF"/>
          </w:tcPr>
          <w:p>
            <w:pPr>
              <w:jc w:val="center"/>
              <w:ind w:left="801"/>
              <w:spacing w:after="0"/>
              <w:rPr>
                <w:sz w:val="20"/>
                <w:szCs w:val="20"/>
                <w:color w:val="auto"/>
              </w:rPr>
            </w:pPr>
            <w:r>
              <w:rPr>
                <w:rFonts w:ascii="Arial" w:cs="Arial" w:eastAsia="Arial" w:hAnsi="Arial"/>
                <w:sz w:val="12"/>
                <w:szCs w:val="12"/>
                <w:b w:val="1"/>
                <w:bCs w:val="1"/>
                <w:color w:val="auto"/>
                <w:w w:val="99"/>
              </w:rPr>
              <w:t>AA/*/A+</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2,180</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10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27</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153"/>
        </w:trPr>
        <w:tc>
          <w:tcPr>
            <w:tcW w:w="3040" w:type="dxa"/>
            <w:vAlign w:val="bottom"/>
          </w:tcPr>
          <w:p>
            <w:pPr>
              <w:ind w:left="20"/>
              <w:spacing w:after="0"/>
              <w:rPr>
                <w:sz w:val="20"/>
                <w:szCs w:val="20"/>
                <w:color w:val="auto"/>
              </w:rPr>
            </w:pPr>
            <w:r>
              <w:rPr>
                <w:rFonts w:ascii="Arial" w:cs="Arial" w:eastAsia="Arial" w:hAnsi="Arial"/>
                <w:sz w:val="12"/>
                <w:szCs w:val="12"/>
                <w:color w:val="auto"/>
              </w:rPr>
              <w:t>Morgan Stanley</w:t>
            </w:r>
          </w:p>
        </w:tc>
        <w:tc>
          <w:tcPr>
            <w:tcW w:w="2880" w:type="dxa"/>
            <w:vAlign w:val="bottom"/>
            <w:gridSpan w:val="2"/>
          </w:tcPr>
          <w:p>
            <w:pPr>
              <w:jc w:val="center"/>
              <w:ind w:left="701"/>
              <w:spacing w:after="0"/>
              <w:rPr>
                <w:sz w:val="20"/>
                <w:szCs w:val="20"/>
                <w:color w:val="auto"/>
              </w:rPr>
            </w:pPr>
            <w:r>
              <w:rPr>
                <w:rFonts w:ascii="Arial" w:cs="Arial" w:eastAsia="Arial" w:hAnsi="Arial"/>
                <w:sz w:val="12"/>
                <w:szCs w:val="12"/>
                <w:b w:val="1"/>
                <w:bCs w:val="1"/>
                <w:color w:val="auto"/>
                <w:w w:val="97"/>
              </w:rPr>
              <w:t>*/Aa3/A+</w:t>
            </w:r>
          </w:p>
        </w:tc>
        <w:tc>
          <w:tcPr>
            <w:tcW w:w="2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2,051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67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3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Barclay's Bank</w:t>
            </w:r>
          </w:p>
        </w:tc>
        <w:tc>
          <w:tcPr>
            <w:tcW w:w="2880" w:type="dxa"/>
            <w:vAlign w:val="bottom"/>
            <w:gridSpan w:val="2"/>
            <w:shd w:val="clear" w:color="auto" w:fill="CCEEFF"/>
          </w:tcPr>
          <w:p>
            <w:pPr>
              <w:jc w:val="center"/>
              <w:ind w:left="701"/>
              <w:spacing w:after="0"/>
              <w:rPr>
                <w:sz w:val="20"/>
                <w:szCs w:val="20"/>
                <w:color w:val="auto"/>
              </w:rPr>
            </w:pPr>
            <w:r>
              <w:rPr>
                <w:rFonts w:ascii="Arial" w:cs="Arial" w:eastAsia="Arial" w:hAnsi="Arial"/>
                <w:sz w:val="12"/>
                <w:szCs w:val="12"/>
                <w:b w:val="1"/>
                <w:bCs w:val="1"/>
                <w:color w:val="auto"/>
                <w:w w:val="94"/>
              </w:rPr>
              <w:t>A+/A1/A</w:t>
            </w: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5,508</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040" w:type="dxa"/>
            <w:vAlign w:val="bottom"/>
          </w:tcPr>
          <w:p>
            <w:pPr>
              <w:ind w:left="20"/>
              <w:spacing w:after="0"/>
              <w:rPr>
                <w:sz w:val="20"/>
                <w:szCs w:val="20"/>
                <w:color w:val="auto"/>
              </w:rPr>
            </w:pPr>
            <w:r>
              <w:rPr>
                <w:rFonts w:ascii="Arial" w:cs="Arial" w:eastAsia="Arial" w:hAnsi="Arial"/>
                <w:sz w:val="12"/>
                <w:szCs w:val="12"/>
                <w:color w:val="auto"/>
              </w:rPr>
              <w:t>Canadian Imperial Bank of Commerce</w:t>
            </w:r>
          </w:p>
        </w:tc>
        <w:tc>
          <w:tcPr>
            <w:tcW w:w="2880" w:type="dxa"/>
            <w:vAlign w:val="bottom"/>
            <w:gridSpan w:val="2"/>
          </w:tcPr>
          <w:p>
            <w:pPr>
              <w:jc w:val="center"/>
              <w:ind w:left="701"/>
              <w:spacing w:after="0"/>
              <w:rPr>
                <w:sz w:val="20"/>
                <w:szCs w:val="20"/>
                <w:color w:val="auto"/>
              </w:rPr>
            </w:pPr>
            <w:r>
              <w:rPr>
                <w:rFonts w:ascii="Arial" w:cs="Arial" w:eastAsia="Arial" w:hAnsi="Arial"/>
                <w:sz w:val="12"/>
                <w:szCs w:val="12"/>
                <w:b w:val="1"/>
                <w:bCs w:val="1"/>
                <w:color w:val="auto"/>
                <w:w w:val="97"/>
              </w:rPr>
              <w:t>AA/Aa2/A+</w:t>
            </w:r>
          </w:p>
        </w:tc>
        <w:tc>
          <w:tcPr>
            <w:tcW w:w="2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2,499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87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94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3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Wells Fargo</w:t>
            </w:r>
          </w:p>
        </w:tc>
        <w:tc>
          <w:tcPr>
            <w:tcW w:w="2880" w:type="dxa"/>
            <w:vAlign w:val="bottom"/>
            <w:gridSpan w:val="2"/>
            <w:shd w:val="clear" w:color="auto" w:fill="CCEEFF"/>
          </w:tcPr>
          <w:p>
            <w:pPr>
              <w:jc w:val="center"/>
              <w:ind w:left="701"/>
              <w:spacing w:after="0"/>
              <w:rPr>
                <w:sz w:val="20"/>
                <w:szCs w:val="20"/>
                <w:color w:val="auto"/>
              </w:rPr>
            </w:pPr>
            <w:r>
              <w:rPr>
                <w:rFonts w:ascii="Arial" w:cs="Arial" w:eastAsia="Arial" w:hAnsi="Arial"/>
                <w:sz w:val="12"/>
                <w:szCs w:val="12"/>
                <w:b w:val="1"/>
                <w:bCs w:val="1"/>
                <w:color w:val="auto"/>
                <w:w w:val="96"/>
              </w:rPr>
              <w:t>A+/A1/BBB+</w:t>
            </w: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2,575</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040" w:type="dxa"/>
            <w:vAlign w:val="bottom"/>
          </w:tcPr>
          <w:p>
            <w:pPr>
              <w:ind w:left="20"/>
              <w:spacing w:after="0"/>
              <w:rPr>
                <w:sz w:val="20"/>
                <w:szCs w:val="20"/>
                <w:color w:val="auto"/>
              </w:rPr>
            </w:pPr>
            <w:r>
              <w:rPr>
                <w:rFonts w:ascii="Arial" w:cs="Arial" w:eastAsia="Arial" w:hAnsi="Arial"/>
                <w:sz w:val="12"/>
                <w:szCs w:val="12"/>
                <w:color w:val="auto"/>
              </w:rPr>
              <w:t>Goldman Sachs</w:t>
            </w:r>
          </w:p>
        </w:tc>
        <w:tc>
          <w:tcPr>
            <w:tcW w:w="2880" w:type="dxa"/>
            <w:vAlign w:val="bottom"/>
            <w:gridSpan w:val="2"/>
          </w:tcPr>
          <w:p>
            <w:pPr>
              <w:jc w:val="center"/>
              <w:ind w:left="701"/>
              <w:spacing w:after="0"/>
              <w:rPr>
                <w:sz w:val="20"/>
                <w:szCs w:val="20"/>
                <w:color w:val="auto"/>
              </w:rPr>
            </w:pPr>
            <w:r>
              <w:rPr>
                <w:rFonts w:ascii="Arial" w:cs="Arial" w:eastAsia="Arial" w:hAnsi="Arial"/>
                <w:sz w:val="12"/>
                <w:szCs w:val="12"/>
                <w:b w:val="1"/>
                <w:bCs w:val="1"/>
                <w:color w:val="auto"/>
                <w:w w:val="94"/>
              </w:rPr>
              <w:t>A/A2/BBB+</w:t>
            </w:r>
          </w:p>
        </w:tc>
        <w:tc>
          <w:tcPr>
            <w:tcW w:w="2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383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3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Credit Suisse</w:t>
            </w:r>
          </w:p>
        </w:tc>
        <w:tc>
          <w:tcPr>
            <w:tcW w:w="2880" w:type="dxa"/>
            <w:vAlign w:val="bottom"/>
            <w:gridSpan w:val="2"/>
            <w:shd w:val="clear" w:color="auto" w:fill="CCEEFF"/>
          </w:tcPr>
          <w:p>
            <w:pPr>
              <w:jc w:val="center"/>
              <w:ind w:left="701"/>
              <w:spacing w:after="0"/>
              <w:rPr>
                <w:sz w:val="20"/>
                <w:szCs w:val="20"/>
                <w:color w:val="auto"/>
              </w:rPr>
            </w:pPr>
            <w:r>
              <w:rPr>
                <w:rFonts w:ascii="Arial" w:cs="Arial" w:eastAsia="Arial" w:hAnsi="Arial"/>
                <w:sz w:val="12"/>
                <w:szCs w:val="12"/>
                <w:b w:val="1"/>
                <w:bCs w:val="1"/>
                <w:color w:val="auto"/>
                <w:w w:val="94"/>
              </w:rPr>
              <w:t>A/A1/A+</w:t>
            </w: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2,184</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Truist</w:t>
            </w:r>
          </w:p>
        </w:tc>
        <w:tc>
          <w:tcPr>
            <w:tcW w:w="2880" w:type="dxa"/>
            <w:vAlign w:val="bottom"/>
            <w:tcBorders>
              <w:bottom w:val="single" w:sz="8" w:color="CCEEFF"/>
            </w:tcBorders>
            <w:gridSpan w:val="2"/>
          </w:tcPr>
          <w:p>
            <w:pPr>
              <w:jc w:val="center"/>
              <w:ind w:left="701"/>
              <w:spacing w:after="0"/>
              <w:rPr>
                <w:sz w:val="20"/>
                <w:szCs w:val="20"/>
                <w:color w:val="auto"/>
              </w:rPr>
            </w:pPr>
            <w:r>
              <w:rPr>
                <w:rFonts w:ascii="Arial" w:cs="Arial" w:eastAsia="Arial" w:hAnsi="Arial"/>
                <w:sz w:val="12"/>
                <w:szCs w:val="12"/>
                <w:b w:val="1"/>
                <w:bCs w:val="1"/>
                <w:color w:val="auto"/>
                <w:w w:val="94"/>
              </w:rPr>
              <w:t>A+/A2/A</w:t>
            </w: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1,135</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37</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3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b w:val="1"/>
                <w:bCs w:val="1"/>
                <w:color w:val="auto"/>
              </w:rPr>
              <w:t>Total</w:t>
            </w:r>
          </w:p>
        </w:tc>
        <w:tc>
          <w:tcPr>
            <w:tcW w:w="2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18,515</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580</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582</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4" w:name="page45"/>
    <w:bookmarkEnd w:id="44"/>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0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5"/>
          </w:tcPr>
          <w:p>
            <w:pPr>
              <w:ind w:left="600"/>
              <w:spacing w:after="0"/>
              <w:rPr>
                <w:sz w:val="20"/>
                <w:szCs w:val="20"/>
                <w:color w:val="auto"/>
              </w:rPr>
            </w:pPr>
            <w:r>
              <w:rPr>
                <w:rFonts w:ascii="Arial" w:cs="Arial" w:eastAsia="Arial" w:hAnsi="Arial"/>
                <w:sz w:val="12"/>
                <w:szCs w:val="12"/>
                <w:b w:val="1"/>
                <w:bCs w:val="1"/>
                <w:color w:val="auto"/>
              </w:rPr>
              <w:t>December 31, 2020</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30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Counterparty</w:t>
            </w:r>
          </w:p>
        </w:tc>
        <w:tc>
          <w:tcPr>
            <w:tcW w:w="2880" w:type="dxa"/>
            <w:vAlign w:val="bottom"/>
            <w:gridSpan w:val="2"/>
          </w:tcPr>
          <w:p>
            <w:pPr>
              <w:jc w:val="center"/>
              <w:ind w:left="681"/>
              <w:spacing w:after="0" w:line="111" w:lineRule="exact"/>
              <w:rPr>
                <w:sz w:val="20"/>
                <w:szCs w:val="20"/>
                <w:color w:val="auto"/>
              </w:rPr>
            </w:pPr>
            <w:r>
              <w:rPr>
                <w:rFonts w:ascii="Arial" w:cs="Arial" w:eastAsia="Arial" w:hAnsi="Arial"/>
                <w:sz w:val="12"/>
                <w:szCs w:val="12"/>
                <w:b w:val="1"/>
                <w:bCs w:val="1"/>
                <w:color w:val="auto"/>
                <w:w w:val="92"/>
              </w:rPr>
              <w:t>Credit Rating</w:t>
            </w:r>
          </w:p>
        </w:tc>
        <w:tc>
          <w:tcPr>
            <w:tcW w:w="240" w:type="dxa"/>
            <w:vAlign w:val="bottom"/>
          </w:tcPr>
          <w:p>
            <w:pPr>
              <w:spacing w:after="0"/>
              <w:rPr>
                <w:sz w:val="9"/>
                <w:szCs w:val="9"/>
                <w:color w:val="auto"/>
              </w:rPr>
            </w:pPr>
          </w:p>
        </w:tc>
        <w:tc>
          <w:tcPr>
            <w:tcW w:w="1140" w:type="dxa"/>
            <w:vAlign w:val="bottom"/>
            <w:gridSpan w:val="2"/>
          </w:tcPr>
          <w:p>
            <w:pPr>
              <w:ind w:left="180"/>
              <w:spacing w:after="0" w:line="111" w:lineRule="exact"/>
              <w:rPr>
                <w:sz w:val="20"/>
                <w:szCs w:val="20"/>
                <w:color w:val="auto"/>
              </w:rPr>
            </w:pPr>
            <w:r>
              <w:rPr>
                <w:rFonts w:ascii="Arial" w:cs="Arial" w:eastAsia="Arial" w:hAnsi="Arial"/>
                <w:sz w:val="12"/>
                <w:szCs w:val="12"/>
                <w:b w:val="1"/>
                <w:bCs w:val="1"/>
                <w:color w:val="auto"/>
              </w:rPr>
              <w:t>Notional</w:t>
            </w:r>
          </w:p>
        </w:tc>
        <w:tc>
          <w:tcPr>
            <w:tcW w:w="220" w:type="dxa"/>
            <w:vAlign w:val="bottom"/>
          </w:tcPr>
          <w:p>
            <w:pPr>
              <w:spacing w:after="0"/>
              <w:rPr>
                <w:sz w:val="9"/>
                <w:szCs w:val="9"/>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Fair Value</w:t>
            </w:r>
          </w:p>
        </w:tc>
        <w:tc>
          <w:tcPr>
            <w:tcW w:w="220" w:type="dxa"/>
            <w:vAlign w:val="bottom"/>
          </w:tcPr>
          <w:p>
            <w:pPr>
              <w:spacing w:after="0"/>
              <w:rPr>
                <w:sz w:val="9"/>
                <w:szCs w:val="9"/>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Collateral</w:t>
            </w:r>
          </w:p>
        </w:tc>
        <w:tc>
          <w:tcPr>
            <w:tcW w:w="160" w:type="dxa"/>
            <w:vAlign w:val="bottom"/>
          </w:tcPr>
          <w:p>
            <w:pPr>
              <w:spacing w:after="0"/>
              <w:rPr>
                <w:sz w:val="9"/>
                <w:szCs w:val="9"/>
                <w:color w:val="auto"/>
              </w:rPr>
            </w:pPr>
          </w:p>
        </w:tc>
        <w:tc>
          <w:tcPr>
            <w:tcW w:w="1100" w:type="dxa"/>
            <w:vAlign w:val="bottom"/>
            <w:vMerge w:val="restart"/>
          </w:tcPr>
          <w:p>
            <w:pPr>
              <w:jc w:val="right"/>
              <w:ind w:right="181"/>
              <w:spacing w:after="0"/>
              <w:rPr>
                <w:sz w:val="20"/>
                <w:szCs w:val="20"/>
                <w:color w:val="auto"/>
              </w:rPr>
            </w:pPr>
            <w:r>
              <w:rPr>
                <w:rFonts w:ascii="Arial" w:cs="Arial" w:eastAsia="Arial" w:hAnsi="Arial"/>
                <w:sz w:val="12"/>
                <w:szCs w:val="12"/>
                <w:b w:val="1"/>
                <w:bCs w:val="1"/>
                <w:color w:val="auto"/>
                <w:w w:val="97"/>
              </w:rPr>
              <w:t>Net Credit Risk</w:t>
            </w:r>
          </w:p>
        </w:tc>
        <w:tc>
          <w:tcPr>
            <w:tcW w:w="0" w:type="dxa"/>
            <w:vAlign w:val="bottom"/>
          </w:tcPr>
          <w:p>
            <w:pPr>
              <w:spacing w:after="0"/>
              <w:rPr>
                <w:sz w:val="1"/>
                <w:szCs w:val="1"/>
                <w:color w:val="auto"/>
              </w:rPr>
            </w:pPr>
          </w:p>
        </w:tc>
      </w:tr>
      <w:tr>
        <w:trPr>
          <w:trHeight w:val="153"/>
        </w:trPr>
        <w:tc>
          <w:tcPr>
            <w:tcW w:w="3040" w:type="dxa"/>
            <w:vAlign w:val="bottom"/>
            <w:vMerge w:val="continue"/>
          </w:tcPr>
          <w:p>
            <w:pPr>
              <w:spacing w:after="0"/>
              <w:rPr>
                <w:sz w:val="13"/>
                <w:szCs w:val="13"/>
                <w:color w:val="auto"/>
              </w:rPr>
            </w:pPr>
          </w:p>
        </w:tc>
        <w:tc>
          <w:tcPr>
            <w:tcW w:w="2880" w:type="dxa"/>
            <w:vAlign w:val="bottom"/>
            <w:gridSpan w:val="2"/>
          </w:tcPr>
          <w:p>
            <w:pPr>
              <w:jc w:val="center"/>
              <w:ind w:left="681"/>
              <w:spacing w:after="0"/>
              <w:rPr>
                <w:sz w:val="20"/>
                <w:szCs w:val="20"/>
                <w:color w:val="auto"/>
              </w:rPr>
            </w:pPr>
            <w:r>
              <w:rPr>
                <w:rFonts w:ascii="Arial" w:cs="Arial" w:eastAsia="Arial" w:hAnsi="Arial"/>
                <w:sz w:val="12"/>
                <w:szCs w:val="12"/>
                <w:b w:val="1"/>
                <w:bCs w:val="1"/>
                <w:color w:val="auto"/>
                <w:w w:val="90"/>
              </w:rPr>
              <w:t>(Fitch/Moody's/S&amp;P) (1)</w:t>
            </w:r>
          </w:p>
        </w:tc>
        <w:tc>
          <w:tcPr>
            <w:tcW w:w="24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Merrill Lynch</w:t>
            </w:r>
          </w:p>
        </w:tc>
        <w:tc>
          <w:tcPr>
            <w:tcW w:w="2780" w:type="dxa"/>
            <w:vAlign w:val="bottom"/>
            <w:tcBorders>
              <w:top w:val="single" w:sz="8" w:color="auto"/>
            </w:tcBorders>
            <w:shd w:val="clear" w:color="auto" w:fill="CCEEFF"/>
          </w:tcPr>
          <w:p>
            <w:pPr>
              <w:jc w:val="center"/>
              <w:ind w:left="781"/>
              <w:spacing w:after="0"/>
              <w:rPr>
                <w:sz w:val="20"/>
                <w:szCs w:val="20"/>
                <w:color w:val="auto"/>
              </w:rPr>
            </w:pPr>
            <w:r>
              <w:rPr>
                <w:rFonts w:ascii="Arial" w:cs="Arial" w:eastAsia="Arial" w:hAnsi="Arial"/>
                <w:sz w:val="12"/>
                <w:szCs w:val="12"/>
                <w:b w:val="1"/>
                <w:bCs w:val="1"/>
                <w:color w:val="auto"/>
              </w:rPr>
              <w:t>AA-/*/A+</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1,932</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10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32</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53"/>
        </w:trPr>
        <w:tc>
          <w:tcPr>
            <w:tcW w:w="3040" w:type="dxa"/>
            <w:vAlign w:val="bottom"/>
          </w:tcPr>
          <w:p>
            <w:pPr>
              <w:ind w:left="20"/>
              <w:spacing w:after="0"/>
              <w:rPr>
                <w:sz w:val="20"/>
                <w:szCs w:val="20"/>
                <w:color w:val="auto"/>
              </w:rPr>
            </w:pPr>
            <w:r>
              <w:rPr>
                <w:rFonts w:ascii="Arial" w:cs="Arial" w:eastAsia="Arial" w:hAnsi="Arial"/>
                <w:sz w:val="12"/>
                <w:szCs w:val="12"/>
                <w:color w:val="auto"/>
              </w:rPr>
              <w:t>Morgan Stanley</w:t>
            </w:r>
          </w:p>
        </w:tc>
        <w:tc>
          <w:tcPr>
            <w:tcW w:w="2880" w:type="dxa"/>
            <w:vAlign w:val="bottom"/>
            <w:gridSpan w:val="2"/>
          </w:tcPr>
          <w:p>
            <w:pPr>
              <w:jc w:val="center"/>
              <w:ind w:left="681"/>
              <w:spacing w:after="0"/>
              <w:rPr>
                <w:sz w:val="20"/>
                <w:szCs w:val="20"/>
                <w:color w:val="auto"/>
              </w:rPr>
            </w:pPr>
            <w:r>
              <w:rPr>
                <w:rFonts w:ascii="Arial" w:cs="Arial" w:eastAsia="Arial" w:hAnsi="Arial"/>
                <w:sz w:val="12"/>
                <w:szCs w:val="12"/>
                <w:b w:val="1"/>
                <w:bCs w:val="1"/>
                <w:color w:val="auto"/>
                <w:w w:val="91"/>
              </w:rPr>
              <w:t>A/A2/BBB+</w:t>
            </w:r>
          </w:p>
        </w:tc>
        <w:tc>
          <w:tcPr>
            <w:tcW w:w="2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1,503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41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3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Barclay's Bank</w:t>
            </w:r>
          </w:p>
        </w:tc>
        <w:tc>
          <w:tcPr>
            <w:tcW w:w="2880" w:type="dxa"/>
            <w:vAlign w:val="bottom"/>
            <w:gridSpan w:val="2"/>
            <w:shd w:val="clear" w:color="auto" w:fill="CCEEFF"/>
          </w:tcPr>
          <w:p>
            <w:pPr>
              <w:jc w:val="center"/>
              <w:ind w:left="681"/>
              <w:spacing w:after="0"/>
              <w:rPr>
                <w:sz w:val="20"/>
                <w:szCs w:val="20"/>
                <w:color w:val="auto"/>
              </w:rPr>
            </w:pPr>
            <w:r>
              <w:rPr>
                <w:rFonts w:ascii="Arial" w:cs="Arial" w:eastAsia="Arial" w:hAnsi="Arial"/>
                <w:sz w:val="12"/>
                <w:szCs w:val="12"/>
                <w:b w:val="1"/>
                <w:bCs w:val="1"/>
                <w:color w:val="auto"/>
                <w:w w:val="99"/>
              </w:rPr>
              <w:t>A+/A1/A</w:t>
            </w: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4,639</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53"/>
        </w:trPr>
        <w:tc>
          <w:tcPr>
            <w:tcW w:w="3040" w:type="dxa"/>
            <w:vAlign w:val="bottom"/>
          </w:tcPr>
          <w:p>
            <w:pPr>
              <w:ind w:left="20"/>
              <w:spacing w:after="0"/>
              <w:rPr>
                <w:sz w:val="20"/>
                <w:szCs w:val="20"/>
                <w:color w:val="auto"/>
              </w:rPr>
            </w:pPr>
            <w:r>
              <w:rPr>
                <w:rFonts w:ascii="Arial" w:cs="Arial" w:eastAsia="Arial" w:hAnsi="Arial"/>
                <w:sz w:val="12"/>
                <w:szCs w:val="12"/>
                <w:color w:val="auto"/>
              </w:rPr>
              <w:t>Canadian Imperial Bank of Commerce</w:t>
            </w:r>
          </w:p>
        </w:tc>
        <w:tc>
          <w:tcPr>
            <w:tcW w:w="2880" w:type="dxa"/>
            <w:vAlign w:val="bottom"/>
            <w:gridSpan w:val="2"/>
          </w:tcPr>
          <w:p>
            <w:pPr>
              <w:jc w:val="center"/>
              <w:ind w:left="681"/>
              <w:spacing w:after="0"/>
              <w:rPr>
                <w:sz w:val="20"/>
                <w:szCs w:val="20"/>
                <w:color w:val="auto"/>
              </w:rPr>
            </w:pPr>
            <w:r>
              <w:rPr>
                <w:rFonts w:ascii="Arial" w:cs="Arial" w:eastAsia="Arial" w:hAnsi="Arial"/>
                <w:sz w:val="12"/>
                <w:szCs w:val="12"/>
                <w:b w:val="1"/>
                <w:bCs w:val="1"/>
                <w:color w:val="auto"/>
                <w:w w:val="93"/>
              </w:rPr>
              <w:t>AA/Aa2/A+</w:t>
            </w:r>
          </w:p>
        </w:tc>
        <w:tc>
          <w:tcPr>
            <w:tcW w:w="2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2,276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86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85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6"/>
        </w:trPr>
        <w:tc>
          <w:tcPr>
            <w:tcW w:w="3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Wells Fargo</w:t>
            </w:r>
          </w:p>
        </w:tc>
        <w:tc>
          <w:tcPr>
            <w:tcW w:w="2880" w:type="dxa"/>
            <w:vAlign w:val="bottom"/>
            <w:gridSpan w:val="2"/>
            <w:shd w:val="clear" w:color="auto" w:fill="CCEEFF"/>
          </w:tcPr>
          <w:p>
            <w:pPr>
              <w:jc w:val="center"/>
              <w:ind w:left="681"/>
              <w:spacing w:after="0"/>
              <w:rPr>
                <w:sz w:val="20"/>
                <w:szCs w:val="20"/>
                <w:color w:val="auto"/>
              </w:rPr>
            </w:pPr>
            <w:r>
              <w:rPr>
                <w:rFonts w:ascii="Arial" w:cs="Arial" w:eastAsia="Arial" w:hAnsi="Arial"/>
                <w:sz w:val="12"/>
                <w:szCs w:val="12"/>
                <w:b w:val="1"/>
                <w:bCs w:val="1"/>
                <w:color w:val="auto"/>
                <w:w w:val="93"/>
              </w:rPr>
              <w:t>A+/A2/BBB+</w:t>
            </w: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2,900</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3"/>
        </w:trPr>
        <w:tc>
          <w:tcPr>
            <w:tcW w:w="3040" w:type="dxa"/>
            <w:vAlign w:val="bottom"/>
          </w:tcPr>
          <w:p>
            <w:pPr>
              <w:ind w:left="20"/>
              <w:spacing w:after="0"/>
              <w:rPr>
                <w:sz w:val="20"/>
                <w:szCs w:val="20"/>
                <w:color w:val="auto"/>
              </w:rPr>
            </w:pPr>
            <w:r>
              <w:rPr>
                <w:rFonts w:ascii="Arial" w:cs="Arial" w:eastAsia="Arial" w:hAnsi="Arial"/>
                <w:sz w:val="12"/>
                <w:szCs w:val="12"/>
                <w:color w:val="auto"/>
              </w:rPr>
              <w:t>Goldman Sachs</w:t>
            </w:r>
          </w:p>
        </w:tc>
        <w:tc>
          <w:tcPr>
            <w:tcW w:w="2880" w:type="dxa"/>
            <w:vAlign w:val="bottom"/>
            <w:gridSpan w:val="2"/>
          </w:tcPr>
          <w:p>
            <w:pPr>
              <w:jc w:val="center"/>
              <w:ind w:left="681"/>
              <w:spacing w:after="0"/>
              <w:rPr>
                <w:sz w:val="20"/>
                <w:szCs w:val="20"/>
                <w:color w:val="auto"/>
              </w:rPr>
            </w:pPr>
            <w:r>
              <w:rPr>
                <w:rFonts w:ascii="Arial" w:cs="Arial" w:eastAsia="Arial" w:hAnsi="Arial"/>
                <w:sz w:val="12"/>
                <w:szCs w:val="12"/>
                <w:b w:val="1"/>
                <w:bCs w:val="1"/>
                <w:color w:val="auto"/>
                <w:w w:val="91"/>
              </w:rPr>
              <w:t>A/A3/BBB+</w:t>
            </w:r>
          </w:p>
        </w:tc>
        <w:tc>
          <w:tcPr>
            <w:tcW w:w="2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634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3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Credit Suisse</w:t>
            </w:r>
          </w:p>
        </w:tc>
        <w:tc>
          <w:tcPr>
            <w:tcW w:w="2880" w:type="dxa"/>
            <w:vAlign w:val="bottom"/>
            <w:gridSpan w:val="2"/>
            <w:shd w:val="clear" w:color="auto" w:fill="CCEEFF"/>
          </w:tcPr>
          <w:p>
            <w:pPr>
              <w:jc w:val="center"/>
              <w:ind w:left="681"/>
              <w:spacing w:after="0"/>
              <w:rPr>
                <w:sz w:val="20"/>
                <w:szCs w:val="20"/>
                <w:color w:val="auto"/>
              </w:rPr>
            </w:pPr>
            <w:r>
              <w:rPr>
                <w:rFonts w:ascii="Arial" w:cs="Arial" w:eastAsia="Arial" w:hAnsi="Arial"/>
                <w:sz w:val="12"/>
                <w:szCs w:val="12"/>
                <w:b w:val="1"/>
                <w:bCs w:val="1"/>
                <w:color w:val="auto"/>
                <w:w w:val="94"/>
              </w:rPr>
              <w:t>A/Aa3/A+</w:t>
            </w: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1,373</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53"/>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Truist</w:t>
            </w:r>
          </w:p>
        </w:tc>
        <w:tc>
          <w:tcPr>
            <w:tcW w:w="2880" w:type="dxa"/>
            <w:vAlign w:val="bottom"/>
            <w:tcBorders>
              <w:bottom w:val="single" w:sz="8" w:color="CCEEFF"/>
            </w:tcBorders>
            <w:gridSpan w:val="2"/>
          </w:tcPr>
          <w:p>
            <w:pPr>
              <w:jc w:val="center"/>
              <w:ind w:left="681"/>
              <w:spacing w:after="0"/>
              <w:rPr>
                <w:sz w:val="20"/>
                <w:szCs w:val="20"/>
                <w:color w:val="auto"/>
              </w:rPr>
            </w:pPr>
            <w:r>
              <w:rPr>
                <w:rFonts w:ascii="Arial" w:cs="Arial" w:eastAsia="Arial" w:hAnsi="Arial"/>
                <w:sz w:val="12"/>
                <w:szCs w:val="12"/>
                <w:b w:val="1"/>
                <w:bCs w:val="1"/>
                <w:color w:val="auto"/>
                <w:w w:val="99"/>
              </w:rPr>
              <w:t>A+/A2/A</w:t>
            </w: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652</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19</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3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b w:val="1"/>
                <w:bCs w:val="1"/>
                <w:color w:val="auto"/>
              </w:rPr>
              <w:t>Total</w:t>
            </w:r>
          </w:p>
        </w:tc>
        <w:tc>
          <w:tcPr>
            <w:tcW w:w="2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15,909</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548</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491</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58</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2"/>
          <w:szCs w:val="12"/>
          <w:color w:val="auto"/>
        </w:rPr>
        <w:t>(1) An * represents credit ratings that were not available.</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Collateral Agreements</w:t>
      </w:r>
    </w:p>
    <w:p>
      <w:pPr>
        <w:spacing w:after="0" w:line="104" w:lineRule="exact"/>
        <w:rPr>
          <w:sz w:val="20"/>
          <w:szCs w:val="20"/>
          <w:color w:val="auto"/>
        </w:rPr>
      </w:pPr>
    </w:p>
    <w:p>
      <w:pPr>
        <w:jc w:val="both"/>
        <w:ind w:firstLine="331"/>
        <w:spacing w:after="0" w:line="268" w:lineRule="auto"/>
        <w:rPr>
          <w:sz w:val="20"/>
          <w:szCs w:val="20"/>
          <w:color w:val="auto"/>
        </w:rPr>
      </w:pPr>
      <w:r>
        <w:rPr>
          <w:rFonts w:ascii="Arial" w:cs="Arial" w:eastAsia="Arial" w:hAnsi="Arial"/>
          <w:sz w:val="14"/>
          <w:szCs w:val="14"/>
          <w:color w:val="auto"/>
        </w:rPr>
        <w:t>We are required to maintain minimum ratings as a matter of routine practice as part of our over-the-counter derivative agreements on ISDA forms. Under some ISDA agreements, we have agreed to maintain certain financial strength ratings. A downgrade below these levels provides the counterparty under the agreement the right to terminate the open option contracts between the parties, at which time any amounts payable by us or the counterparty would be dependent on the market value of the underlying option contracts. Our current rating does not allow any counterparty the right to terminate ISDA agreements. In certain transactions, both us and the counterparty have entered into a collateral support agreement requiring either party to post collateral when the net exposures exceed pre-determined thresholds. For all counterparties, except Merrill Lynch, this threshold is set to zero. As of September 30, 2021 and December 31, 2020, respectively, counterparties posted $582 million and $491 million of collateral of which $429 million and $415 million is included in cash and cash equivalents with an associated payable for this collateral included in accounts payable and accrued liabilities on the unaudited Condensed Consolidated Balance Sheet. Accordingly, the maximum amount of loss due to credit risk that we would incur if parties to the call options failed completely to perform according to the terms of the contracts was $40 million at September 30, 2021 and $58 million at December 31, 2020.</w:t>
      </w:r>
    </w:p>
    <w:p>
      <w:pPr>
        <w:spacing w:after="0" w:line="82" w:lineRule="exact"/>
        <w:rPr>
          <w:sz w:val="20"/>
          <w:szCs w:val="20"/>
          <w:color w:val="auto"/>
        </w:rPr>
      </w:pPr>
    </w:p>
    <w:p>
      <w:pPr>
        <w:jc w:val="both"/>
        <w:ind w:firstLine="331"/>
        <w:spacing w:after="0" w:line="255" w:lineRule="auto"/>
        <w:rPr>
          <w:sz w:val="20"/>
          <w:szCs w:val="20"/>
          <w:color w:val="auto"/>
        </w:rPr>
      </w:pPr>
      <w:r>
        <w:rPr>
          <w:rFonts w:ascii="Arial" w:cs="Arial" w:eastAsia="Arial" w:hAnsi="Arial"/>
          <w:sz w:val="15"/>
          <w:szCs w:val="15"/>
          <w:color w:val="auto"/>
        </w:rPr>
        <w:t>We are required to pay counterparties the effective federal funds rate each day for cash collateral posted to F&amp;G for daily mark to market margin changes. We reinvest derivative cash collateral to reduce the interest cost. Cash collateral is invested in overnight investment sweep products which are included in cash and cash equivalents in the accompanying unaudited Condensed Consolidated Balance Sheets.</w:t>
      </w:r>
    </w:p>
    <w:p>
      <w:pPr>
        <w:spacing w:after="0" w:line="79" w:lineRule="exact"/>
        <w:rPr>
          <w:sz w:val="20"/>
          <w:szCs w:val="20"/>
          <w:color w:val="auto"/>
        </w:rPr>
      </w:pPr>
    </w:p>
    <w:p>
      <w:pPr>
        <w:jc w:val="both"/>
        <w:ind w:firstLine="331"/>
        <w:spacing w:after="0" w:line="252" w:lineRule="auto"/>
        <w:rPr>
          <w:sz w:val="20"/>
          <w:szCs w:val="20"/>
          <w:color w:val="auto"/>
        </w:rPr>
      </w:pPr>
      <w:r>
        <w:rPr>
          <w:rFonts w:ascii="Arial" w:cs="Arial" w:eastAsia="Arial" w:hAnsi="Arial"/>
          <w:sz w:val="15"/>
          <w:szCs w:val="15"/>
          <w:color w:val="auto"/>
        </w:rPr>
        <w:t>We held 354 and 384 futures contracts at September 30, 2021 and December 31, 2020, respectively. The fair value of the futures contracts represents the cumulative unsettled variation margin (open trade equity, net of cash settlements). We provide cash collateral to the counterparties for the initial and variation margin on the futures contracts which is included in cash and cash equivalents in the accompanying unaudited Condensed Consolidated Balance Sheets. The amount of cash collateral held by the counterparties for such contracts was $3 million and $4 million at September 30, 2021 and December 31, 2020, respectively.</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Reinsurance Related Embedded Derivatives</w:t>
      </w:r>
    </w:p>
    <w:p>
      <w:pPr>
        <w:spacing w:after="0" w:line="115" w:lineRule="exact"/>
        <w:rPr>
          <w:sz w:val="20"/>
          <w:szCs w:val="20"/>
          <w:color w:val="auto"/>
        </w:rPr>
      </w:pPr>
    </w:p>
    <w:p>
      <w:pPr>
        <w:jc w:val="both"/>
        <w:ind w:firstLine="331"/>
        <w:spacing w:after="0" w:line="249" w:lineRule="auto"/>
        <w:rPr>
          <w:sz w:val="20"/>
          <w:szCs w:val="20"/>
          <w:color w:val="auto"/>
        </w:rPr>
      </w:pPr>
      <w:r>
        <w:rPr>
          <w:rFonts w:ascii="Arial" w:cs="Arial" w:eastAsia="Arial" w:hAnsi="Arial"/>
          <w:sz w:val="15"/>
          <w:szCs w:val="15"/>
          <w:color w:val="auto"/>
        </w:rPr>
        <w:t>F&amp;G entered into a reinsurance agreement with Kubera effective December 31, 2018, to cede certain deferred annuity business on a coinsurance funds withheld basis, net of applicable existing reinsurance. Additionally, F&amp;G entered into a reinsurance agreement with Aspida effective January 1, 2021, to cede a quota share of certain deferred annuity business on a funds withheld basis. Fair value movements in the funds withheld balances associated with these arrangements creates an obligation for FGL Insurance to pay Kubera and Aspida at a later date, which results in embedded derivatives. These embedded derivatives are considered total return swaps with contractual returns that are attributable to the assets and liabilities associated with the reinsurance arrangements. The fair value of the total return swap is based on the change in fair value of the underlying assets held in the funds withheld portfolio. Investment results for the assets that support the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5" w:name="page46"/>
    <w:bookmarkEnd w:id="45"/>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coinsurance with funds withheld reinsurance arrangements, including gains and losses from sales, were passed directly to the reinsurers pursuant to contractual terms of the reinsurance arrangements. The reinsurance related embedded derivatives are reported in prepaid expenses and other assets if in a net gain position, or accounts payable and accrued liabilities, if in a net loss position, on the unaudited Condensed Consolidated Balance Sheets and the related gains or losses are reported in Recognized gains and losses, net on the unaudited Condensed Consolidated Statements of Earnings.</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F — Commitments and Contingencies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Legal and Regulatory Contingencies</w:t>
      </w:r>
    </w:p>
    <w:p>
      <w:pPr>
        <w:spacing w:after="0" w:line="71" w:lineRule="exact"/>
        <w:rPr>
          <w:sz w:val="20"/>
          <w:szCs w:val="20"/>
          <w:color w:val="auto"/>
        </w:rPr>
      </w:pPr>
    </w:p>
    <w:p>
      <w:pPr>
        <w:jc w:val="both"/>
        <w:ind w:firstLine="331"/>
        <w:spacing w:after="0"/>
        <w:rPr>
          <w:sz w:val="20"/>
          <w:szCs w:val="20"/>
          <w:color w:val="auto"/>
        </w:rPr>
      </w:pPr>
      <w:r>
        <w:rPr>
          <w:rFonts w:ascii="Arial" w:cs="Arial" w:eastAsia="Arial" w:hAnsi="Arial"/>
          <w:sz w:val="14"/>
          <w:szCs w:val="14"/>
          <w:color w:val="auto"/>
        </w:rPr>
        <w:t xml:space="preserve">In the ordinary course of business, we are involved in various pending and threatened litigation matters related to our operations, some of which include claims for punitive or exemplary damages. With respect to our title insurance operations, this customary litigation includes but is not limited to a wide variety of cases arising out of or related to title and escrow claims, for which we make provisions through our loss reserves. See Note B </w:t>
      </w:r>
      <w:r>
        <w:rPr>
          <w:rFonts w:ascii="Arial" w:cs="Arial" w:eastAsia="Arial" w:hAnsi="Arial"/>
          <w:sz w:val="14"/>
          <w:szCs w:val="14"/>
          <w:i w:val="1"/>
          <w:iCs w:val="1"/>
          <w:color w:val="auto"/>
        </w:rPr>
        <w:t>Summary of Reserve for Title Claim Losses</w:t>
      </w:r>
      <w:r>
        <w:rPr>
          <w:rFonts w:ascii="Arial" w:cs="Arial" w:eastAsia="Arial" w:hAnsi="Arial"/>
          <w:sz w:val="14"/>
          <w:szCs w:val="14"/>
          <w:color w:val="auto"/>
        </w:rPr>
        <w:t xml:space="preserve"> for further discussion. Additionally, like other companies, our ordinary course litigation includes a number of class action and purported class action lawsuits, which make allegations related to aspects of our operations. We believe that no actions, other than the matters discussed below, if any, depart from customary litigation incidental to our business.</w:t>
      </w:r>
    </w:p>
    <w:p>
      <w:pPr>
        <w:spacing w:after="0" w:line="167" w:lineRule="exact"/>
        <w:rPr>
          <w:sz w:val="20"/>
          <w:szCs w:val="20"/>
          <w:color w:val="auto"/>
        </w:rPr>
      </w:pPr>
    </w:p>
    <w:p>
      <w:pPr>
        <w:jc w:val="both"/>
        <w:ind w:firstLine="265"/>
        <w:spacing w:after="0" w:line="220" w:lineRule="auto"/>
        <w:rPr>
          <w:sz w:val="20"/>
          <w:szCs w:val="20"/>
          <w:color w:val="auto"/>
        </w:rPr>
      </w:pPr>
      <w:r>
        <w:rPr>
          <w:rFonts w:ascii="Arial" w:cs="Arial" w:eastAsia="Arial" w:hAnsi="Arial"/>
          <w:sz w:val="15"/>
          <w:szCs w:val="15"/>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which represents our best estimate has been recorded. Our accrual for legal and regulatory matters was $12 million and $13 million as of September 30, 2021 and December 31, 2020, respectively. None of the amounts we have currently recorded are considered to be material to our financial condition individually or in the aggregate. Actual losses may materially differ from the amounts recorded and the ultimate outcome of our pending legal proceedings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170" w:lineRule="exact"/>
        <w:rPr>
          <w:sz w:val="20"/>
          <w:szCs w:val="20"/>
          <w:color w:val="auto"/>
        </w:rPr>
      </w:pPr>
    </w:p>
    <w:p>
      <w:pPr>
        <w:jc w:val="both"/>
        <w:ind w:firstLine="291"/>
        <w:spacing w:after="0" w:line="221" w:lineRule="auto"/>
        <w:rPr>
          <w:sz w:val="20"/>
          <w:szCs w:val="20"/>
          <w:color w:val="auto"/>
        </w:rPr>
      </w:pPr>
      <w:r>
        <w:rPr>
          <w:rFonts w:ascii="Arial" w:cs="Arial" w:eastAsia="Arial" w:hAnsi="Arial"/>
          <w:sz w:val="15"/>
          <w:szCs w:val="15"/>
          <w:color w:val="auto"/>
        </w:rPr>
        <w:t xml:space="preserve">Two lawsuits have been filed related to FNF’s acquisition of F&amp;G. On August 4, 2020, a stockholder derivative lawsuit styled, </w:t>
      </w:r>
      <w:r>
        <w:rPr>
          <w:rFonts w:ascii="Arial" w:cs="Arial" w:eastAsia="Arial" w:hAnsi="Arial"/>
          <w:sz w:val="15"/>
          <w:szCs w:val="15"/>
          <w:i w:val="1"/>
          <w:iCs w:val="1"/>
          <w:color w:val="auto"/>
        </w:rPr>
        <w:t>City of Miami General Employees’ and Sanitation</w:t>
      </w:r>
      <w:r>
        <w:rPr>
          <w:rFonts w:ascii="Arial" w:cs="Arial" w:eastAsia="Arial" w:hAnsi="Arial"/>
          <w:sz w:val="15"/>
          <w:szCs w:val="15"/>
          <w:color w:val="auto"/>
        </w:rPr>
        <w:t xml:space="preserve"> </w:t>
      </w:r>
      <w:r>
        <w:rPr>
          <w:rFonts w:ascii="Arial" w:cs="Arial" w:eastAsia="Arial" w:hAnsi="Arial"/>
          <w:sz w:val="15"/>
          <w:szCs w:val="15"/>
          <w:i w:val="1"/>
          <w:iCs w:val="1"/>
          <w:color w:val="auto"/>
        </w:rPr>
        <w:t>Employees’ Retirement Trust v. Fidelity National Financial, et al.</w:t>
      </w:r>
      <w:r>
        <w:rPr>
          <w:rFonts w:ascii="Arial" w:cs="Arial" w:eastAsia="Arial" w:hAnsi="Arial"/>
          <w:sz w:val="15"/>
          <w:szCs w:val="15"/>
          <w:color w:val="auto"/>
        </w:rPr>
        <w:t>, was filed in the Court of Chancery of the State of Delaware against the Company, its Board of Directors and others alleging</w:t>
      </w:r>
      <w:r>
        <w:rPr>
          <w:rFonts w:ascii="Arial" w:cs="Arial" w:eastAsia="Arial" w:hAnsi="Arial"/>
          <w:sz w:val="15"/>
          <w:szCs w:val="15"/>
          <w:i w:val="1"/>
          <w:iCs w:val="1"/>
          <w:color w:val="auto"/>
        </w:rPr>
        <w:t xml:space="preserve"> </w:t>
      </w:r>
      <w:r>
        <w:rPr>
          <w:rFonts w:ascii="Arial" w:cs="Arial" w:eastAsia="Arial" w:hAnsi="Arial"/>
          <w:sz w:val="15"/>
          <w:szCs w:val="15"/>
          <w:color w:val="auto"/>
        </w:rPr>
        <w:t>breach of fiduciary duties as directors and officers relating to FNF’s acquisition of F&amp;G. Our Board of Directors (“Board”) has designated a Special Litigation Committee (the “SLC”) consisting of three of the Board’s Directors, and has authorized the SLC, among other things, to investigate and evaluate the claims and allegations asserted in the lawsuit. The Board has also given the SLC the sole authority and power to consider and determine whether or not prosecution of the claims asserted in the lawsuit is in the best interest of the Company and our shareholders, and what action we should take with respect to the lawsuit. The parties have agreed to stay the action until November 24, 2021, to allow sufficient time for the SLC to investigate the allegations and provide its evaluation.</w:t>
      </w:r>
    </w:p>
    <w:p>
      <w:pPr>
        <w:spacing w:after="0" w:line="169" w:lineRule="exact"/>
        <w:rPr>
          <w:sz w:val="20"/>
          <w:szCs w:val="20"/>
          <w:color w:val="auto"/>
        </w:rPr>
      </w:pPr>
    </w:p>
    <w:p>
      <w:pPr>
        <w:jc w:val="both"/>
        <w:ind w:firstLine="291"/>
        <w:spacing w:after="0" w:line="243" w:lineRule="auto"/>
        <w:rPr>
          <w:sz w:val="20"/>
          <w:szCs w:val="20"/>
          <w:color w:val="auto"/>
        </w:rPr>
      </w:pPr>
      <w:r>
        <w:rPr>
          <w:rFonts w:ascii="Arial" w:cs="Arial" w:eastAsia="Arial" w:hAnsi="Arial"/>
          <w:sz w:val="14"/>
          <w:szCs w:val="14"/>
          <w:color w:val="auto"/>
        </w:rPr>
        <w:t>On August 17, 2020, a lawsuit styled</w:t>
      </w:r>
      <w:r>
        <w:rPr>
          <w:rFonts w:ascii="Arial" w:cs="Arial" w:eastAsia="Arial" w:hAnsi="Arial"/>
          <w:sz w:val="14"/>
          <w:szCs w:val="14"/>
          <w:i w:val="1"/>
          <w:iCs w:val="1"/>
          <w:color w:val="auto"/>
        </w:rPr>
        <w:t>, In the Matter of FGL Holdings</w:t>
      </w:r>
      <w:r>
        <w:rPr>
          <w:rFonts w:ascii="Arial" w:cs="Arial" w:eastAsia="Arial" w:hAnsi="Arial"/>
          <w:sz w:val="14"/>
          <w:szCs w:val="14"/>
          <w:color w:val="auto"/>
        </w:rPr>
        <w:t>, was filed in the Grand Court of the Cayman Islands where dissenting shareholders, Kingfishers LP, Kingstown 1740 Fund LP, Kingstown Partners II LP, Kingstown Partners Master Ltd., and Ktown LP, have asserted statutory appraisal rights relative to their ownership of 12,000,000 shares of F&amp;G stock in connection with the acquisition. They seek a judicial determination of the fair value of their shares of F&amp;G stock under the law of the Cayman Islands, together with interest. Discovery is ongoing. We do not believe the result in either case will have a material adverse effect on our financial condition.</w:t>
      </w:r>
    </w:p>
    <w:p>
      <w:pPr>
        <w:spacing w:after="0" w:line="165" w:lineRule="exact"/>
        <w:rPr>
          <w:sz w:val="20"/>
          <w:szCs w:val="20"/>
          <w:color w:val="auto"/>
        </w:rPr>
      </w:pPr>
    </w:p>
    <w:p>
      <w:pPr>
        <w:jc w:val="both"/>
        <w:ind w:firstLine="291"/>
        <w:spacing w:after="0"/>
        <w:rPr>
          <w:sz w:val="20"/>
          <w:szCs w:val="20"/>
          <w:color w:val="auto"/>
        </w:rPr>
      </w:pPr>
      <w:r>
        <w:rPr>
          <w:rFonts w:ascii="Arial" w:cs="Arial" w:eastAsia="Arial" w:hAnsi="Arial"/>
          <w:sz w:val="14"/>
          <w:szCs w:val="14"/>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6" w:name="page47"/>
    <w:bookmarkEnd w:id="46"/>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line="237" w:lineRule="auto"/>
        <w:rPr>
          <w:sz w:val="20"/>
          <w:szCs w:val="20"/>
          <w:color w:val="auto"/>
        </w:rPr>
      </w:pPr>
      <w:r>
        <w:rPr>
          <w:rFonts w:ascii="Arial" w:cs="Arial" w:eastAsia="Arial" w:hAnsi="Arial"/>
          <w:sz w:val="15"/>
          <w:szCs w:val="15"/>
          <w:color w:val="auto"/>
        </w:rPr>
        <w:t>such authorities which may require us to pay fines or claims or take other actions. We do not anticipate such fines and settlements, either individually or in the aggregate, will have a material adverse effect on our financial condition.</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F&amp;G Commitments</w:t>
      </w:r>
    </w:p>
    <w:p>
      <w:pPr>
        <w:spacing w:after="0" w:line="70" w:lineRule="exact"/>
        <w:rPr>
          <w:sz w:val="20"/>
          <w:szCs w:val="20"/>
          <w:color w:val="auto"/>
        </w:rPr>
      </w:pPr>
    </w:p>
    <w:p>
      <w:pPr>
        <w:jc w:val="both"/>
        <w:ind w:firstLine="331"/>
        <w:spacing w:after="0" w:line="255" w:lineRule="auto"/>
        <w:rPr>
          <w:sz w:val="20"/>
          <w:szCs w:val="20"/>
          <w:color w:val="auto"/>
        </w:rPr>
      </w:pPr>
      <w:r>
        <w:rPr>
          <w:rFonts w:ascii="Arial" w:cs="Arial" w:eastAsia="Arial" w:hAnsi="Arial"/>
          <w:sz w:val="15"/>
          <w:szCs w:val="15"/>
          <w:color w:val="auto"/>
        </w:rPr>
        <w:t>In our F&amp;G segment, we have unfunded investment commitments as of September 30, 2021 based upon the timing of when investments are executed compared to when the actual investments are funded, as some investments require that funding occur over a period of months or years. A summary of unfunded commitments by invested asset class as of September 30, 2021 is included below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88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jc w:val="right"/>
              <w:ind w:right="661"/>
              <w:spacing w:after="0"/>
              <w:rPr>
                <w:sz w:val="20"/>
                <w:szCs w:val="20"/>
                <w:color w:val="auto"/>
              </w:rPr>
            </w:pPr>
            <w:r>
              <w:rPr>
                <w:rFonts w:ascii="Arial" w:cs="Arial" w:eastAsia="Arial" w:hAnsi="Arial"/>
                <w:sz w:val="12"/>
                <w:szCs w:val="12"/>
                <w:b w:val="1"/>
                <w:bCs w:val="1"/>
                <w:color w:val="auto"/>
              </w:rPr>
              <w:t>September 30, 2021</w:t>
            </w:r>
          </w:p>
        </w:tc>
      </w:tr>
      <w:tr>
        <w:trPr>
          <w:trHeight w:val="138"/>
        </w:trPr>
        <w:tc>
          <w:tcPr>
            <w:tcW w:w="88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Asset Type</w:t>
            </w:r>
          </w:p>
        </w:tc>
        <w:tc>
          <w:tcPr>
            <w:tcW w:w="38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60"/>
        </w:trPr>
        <w:tc>
          <w:tcPr>
            <w:tcW w:w="8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Unconsolidated VIEs:</w:t>
            </w:r>
          </w:p>
        </w:tc>
        <w:tc>
          <w:tcPr>
            <w:tcW w:w="38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52"/>
        </w:trPr>
        <w:tc>
          <w:tcPr>
            <w:tcW w:w="8880" w:type="dxa"/>
            <w:vAlign w:val="bottom"/>
          </w:tcPr>
          <w:p>
            <w:pPr>
              <w:ind w:left="180"/>
              <w:spacing w:after="0"/>
              <w:rPr>
                <w:sz w:val="20"/>
                <w:szCs w:val="20"/>
                <w:color w:val="auto"/>
              </w:rPr>
            </w:pPr>
            <w:r>
              <w:rPr>
                <w:rFonts w:ascii="Arial" w:cs="Arial" w:eastAsia="Arial" w:hAnsi="Arial"/>
                <w:sz w:val="12"/>
                <w:szCs w:val="12"/>
                <w:color w:val="auto"/>
              </w:rPr>
              <w:t>Limited partnerships</w:t>
            </w:r>
          </w:p>
        </w:tc>
        <w:tc>
          <w:tcPr>
            <w:tcW w:w="380" w:type="dxa"/>
            <w:vAlign w:val="bottom"/>
          </w:tcPr>
          <w:p>
            <w:pPr>
              <w:jc w:val="right"/>
              <w:ind w:right="273"/>
              <w:spacing w:after="0"/>
              <w:rPr>
                <w:sz w:val="20"/>
                <w:szCs w:val="20"/>
                <w:color w:val="auto"/>
              </w:rPr>
            </w:pPr>
            <w:r>
              <w:rPr>
                <w:rFonts w:ascii="Arial" w:cs="Arial" w:eastAsia="Arial" w:hAnsi="Arial"/>
                <w:sz w:val="9"/>
                <w:szCs w:val="9"/>
                <w:color w:val="auto"/>
                <w:w w:val="78"/>
              </w:rPr>
              <w:t>$</w:t>
            </w:r>
          </w:p>
        </w:tc>
        <w:tc>
          <w:tcPr>
            <w:tcW w:w="2020" w:type="dxa"/>
            <w:vAlign w:val="bottom"/>
          </w:tcPr>
          <w:p>
            <w:pPr>
              <w:jc w:val="right"/>
              <w:ind w:right="1"/>
              <w:spacing w:after="0"/>
              <w:rPr>
                <w:sz w:val="20"/>
                <w:szCs w:val="20"/>
                <w:color w:val="auto"/>
              </w:rPr>
            </w:pPr>
            <w:r>
              <w:rPr>
                <w:rFonts w:ascii="Arial" w:cs="Arial" w:eastAsia="Arial" w:hAnsi="Arial"/>
                <w:sz w:val="12"/>
                <w:szCs w:val="12"/>
                <w:color w:val="auto"/>
              </w:rPr>
              <w:t>928</w:t>
            </w:r>
          </w:p>
        </w:tc>
      </w:tr>
      <w:tr>
        <w:trPr>
          <w:trHeight w:val="157"/>
        </w:trPr>
        <w:tc>
          <w:tcPr>
            <w:tcW w:w="88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Whole loans</w:t>
            </w:r>
          </w:p>
        </w:tc>
        <w:tc>
          <w:tcPr>
            <w:tcW w:w="380" w:type="dxa"/>
            <w:vAlign w:val="bottom"/>
            <w:shd w:val="clear" w:color="auto" w:fill="CCEEFF"/>
          </w:tcPr>
          <w:p>
            <w:pPr>
              <w:spacing w:after="0"/>
              <w:rPr>
                <w:sz w:val="13"/>
                <w:szCs w:val="13"/>
                <w:color w:val="auto"/>
              </w:rPr>
            </w:pPr>
          </w:p>
        </w:tc>
        <w:tc>
          <w:tcPr>
            <w:tcW w:w="20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741</w:t>
            </w:r>
          </w:p>
        </w:tc>
      </w:tr>
      <w:tr>
        <w:trPr>
          <w:trHeight w:val="152"/>
        </w:trPr>
        <w:tc>
          <w:tcPr>
            <w:tcW w:w="8880" w:type="dxa"/>
            <w:vAlign w:val="bottom"/>
          </w:tcPr>
          <w:p>
            <w:pPr>
              <w:ind w:left="180"/>
              <w:spacing w:after="0"/>
              <w:rPr>
                <w:sz w:val="20"/>
                <w:szCs w:val="20"/>
                <w:color w:val="auto"/>
              </w:rPr>
            </w:pPr>
            <w:r>
              <w:rPr>
                <w:rFonts w:ascii="Arial" w:cs="Arial" w:eastAsia="Arial" w:hAnsi="Arial"/>
                <w:sz w:val="12"/>
                <w:szCs w:val="12"/>
                <w:color w:val="auto"/>
              </w:rPr>
              <w:t>Fixed Maturity securities, ABS</w:t>
            </w:r>
          </w:p>
        </w:tc>
        <w:tc>
          <w:tcPr>
            <w:tcW w:w="380" w:type="dxa"/>
            <w:vAlign w:val="bottom"/>
          </w:tcPr>
          <w:p>
            <w:pPr>
              <w:spacing w:after="0"/>
              <w:rPr>
                <w:sz w:val="13"/>
                <w:szCs w:val="13"/>
                <w:color w:val="auto"/>
              </w:rPr>
            </w:pPr>
          </w:p>
        </w:tc>
        <w:tc>
          <w:tcPr>
            <w:tcW w:w="2020" w:type="dxa"/>
            <w:vAlign w:val="bottom"/>
          </w:tcPr>
          <w:p>
            <w:pPr>
              <w:jc w:val="right"/>
              <w:ind w:right="1"/>
              <w:spacing w:after="0"/>
              <w:rPr>
                <w:sz w:val="20"/>
                <w:szCs w:val="20"/>
                <w:color w:val="auto"/>
              </w:rPr>
            </w:pPr>
            <w:r>
              <w:rPr>
                <w:rFonts w:ascii="Arial" w:cs="Arial" w:eastAsia="Arial" w:hAnsi="Arial"/>
                <w:sz w:val="12"/>
                <w:szCs w:val="12"/>
                <w:color w:val="auto"/>
              </w:rPr>
              <w:t>247</w:t>
            </w:r>
          </w:p>
        </w:tc>
      </w:tr>
      <w:tr>
        <w:trPr>
          <w:trHeight w:val="157"/>
        </w:trPr>
        <w:tc>
          <w:tcPr>
            <w:tcW w:w="8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fixed maturity securities, AFS</w:t>
            </w:r>
          </w:p>
        </w:tc>
        <w:tc>
          <w:tcPr>
            <w:tcW w:w="380" w:type="dxa"/>
            <w:vAlign w:val="bottom"/>
            <w:shd w:val="clear" w:color="auto" w:fill="CCEEFF"/>
          </w:tcPr>
          <w:p>
            <w:pPr>
              <w:spacing w:after="0"/>
              <w:rPr>
                <w:sz w:val="13"/>
                <w:szCs w:val="13"/>
                <w:color w:val="auto"/>
              </w:rPr>
            </w:pPr>
          </w:p>
        </w:tc>
        <w:tc>
          <w:tcPr>
            <w:tcW w:w="20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105</w:t>
            </w:r>
          </w:p>
        </w:tc>
      </w:tr>
      <w:tr>
        <w:trPr>
          <w:trHeight w:val="152"/>
        </w:trPr>
        <w:tc>
          <w:tcPr>
            <w:tcW w:w="8880" w:type="dxa"/>
            <w:vAlign w:val="bottom"/>
          </w:tcPr>
          <w:p>
            <w:pPr>
              <w:ind w:left="20"/>
              <w:spacing w:after="0"/>
              <w:rPr>
                <w:sz w:val="20"/>
                <w:szCs w:val="20"/>
                <w:color w:val="auto"/>
              </w:rPr>
            </w:pPr>
            <w:r>
              <w:rPr>
                <w:rFonts w:ascii="Arial" w:cs="Arial" w:eastAsia="Arial" w:hAnsi="Arial"/>
                <w:sz w:val="12"/>
                <w:szCs w:val="12"/>
                <w:color w:val="auto"/>
              </w:rPr>
              <w:t>Commercial mortgage loans</w:t>
            </w:r>
          </w:p>
        </w:tc>
        <w:tc>
          <w:tcPr>
            <w:tcW w:w="380" w:type="dxa"/>
            <w:vAlign w:val="bottom"/>
          </w:tcPr>
          <w:p>
            <w:pPr>
              <w:spacing w:after="0"/>
              <w:rPr>
                <w:sz w:val="13"/>
                <w:szCs w:val="13"/>
                <w:color w:val="auto"/>
              </w:rPr>
            </w:pPr>
          </w:p>
        </w:tc>
        <w:tc>
          <w:tcPr>
            <w:tcW w:w="2020" w:type="dxa"/>
            <w:vAlign w:val="bottom"/>
          </w:tcPr>
          <w:p>
            <w:pPr>
              <w:jc w:val="right"/>
              <w:ind w:right="1"/>
              <w:spacing w:after="0"/>
              <w:rPr>
                <w:sz w:val="20"/>
                <w:szCs w:val="20"/>
                <w:color w:val="auto"/>
              </w:rPr>
            </w:pPr>
            <w:r>
              <w:rPr>
                <w:rFonts w:ascii="Arial" w:cs="Arial" w:eastAsia="Arial" w:hAnsi="Arial"/>
                <w:sz w:val="12"/>
                <w:szCs w:val="12"/>
                <w:color w:val="auto"/>
              </w:rPr>
              <w:t>109</w:t>
            </w:r>
          </w:p>
        </w:tc>
      </w:tr>
      <w:tr>
        <w:trPr>
          <w:trHeight w:val="157"/>
        </w:trPr>
        <w:tc>
          <w:tcPr>
            <w:tcW w:w="8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assets</w:t>
            </w:r>
          </w:p>
        </w:tc>
        <w:tc>
          <w:tcPr>
            <w:tcW w:w="380" w:type="dxa"/>
            <w:vAlign w:val="bottom"/>
            <w:shd w:val="clear" w:color="auto" w:fill="CCEEFF"/>
          </w:tcPr>
          <w:p>
            <w:pPr>
              <w:spacing w:after="0"/>
              <w:rPr>
                <w:sz w:val="13"/>
                <w:szCs w:val="13"/>
                <w:color w:val="auto"/>
              </w:rPr>
            </w:pPr>
          </w:p>
        </w:tc>
        <w:tc>
          <w:tcPr>
            <w:tcW w:w="20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111</w:t>
            </w:r>
          </w:p>
        </w:tc>
      </w:tr>
      <w:tr>
        <w:trPr>
          <w:trHeight w:val="152"/>
        </w:trPr>
        <w:tc>
          <w:tcPr>
            <w:tcW w:w="88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invested assets</w:t>
            </w:r>
          </w:p>
        </w:tc>
        <w:tc>
          <w:tcPr>
            <w:tcW w:w="38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14</w:t>
            </w:r>
          </w:p>
        </w:tc>
      </w:tr>
      <w:tr>
        <w:trPr>
          <w:trHeight w:val="173"/>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w:t>
            </w:r>
          </w:p>
        </w:tc>
        <w:tc>
          <w:tcPr>
            <w:tcW w:w="3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9"/>
                <w:szCs w:val="9"/>
                <w:color w:val="auto"/>
                <w:w w:val="78"/>
              </w:rPr>
              <w:t>$</w:t>
            </w:r>
          </w:p>
        </w:tc>
        <w:tc>
          <w:tcPr>
            <w:tcW w:w="2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2,255</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G — Dividends</w:t>
      </w:r>
    </w:p>
    <w:p>
      <w:pPr>
        <w:spacing w:after="0" w:line="96" w:lineRule="exact"/>
        <w:rPr>
          <w:sz w:val="20"/>
          <w:szCs w:val="20"/>
          <w:color w:val="auto"/>
        </w:rPr>
      </w:pPr>
    </w:p>
    <w:p>
      <w:pPr>
        <w:jc w:val="both"/>
        <w:ind w:firstLine="265"/>
        <w:spacing w:after="0" w:line="266" w:lineRule="auto"/>
        <w:rPr>
          <w:sz w:val="20"/>
          <w:szCs w:val="20"/>
          <w:color w:val="auto"/>
        </w:rPr>
      </w:pPr>
      <w:r>
        <w:rPr>
          <w:rFonts w:ascii="Arial" w:cs="Arial" w:eastAsia="Arial" w:hAnsi="Arial"/>
          <w:sz w:val="15"/>
          <w:szCs w:val="15"/>
          <w:color w:val="auto"/>
        </w:rPr>
        <w:t>On November 2, 2021, our Board of Directors declared cash dividends of $0.44 per share, payable on December 31, 2021, to FNF common shareholders of record as of December 17, 2021.</w:t>
      </w: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H — Segment Information</w:t>
      </w:r>
    </w:p>
    <w:p>
      <w:pPr>
        <w:spacing w:after="0" w:line="96" w:lineRule="exact"/>
        <w:rPr>
          <w:sz w:val="20"/>
          <w:szCs w:val="20"/>
          <w:color w:val="auto"/>
        </w:rPr>
      </w:pPr>
    </w:p>
    <w:p>
      <w:pPr>
        <w:jc w:val="both"/>
        <w:ind w:firstLine="265"/>
        <w:spacing w:after="0" w:line="266" w:lineRule="auto"/>
        <w:rPr>
          <w:sz w:val="20"/>
          <w:szCs w:val="20"/>
          <w:color w:val="auto"/>
        </w:rPr>
      </w:pPr>
      <w:r>
        <w:rPr>
          <w:rFonts w:ascii="Arial" w:cs="Arial" w:eastAsia="Arial" w:hAnsi="Arial"/>
          <w:sz w:val="15"/>
          <w:szCs w:val="15"/>
          <w:color w:val="auto"/>
        </w:rPr>
        <w:t>Summarized financial information concerning our reportable segments is shown in the following tables. On June 1, 2020, we completed our acquisition of F&amp;G. As a result, the tables for the nine months ended September 30, 2020 present four months of F&amp;G activity.</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As of and for the three months ended September 30, 2021: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7400" w:type="dxa"/>
            <w:vAlign w:val="bottom"/>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Title</w:t>
            </w: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color w:val="auto"/>
              </w:rPr>
              <w:t>F&amp;G</w:t>
            </w:r>
          </w:p>
        </w:tc>
        <w:tc>
          <w:tcPr>
            <w:tcW w:w="100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color w:val="auto"/>
              </w:rPr>
              <w:t>Corporate and Other</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82"/>
              <w:spacing w:after="0"/>
              <w:rPr>
                <w:sz w:val="20"/>
                <w:szCs w:val="20"/>
                <w:color w:val="auto"/>
              </w:rPr>
            </w:pPr>
            <w:r>
              <w:rPr>
                <w:rFonts w:ascii="Arial" w:cs="Arial" w:eastAsia="Arial" w:hAnsi="Arial"/>
                <w:sz w:val="10"/>
                <w:szCs w:val="10"/>
                <w:b w:val="1"/>
                <w:bCs w:val="1"/>
                <w:color w:val="auto"/>
              </w:rPr>
              <w:t>Total</w:t>
            </w:r>
          </w:p>
        </w:tc>
      </w:tr>
      <w:tr>
        <w:trPr>
          <w:trHeight w:val="135"/>
        </w:trPr>
        <w:tc>
          <w:tcPr>
            <w:tcW w:w="7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jc w:val="right"/>
              <w:ind w:right="123"/>
              <w:spacing w:after="0"/>
              <w:rPr>
                <w:sz w:val="20"/>
                <w:szCs w:val="20"/>
                <w:color w:val="auto"/>
              </w:rPr>
            </w:pPr>
            <w:r>
              <w:rPr>
                <w:rFonts w:ascii="Arial" w:cs="Arial" w:eastAsia="Arial" w:hAnsi="Arial"/>
                <w:sz w:val="10"/>
                <w:szCs w:val="10"/>
                <w:color w:val="auto"/>
              </w:rPr>
              <w:t>(In millions)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1"/>
        </w:trPr>
        <w:tc>
          <w:tcPr>
            <w:tcW w:w="7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Title premiums</w:t>
            </w:r>
          </w:p>
        </w:tc>
        <w:tc>
          <w:tcPr>
            <w:tcW w:w="580" w:type="dxa"/>
            <w:vAlign w:val="bottom"/>
            <w:shd w:val="clear" w:color="auto" w:fill="CCEEFF"/>
          </w:tcPr>
          <w:p>
            <w:pPr>
              <w:jc w:val="right"/>
              <w:ind w:right="443"/>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6"/>
              </w:rPr>
              <w:t>2,214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2"/>
                <w:szCs w:val="12"/>
                <w:color w:val="auto"/>
                <w:w w:val="89"/>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b w:val="1"/>
                <w:bCs w:val="1"/>
                <w:color w:val="auto"/>
                <w:w w:val="78"/>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2,214</w:t>
            </w:r>
          </w:p>
        </w:tc>
      </w:tr>
      <w:tr>
        <w:trPr>
          <w:trHeight w:val="153"/>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revenues</w:t>
            </w:r>
          </w:p>
        </w:tc>
        <w:tc>
          <w:tcPr>
            <w:tcW w:w="5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849</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431</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1,324</w:t>
            </w:r>
          </w:p>
        </w:tc>
      </w:tr>
      <w:tr>
        <w:trPr>
          <w:trHeight w:val="147"/>
        </w:trPr>
        <w:tc>
          <w:tcPr>
            <w:tcW w:w="7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Revenues from external customers</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6"/>
              </w:rPr>
              <w:t>3,063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431</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3,538</w:t>
            </w:r>
          </w:p>
        </w:tc>
      </w:tr>
      <w:tr>
        <w:trPr>
          <w:trHeight w:val="153"/>
        </w:trPr>
        <w:tc>
          <w:tcPr>
            <w:tcW w:w="7400" w:type="dxa"/>
            <w:vAlign w:val="bottom"/>
          </w:tcPr>
          <w:p>
            <w:pPr>
              <w:ind w:left="20"/>
              <w:spacing w:after="0"/>
              <w:rPr>
                <w:sz w:val="20"/>
                <w:szCs w:val="20"/>
                <w:color w:val="auto"/>
              </w:rPr>
            </w:pPr>
            <w:r>
              <w:rPr>
                <w:rFonts w:ascii="Arial" w:cs="Arial" w:eastAsia="Arial" w:hAnsi="Arial"/>
                <w:sz w:val="12"/>
                <w:szCs w:val="12"/>
                <w:color w:val="auto"/>
              </w:rPr>
              <w:t>Interest and investment income, including recognized gains and losses, net</w:t>
            </w:r>
          </w:p>
        </w:tc>
        <w:tc>
          <w:tcPr>
            <w:tcW w:w="5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w w:val="99"/>
              </w:rPr>
              <w:t>(142)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496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b w:val="1"/>
                <w:bCs w:val="1"/>
                <w:color w:val="auto"/>
              </w:rPr>
              <w:t>354</w:t>
            </w:r>
          </w:p>
        </w:tc>
      </w:tr>
      <w:tr>
        <w:trPr>
          <w:trHeight w:val="147"/>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revenues</w:t>
            </w:r>
          </w:p>
        </w:tc>
        <w:tc>
          <w:tcPr>
            <w:tcW w:w="580" w:type="dxa"/>
            <w:vAlign w:val="bottom"/>
            <w:tcBorders>
              <w:top w:val="single" w:sz="8" w:color="auto"/>
              <w:bottom w:val="single" w:sz="8" w:color="auto"/>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6"/>
              </w:rPr>
              <w:t>2,921</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927</w:t>
            </w:r>
          </w:p>
        </w:tc>
        <w:tc>
          <w:tcPr>
            <w:tcW w:w="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3,892</w:t>
            </w:r>
          </w:p>
        </w:tc>
      </w:tr>
      <w:tr>
        <w:trPr>
          <w:trHeight w:val="144"/>
        </w:trPr>
        <w:tc>
          <w:tcPr>
            <w:tcW w:w="7400" w:type="dxa"/>
            <w:vAlign w:val="bottom"/>
          </w:tcPr>
          <w:p>
            <w:pPr>
              <w:ind w:left="20"/>
              <w:spacing w:after="0" w:line="136" w:lineRule="exact"/>
              <w:rPr>
                <w:sz w:val="20"/>
                <w:szCs w:val="20"/>
                <w:color w:val="auto"/>
              </w:rPr>
            </w:pPr>
            <w:r>
              <w:rPr>
                <w:rFonts w:ascii="Arial" w:cs="Arial" w:eastAsia="Arial" w:hAnsi="Arial"/>
                <w:sz w:val="12"/>
                <w:szCs w:val="12"/>
                <w:color w:val="auto"/>
              </w:rPr>
              <w:t>Depreciation and amortization</w:t>
            </w:r>
          </w:p>
        </w:tc>
        <w:tc>
          <w:tcPr>
            <w:tcW w:w="580" w:type="dxa"/>
            <w:vAlign w:val="bottom"/>
          </w:tcPr>
          <w:p>
            <w:pPr>
              <w:spacing w:after="0"/>
              <w:rPr>
                <w:sz w:val="12"/>
                <w:szCs w:val="12"/>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36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210</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b w:val="1"/>
                <w:bCs w:val="1"/>
                <w:color w:val="auto"/>
              </w:rPr>
              <w:t>252</w:t>
            </w:r>
          </w:p>
        </w:tc>
      </w:tr>
      <w:tr>
        <w:trPr>
          <w:trHeight w:val="156"/>
        </w:trPr>
        <w:tc>
          <w:tcPr>
            <w:tcW w:w="7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expense</w:t>
            </w:r>
          </w:p>
        </w:tc>
        <w:tc>
          <w:tcPr>
            <w:tcW w:w="5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27</w:t>
            </w:r>
          </w:p>
        </w:tc>
      </w:tr>
      <w:tr>
        <w:trPr>
          <w:trHeight w:val="153"/>
        </w:trPr>
        <w:tc>
          <w:tcPr>
            <w:tcW w:w="7400" w:type="dxa"/>
            <w:vAlign w:val="bottom"/>
          </w:tcPr>
          <w:p>
            <w:pPr>
              <w:ind w:left="20"/>
              <w:spacing w:after="0"/>
              <w:rPr>
                <w:sz w:val="20"/>
                <w:szCs w:val="20"/>
                <w:color w:val="auto"/>
              </w:rPr>
            </w:pPr>
            <w:r>
              <w:rPr>
                <w:rFonts w:ascii="Arial" w:cs="Arial" w:eastAsia="Arial" w:hAnsi="Arial"/>
                <w:sz w:val="12"/>
                <w:szCs w:val="12"/>
                <w:color w:val="auto"/>
              </w:rPr>
              <w:t>Earnings (loss) from continuing operations before income taxes and equity in earnings (loss) of unconsolidated affiliates</w:t>
            </w:r>
          </w:p>
        </w:tc>
        <w:tc>
          <w:tcPr>
            <w:tcW w:w="580" w:type="dxa"/>
            <w:vAlign w:val="bottom"/>
          </w:tcPr>
          <w:p>
            <w:pPr>
              <w:spacing w:after="0"/>
              <w:rPr>
                <w:sz w:val="13"/>
                <w:szCs w:val="13"/>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486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472</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b w:val="1"/>
                <w:bCs w:val="1"/>
                <w:color w:val="auto"/>
              </w:rPr>
              <w:t>926</w:t>
            </w:r>
          </w:p>
        </w:tc>
      </w:tr>
      <w:tr>
        <w:trPr>
          <w:trHeight w:val="156"/>
        </w:trPr>
        <w:tc>
          <w:tcPr>
            <w:tcW w:w="7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expense (benefit)</w:t>
            </w:r>
          </w:p>
        </w:tc>
        <w:tc>
          <w:tcPr>
            <w:tcW w:w="58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126</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213</w:t>
            </w:r>
          </w:p>
        </w:tc>
      </w:tr>
      <w:tr>
        <w:trPr>
          <w:trHeight w:val="144"/>
        </w:trPr>
        <w:tc>
          <w:tcPr>
            <w:tcW w:w="7400" w:type="dxa"/>
            <w:vAlign w:val="bottom"/>
          </w:tcPr>
          <w:p>
            <w:pPr>
              <w:ind w:left="20"/>
              <w:spacing w:after="0" w:line="136" w:lineRule="exact"/>
              <w:rPr>
                <w:sz w:val="20"/>
                <w:szCs w:val="20"/>
                <w:color w:val="auto"/>
              </w:rPr>
            </w:pPr>
            <w:r>
              <w:rPr>
                <w:rFonts w:ascii="Arial" w:cs="Arial" w:eastAsia="Arial" w:hAnsi="Arial"/>
                <w:sz w:val="12"/>
                <w:szCs w:val="12"/>
                <w:color w:val="auto"/>
              </w:rPr>
              <w:t>Earnings (loss) from continuing operations before equity in earnings (loss) of unconsolidated affiliates</w:t>
            </w:r>
          </w:p>
        </w:tc>
        <w:tc>
          <w:tcPr>
            <w:tcW w:w="580" w:type="dxa"/>
            <w:vAlign w:val="bottom"/>
          </w:tcPr>
          <w:p>
            <w:pPr>
              <w:spacing w:after="0"/>
              <w:rPr>
                <w:sz w:val="12"/>
                <w:szCs w:val="12"/>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360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376</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b w:val="1"/>
                <w:bCs w:val="1"/>
                <w:color w:val="auto"/>
              </w:rPr>
              <w:t>713</w:t>
            </w:r>
          </w:p>
        </w:tc>
      </w:tr>
      <w:tr>
        <w:trPr>
          <w:trHeight w:val="155"/>
        </w:trPr>
        <w:tc>
          <w:tcPr>
            <w:tcW w:w="7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 in earnings of unconsolidated affiliates</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26</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27</w:t>
            </w:r>
          </w:p>
        </w:tc>
      </w:tr>
      <w:tr>
        <w:trPr>
          <w:trHeight w:val="147"/>
        </w:trPr>
        <w:tc>
          <w:tcPr>
            <w:tcW w:w="7400" w:type="dxa"/>
            <w:vAlign w:val="bottom"/>
          </w:tcPr>
          <w:p>
            <w:pPr>
              <w:ind w:left="20"/>
              <w:spacing w:after="0"/>
              <w:rPr>
                <w:sz w:val="20"/>
                <w:szCs w:val="20"/>
                <w:color w:val="auto"/>
              </w:rPr>
            </w:pPr>
            <w:r>
              <w:rPr>
                <w:rFonts w:ascii="Arial" w:cs="Arial" w:eastAsia="Arial" w:hAnsi="Arial"/>
                <w:sz w:val="12"/>
                <w:szCs w:val="12"/>
                <w:color w:val="auto"/>
              </w:rPr>
              <w:t>Net earnings (loss) from continuing operations</w:t>
            </w:r>
          </w:p>
        </w:tc>
        <w:tc>
          <w:tcPr>
            <w:tcW w:w="58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386</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376</w:t>
            </w:r>
          </w:p>
        </w:tc>
        <w:tc>
          <w:tcPr>
            <w:tcW w:w="8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740</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39"/>
        </w:trPr>
        <w:tc>
          <w:tcPr>
            <w:tcW w:w="740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Assets</w:t>
            </w:r>
          </w:p>
        </w:tc>
        <w:tc>
          <w:tcPr>
            <w:tcW w:w="580" w:type="dxa"/>
            <w:vAlign w:val="bottom"/>
            <w:shd w:val="clear" w:color="auto" w:fill="CCEEFF"/>
          </w:tcPr>
          <w:p>
            <w:pPr>
              <w:jc w:val="right"/>
              <w:ind w:right="443"/>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6"/>
              </w:rPr>
              <w:t>9,994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46,723</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b w:val="1"/>
                <w:bCs w:val="1"/>
                <w:color w:val="auto"/>
                <w:w w:val="78"/>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58,506</w:t>
            </w:r>
          </w:p>
        </w:tc>
      </w:tr>
      <w:tr>
        <w:trPr>
          <w:trHeight w:val="151"/>
        </w:trPr>
        <w:tc>
          <w:tcPr>
            <w:tcW w:w="7400" w:type="dxa"/>
            <w:vAlign w:val="bottom"/>
          </w:tcPr>
          <w:p>
            <w:pPr>
              <w:ind w:left="20"/>
              <w:spacing w:after="0"/>
              <w:rPr>
                <w:sz w:val="20"/>
                <w:szCs w:val="20"/>
                <w:color w:val="auto"/>
              </w:rPr>
            </w:pPr>
            <w:r>
              <w:rPr>
                <w:rFonts w:ascii="Arial" w:cs="Arial" w:eastAsia="Arial" w:hAnsi="Arial"/>
                <w:sz w:val="12"/>
                <w:szCs w:val="12"/>
                <w:color w:val="auto"/>
              </w:rPr>
              <w:t>Goodwill</w:t>
            </w:r>
          </w:p>
        </w:tc>
        <w:tc>
          <w:tcPr>
            <w:tcW w:w="580" w:type="dxa"/>
            <w:vAlign w:val="bottom"/>
          </w:tcPr>
          <w:p>
            <w:pPr>
              <w:spacing w:after="0"/>
              <w:rPr>
                <w:sz w:val="13"/>
                <w:szCs w:val="13"/>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w w:val="86"/>
              </w:rPr>
              <w:t>2,493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1,756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266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b w:val="1"/>
                <w:bCs w:val="1"/>
                <w:color w:val="auto"/>
              </w:rPr>
              <w:t>4,515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7" w:name="page48"/>
    <w:bookmarkEnd w:id="47"/>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As of and for the three months ended September 30, 2020:</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7400" w:type="dxa"/>
            <w:vAlign w:val="bottom"/>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Title</w:t>
            </w: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color w:val="auto"/>
              </w:rPr>
              <w:t>F&amp;G</w:t>
            </w:r>
          </w:p>
        </w:tc>
        <w:tc>
          <w:tcPr>
            <w:tcW w:w="100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color w:val="auto"/>
              </w:rPr>
              <w:t>Corporate and Other</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82"/>
              <w:spacing w:after="0"/>
              <w:rPr>
                <w:sz w:val="20"/>
                <w:szCs w:val="20"/>
                <w:color w:val="auto"/>
              </w:rPr>
            </w:pPr>
            <w:r>
              <w:rPr>
                <w:rFonts w:ascii="Arial" w:cs="Arial" w:eastAsia="Arial" w:hAnsi="Arial"/>
                <w:sz w:val="10"/>
                <w:szCs w:val="10"/>
                <w:b w:val="1"/>
                <w:bCs w:val="1"/>
                <w:color w:val="auto"/>
              </w:rPr>
              <w:t>Total</w:t>
            </w:r>
          </w:p>
        </w:tc>
      </w:tr>
      <w:tr>
        <w:trPr>
          <w:trHeight w:val="135"/>
        </w:trPr>
        <w:tc>
          <w:tcPr>
            <w:tcW w:w="7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jc w:val="right"/>
              <w:ind w:right="123"/>
              <w:spacing w:after="0"/>
              <w:rPr>
                <w:sz w:val="20"/>
                <w:szCs w:val="20"/>
                <w:color w:val="auto"/>
              </w:rPr>
            </w:pPr>
            <w:r>
              <w:rPr>
                <w:rFonts w:ascii="Arial" w:cs="Arial" w:eastAsia="Arial" w:hAnsi="Arial"/>
                <w:sz w:val="10"/>
                <w:szCs w:val="10"/>
                <w:color w:val="auto"/>
              </w:rPr>
              <w:t>(In millions)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1"/>
        </w:trPr>
        <w:tc>
          <w:tcPr>
            <w:tcW w:w="7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Title premiums</w:t>
            </w:r>
          </w:p>
        </w:tc>
        <w:tc>
          <w:tcPr>
            <w:tcW w:w="580" w:type="dxa"/>
            <w:vAlign w:val="bottom"/>
            <w:shd w:val="clear" w:color="auto" w:fill="CCEEFF"/>
          </w:tcPr>
          <w:p>
            <w:pPr>
              <w:jc w:val="right"/>
              <w:ind w:right="443"/>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6"/>
              </w:rPr>
              <w:t>1,714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2"/>
                <w:szCs w:val="12"/>
                <w:color w:val="auto"/>
                <w:w w:val="89"/>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b w:val="1"/>
                <w:bCs w:val="1"/>
                <w:color w:val="auto"/>
                <w:w w:val="78"/>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1,714</w:t>
            </w:r>
          </w:p>
        </w:tc>
      </w:tr>
      <w:tr>
        <w:trPr>
          <w:trHeight w:val="153"/>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revenues</w:t>
            </w:r>
          </w:p>
        </w:tc>
        <w:tc>
          <w:tcPr>
            <w:tcW w:w="5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742</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853</w:t>
            </w:r>
          </w:p>
        </w:tc>
      </w:tr>
      <w:tr>
        <w:trPr>
          <w:trHeight w:val="147"/>
        </w:trPr>
        <w:tc>
          <w:tcPr>
            <w:tcW w:w="7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Revenues from external customers</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6"/>
              </w:rPr>
              <w:t>2,456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2,567</w:t>
            </w:r>
          </w:p>
        </w:tc>
      </w:tr>
      <w:tr>
        <w:trPr>
          <w:trHeight w:val="153"/>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Interest and investment income, including recognized gains and losses, net</w:t>
            </w:r>
          </w:p>
        </w:tc>
        <w:tc>
          <w:tcPr>
            <w:tcW w:w="5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28</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382</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409</w:t>
            </w:r>
          </w:p>
        </w:tc>
      </w:tr>
      <w:tr>
        <w:trPr>
          <w:trHeight w:val="147"/>
        </w:trPr>
        <w:tc>
          <w:tcPr>
            <w:tcW w:w="7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revenues</w:t>
            </w:r>
          </w:p>
        </w:tc>
        <w:tc>
          <w:tcPr>
            <w:tcW w:w="5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6"/>
              </w:rPr>
              <w:t>2,484</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442</w:t>
            </w:r>
          </w:p>
        </w:tc>
        <w:tc>
          <w:tcPr>
            <w:tcW w:w="8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2,976</w:t>
            </w:r>
          </w:p>
        </w:tc>
      </w:tr>
      <w:tr>
        <w:trPr>
          <w:trHeight w:val="144"/>
        </w:trPr>
        <w:tc>
          <w:tcPr>
            <w:tcW w:w="7400" w:type="dxa"/>
            <w:vAlign w:val="bottom"/>
          </w:tcPr>
          <w:p>
            <w:pPr>
              <w:ind w:left="20"/>
              <w:spacing w:after="0" w:line="136" w:lineRule="exact"/>
              <w:rPr>
                <w:sz w:val="20"/>
                <w:szCs w:val="20"/>
                <w:color w:val="auto"/>
              </w:rPr>
            </w:pPr>
            <w:r>
              <w:rPr>
                <w:rFonts w:ascii="Arial" w:cs="Arial" w:eastAsia="Arial" w:hAnsi="Arial"/>
                <w:sz w:val="12"/>
                <w:szCs w:val="12"/>
                <w:color w:val="auto"/>
              </w:rPr>
              <w:t>Depreciation and amortization</w:t>
            </w:r>
          </w:p>
        </w:tc>
        <w:tc>
          <w:tcPr>
            <w:tcW w:w="580" w:type="dxa"/>
            <w:vAlign w:val="bottom"/>
          </w:tcPr>
          <w:p>
            <w:pPr>
              <w:spacing w:after="0"/>
              <w:rPr>
                <w:sz w:val="12"/>
                <w:szCs w:val="12"/>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39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56</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b w:val="1"/>
                <w:bCs w:val="1"/>
                <w:color w:val="auto"/>
              </w:rPr>
              <w:t>100</w:t>
            </w:r>
          </w:p>
        </w:tc>
      </w:tr>
      <w:tr>
        <w:trPr>
          <w:trHeight w:val="156"/>
        </w:trPr>
        <w:tc>
          <w:tcPr>
            <w:tcW w:w="7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expense</w:t>
            </w:r>
          </w:p>
        </w:tc>
        <w:tc>
          <w:tcPr>
            <w:tcW w:w="5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29</w:t>
            </w:r>
          </w:p>
        </w:tc>
      </w:tr>
      <w:tr>
        <w:trPr>
          <w:trHeight w:val="153"/>
        </w:trPr>
        <w:tc>
          <w:tcPr>
            <w:tcW w:w="7400" w:type="dxa"/>
            <w:vAlign w:val="bottom"/>
          </w:tcPr>
          <w:p>
            <w:pPr>
              <w:ind w:left="20"/>
              <w:spacing w:after="0"/>
              <w:rPr>
                <w:sz w:val="20"/>
                <w:szCs w:val="20"/>
                <w:color w:val="auto"/>
              </w:rPr>
            </w:pPr>
            <w:r>
              <w:rPr>
                <w:rFonts w:ascii="Arial" w:cs="Arial" w:eastAsia="Arial" w:hAnsi="Arial"/>
                <w:sz w:val="12"/>
                <w:szCs w:val="12"/>
                <w:color w:val="auto"/>
              </w:rPr>
              <w:t>Earnings (loss) from continuing operations before income taxes and equity in earnings of unconsolidated affiliates</w:t>
            </w:r>
          </w:p>
        </w:tc>
        <w:tc>
          <w:tcPr>
            <w:tcW w:w="580" w:type="dxa"/>
            <w:vAlign w:val="bottom"/>
          </w:tcPr>
          <w:p>
            <w:pPr>
              <w:spacing w:after="0"/>
              <w:rPr>
                <w:sz w:val="13"/>
                <w:szCs w:val="13"/>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507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72</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b w:val="1"/>
                <w:bCs w:val="1"/>
                <w:color w:val="auto"/>
              </w:rPr>
              <w:t>539</w:t>
            </w:r>
          </w:p>
        </w:tc>
      </w:tr>
      <w:tr>
        <w:trPr>
          <w:trHeight w:val="156"/>
        </w:trPr>
        <w:tc>
          <w:tcPr>
            <w:tcW w:w="7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expense (benefit)</w:t>
            </w:r>
          </w:p>
        </w:tc>
        <w:tc>
          <w:tcPr>
            <w:tcW w:w="58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129</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133</w:t>
            </w:r>
          </w:p>
        </w:tc>
      </w:tr>
      <w:tr>
        <w:trPr>
          <w:trHeight w:val="144"/>
        </w:trPr>
        <w:tc>
          <w:tcPr>
            <w:tcW w:w="7400" w:type="dxa"/>
            <w:vAlign w:val="bottom"/>
          </w:tcPr>
          <w:p>
            <w:pPr>
              <w:ind w:left="20"/>
              <w:spacing w:after="0" w:line="136" w:lineRule="exact"/>
              <w:rPr>
                <w:sz w:val="20"/>
                <w:szCs w:val="20"/>
                <w:color w:val="auto"/>
              </w:rPr>
            </w:pPr>
            <w:r>
              <w:rPr>
                <w:rFonts w:ascii="Arial" w:cs="Arial" w:eastAsia="Arial" w:hAnsi="Arial"/>
                <w:sz w:val="12"/>
                <w:szCs w:val="12"/>
                <w:color w:val="auto"/>
              </w:rPr>
              <w:t>Earnings (loss) from continuing operations before equity in earnings (loss) of unconsolidated affiliates</w:t>
            </w:r>
          </w:p>
        </w:tc>
        <w:tc>
          <w:tcPr>
            <w:tcW w:w="580" w:type="dxa"/>
            <w:vAlign w:val="bottom"/>
          </w:tcPr>
          <w:p>
            <w:pPr>
              <w:spacing w:after="0"/>
              <w:rPr>
                <w:sz w:val="12"/>
                <w:szCs w:val="12"/>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378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66</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b w:val="1"/>
                <w:bCs w:val="1"/>
                <w:color w:val="auto"/>
              </w:rPr>
              <w:t>406</w:t>
            </w:r>
          </w:p>
        </w:tc>
      </w:tr>
      <w:tr>
        <w:trPr>
          <w:trHeight w:val="155"/>
        </w:trPr>
        <w:tc>
          <w:tcPr>
            <w:tcW w:w="7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 in earnings (loss) of unconsolidated affiliates</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7</w:t>
            </w:r>
          </w:p>
        </w:tc>
      </w:tr>
      <w:tr>
        <w:trPr>
          <w:trHeight w:val="147"/>
        </w:trPr>
        <w:tc>
          <w:tcPr>
            <w:tcW w:w="7400" w:type="dxa"/>
            <w:vAlign w:val="bottom"/>
          </w:tcPr>
          <w:p>
            <w:pPr>
              <w:ind w:left="20"/>
              <w:spacing w:after="0"/>
              <w:rPr>
                <w:sz w:val="20"/>
                <w:szCs w:val="20"/>
                <w:color w:val="auto"/>
              </w:rPr>
            </w:pPr>
            <w:r>
              <w:rPr>
                <w:rFonts w:ascii="Arial" w:cs="Arial" w:eastAsia="Arial" w:hAnsi="Arial"/>
                <w:sz w:val="12"/>
                <w:szCs w:val="12"/>
                <w:color w:val="auto"/>
              </w:rPr>
              <w:t>Net earnings (loss) from continuing operations</w:t>
            </w:r>
          </w:p>
        </w:tc>
        <w:tc>
          <w:tcPr>
            <w:tcW w:w="58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383</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66</w:t>
            </w:r>
          </w:p>
        </w:tc>
        <w:tc>
          <w:tcPr>
            <w:tcW w:w="8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413</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39"/>
        </w:trPr>
        <w:tc>
          <w:tcPr>
            <w:tcW w:w="740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Assets</w:t>
            </w:r>
          </w:p>
        </w:tc>
        <w:tc>
          <w:tcPr>
            <w:tcW w:w="580" w:type="dxa"/>
            <w:vAlign w:val="bottom"/>
            <w:shd w:val="clear" w:color="auto" w:fill="CCEEFF"/>
          </w:tcPr>
          <w:p>
            <w:pPr>
              <w:jc w:val="right"/>
              <w:ind w:right="443"/>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6"/>
              </w:rPr>
              <w:t>9,107</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39,716</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b w:val="1"/>
                <w:bCs w:val="1"/>
                <w:color w:val="auto"/>
                <w:w w:val="78"/>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49,885</w:t>
            </w:r>
          </w:p>
        </w:tc>
      </w:tr>
      <w:tr>
        <w:trPr>
          <w:trHeight w:val="151"/>
        </w:trPr>
        <w:tc>
          <w:tcPr>
            <w:tcW w:w="7400" w:type="dxa"/>
            <w:vAlign w:val="bottom"/>
          </w:tcPr>
          <w:p>
            <w:pPr>
              <w:ind w:left="20"/>
              <w:spacing w:after="0"/>
              <w:rPr>
                <w:sz w:val="20"/>
                <w:szCs w:val="20"/>
                <w:color w:val="auto"/>
              </w:rPr>
            </w:pPr>
            <w:r>
              <w:rPr>
                <w:rFonts w:ascii="Arial" w:cs="Arial" w:eastAsia="Arial" w:hAnsi="Arial"/>
                <w:sz w:val="12"/>
                <w:szCs w:val="12"/>
                <w:color w:val="auto"/>
              </w:rPr>
              <w:t>Goodwill</w:t>
            </w:r>
          </w:p>
        </w:tc>
        <w:tc>
          <w:tcPr>
            <w:tcW w:w="580" w:type="dxa"/>
            <w:vAlign w:val="bottom"/>
          </w:tcPr>
          <w:p>
            <w:pPr>
              <w:spacing w:after="0"/>
              <w:rPr>
                <w:sz w:val="13"/>
                <w:szCs w:val="13"/>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w w:val="86"/>
              </w:rPr>
              <w:t>2,461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1,731</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266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b w:val="1"/>
                <w:bCs w:val="1"/>
                <w:color w:val="auto"/>
              </w:rPr>
              <w:t>4,458</w:t>
            </w:r>
          </w:p>
        </w:tc>
      </w:tr>
    </w:tbl>
    <w:p>
      <w:pPr>
        <w:spacing w:after="0" w:line="15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As of and for the nine months ended September 30, 2021: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7400" w:type="dxa"/>
            <w:vAlign w:val="bottom"/>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Title</w:t>
            </w: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color w:val="auto"/>
              </w:rPr>
              <w:t>F&amp;G</w:t>
            </w:r>
          </w:p>
        </w:tc>
        <w:tc>
          <w:tcPr>
            <w:tcW w:w="100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color w:val="auto"/>
              </w:rPr>
              <w:t>Corporate and Other</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82"/>
              <w:spacing w:after="0"/>
              <w:rPr>
                <w:sz w:val="20"/>
                <w:szCs w:val="20"/>
                <w:color w:val="auto"/>
              </w:rPr>
            </w:pPr>
            <w:r>
              <w:rPr>
                <w:rFonts w:ascii="Arial" w:cs="Arial" w:eastAsia="Arial" w:hAnsi="Arial"/>
                <w:sz w:val="10"/>
                <w:szCs w:val="10"/>
                <w:b w:val="1"/>
                <w:bCs w:val="1"/>
                <w:color w:val="auto"/>
              </w:rPr>
              <w:t>Total</w:t>
            </w:r>
          </w:p>
        </w:tc>
      </w:tr>
      <w:tr>
        <w:trPr>
          <w:trHeight w:val="135"/>
        </w:trPr>
        <w:tc>
          <w:tcPr>
            <w:tcW w:w="7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jc w:val="right"/>
              <w:ind w:right="123"/>
              <w:spacing w:after="0"/>
              <w:rPr>
                <w:sz w:val="20"/>
                <w:szCs w:val="20"/>
                <w:color w:val="auto"/>
              </w:rPr>
            </w:pPr>
            <w:r>
              <w:rPr>
                <w:rFonts w:ascii="Arial" w:cs="Arial" w:eastAsia="Arial" w:hAnsi="Arial"/>
                <w:sz w:val="10"/>
                <w:szCs w:val="10"/>
                <w:color w:val="auto"/>
              </w:rPr>
              <w:t>(In millions)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1"/>
        </w:trPr>
        <w:tc>
          <w:tcPr>
            <w:tcW w:w="7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Title premiums</w:t>
            </w:r>
          </w:p>
        </w:tc>
        <w:tc>
          <w:tcPr>
            <w:tcW w:w="580" w:type="dxa"/>
            <w:vAlign w:val="bottom"/>
            <w:shd w:val="clear" w:color="auto" w:fill="CCEEFF"/>
          </w:tcPr>
          <w:p>
            <w:pPr>
              <w:jc w:val="right"/>
              <w:ind w:right="443"/>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6"/>
              </w:rPr>
              <w:t>6,178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2"/>
                <w:szCs w:val="12"/>
                <w:color w:val="auto"/>
                <w:w w:val="89"/>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b w:val="1"/>
                <w:bCs w:val="1"/>
                <w:color w:val="auto"/>
                <w:w w:val="78"/>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6,178</w:t>
            </w:r>
          </w:p>
        </w:tc>
      </w:tr>
      <w:tr>
        <w:trPr>
          <w:trHeight w:val="153"/>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revenues</w:t>
            </w:r>
          </w:p>
        </w:tc>
        <w:tc>
          <w:tcPr>
            <w:tcW w:w="5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w w:val="86"/>
              </w:rPr>
              <w:t>2,433</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557</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3,123</w:t>
            </w:r>
          </w:p>
        </w:tc>
      </w:tr>
      <w:tr>
        <w:trPr>
          <w:trHeight w:val="147"/>
        </w:trPr>
        <w:tc>
          <w:tcPr>
            <w:tcW w:w="7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Revenues from external customers</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6"/>
              </w:rPr>
              <w:t>8,611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557</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9,301</w:t>
            </w:r>
          </w:p>
        </w:tc>
      </w:tr>
      <w:tr>
        <w:trPr>
          <w:trHeight w:val="153"/>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Interest and investment income, including recognized gains and losses, net</w:t>
            </w:r>
          </w:p>
        </w:tc>
        <w:tc>
          <w:tcPr>
            <w:tcW w:w="5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(175)</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1,711</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1,545</w:t>
            </w:r>
          </w:p>
        </w:tc>
      </w:tr>
      <w:tr>
        <w:trPr>
          <w:trHeight w:val="147"/>
        </w:trPr>
        <w:tc>
          <w:tcPr>
            <w:tcW w:w="7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revenues</w:t>
            </w:r>
          </w:p>
        </w:tc>
        <w:tc>
          <w:tcPr>
            <w:tcW w:w="5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6"/>
              </w:rPr>
              <w:t>8,436</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2,268</w:t>
            </w:r>
          </w:p>
        </w:tc>
        <w:tc>
          <w:tcPr>
            <w:tcW w:w="8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142</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10,846</w:t>
            </w:r>
          </w:p>
        </w:tc>
      </w:tr>
      <w:tr>
        <w:trPr>
          <w:trHeight w:val="144"/>
        </w:trPr>
        <w:tc>
          <w:tcPr>
            <w:tcW w:w="7400" w:type="dxa"/>
            <w:vAlign w:val="bottom"/>
          </w:tcPr>
          <w:p>
            <w:pPr>
              <w:ind w:left="20"/>
              <w:spacing w:after="0" w:line="136" w:lineRule="exact"/>
              <w:rPr>
                <w:sz w:val="20"/>
                <w:szCs w:val="20"/>
                <w:color w:val="auto"/>
              </w:rPr>
            </w:pPr>
            <w:r>
              <w:rPr>
                <w:rFonts w:ascii="Arial" w:cs="Arial" w:eastAsia="Arial" w:hAnsi="Arial"/>
                <w:sz w:val="12"/>
                <w:szCs w:val="12"/>
                <w:color w:val="auto"/>
              </w:rPr>
              <w:t>Depreciation and amortization</w:t>
            </w:r>
          </w:p>
        </w:tc>
        <w:tc>
          <w:tcPr>
            <w:tcW w:w="580" w:type="dxa"/>
            <w:vAlign w:val="bottom"/>
          </w:tcPr>
          <w:p>
            <w:pPr>
              <w:spacing w:after="0"/>
              <w:rPr>
                <w:sz w:val="12"/>
                <w:szCs w:val="12"/>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103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419</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b w:val="1"/>
                <w:bCs w:val="1"/>
                <w:color w:val="auto"/>
              </w:rPr>
              <w:t>540</w:t>
            </w:r>
          </w:p>
        </w:tc>
      </w:tr>
      <w:tr>
        <w:trPr>
          <w:trHeight w:val="156"/>
        </w:trPr>
        <w:tc>
          <w:tcPr>
            <w:tcW w:w="7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expense</w:t>
            </w:r>
          </w:p>
        </w:tc>
        <w:tc>
          <w:tcPr>
            <w:tcW w:w="5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83</w:t>
            </w:r>
          </w:p>
        </w:tc>
      </w:tr>
      <w:tr>
        <w:trPr>
          <w:trHeight w:val="153"/>
        </w:trPr>
        <w:tc>
          <w:tcPr>
            <w:tcW w:w="7400" w:type="dxa"/>
            <w:vAlign w:val="bottom"/>
          </w:tcPr>
          <w:p>
            <w:pPr>
              <w:ind w:left="20"/>
              <w:spacing w:after="0"/>
              <w:rPr>
                <w:sz w:val="20"/>
                <w:szCs w:val="20"/>
                <w:color w:val="auto"/>
              </w:rPr>
            </w:pPr>
            <w:r>
              <w:rPr>
                <w:rFonts w:ascii="Arial" w:cs="Arial" w:eastAsia="Arial" w:hAnsi="Arial"/>
                <w:sz w:val="12"/>
                <w:szCs w:val="12"/>
                <w:color w:val="auto"/>
              </w:rPr>
              <w:t>Earnings (loss) from continuing operations before income taxes and equity in earnings (loss) of unconsolidated affiliates</w:t>
            </w:r>
          </w:p>
        </w:tc>
        <w:tc>
          <w:tcPr>
            <w:tcW w:w="580" w:type="dxa"/>
            <w:vAlign w:val="bottom"/>
          </w:tcPr>
          <w:p>
            <w:pPr>
              <w:spacing w:after="0"/>
              <w:rPr>
                <w:sz w:val="13"/>
                <w:szCs w:val="13"/>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w w:val="86"/>
              </w:rPr>
              <w:t>1,569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925</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(98)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b w:val="1"/>
                <w:bCs w:val="1"/>
                <w:color w:val="auto"/>
              </w:rPr>
              <w:t>2,396</w:t>
            </w:r>
          </w:p>
        </w:tc>
      </w:tr>
      <w:tr>
        <w:trPr>
          <w:trHeight w:val="156"/>
        </w:trPr>
        <w:tc>
          <w:tcPr>
            <w:tcW w:w="7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expense (benefit)</w:t>
            </w:r>
          </w:p>
        </w:tc>
        <w:tc>
          <w:tcPr>
            <w:tcW w:w="58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389</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189</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555</w:t>
            </w:r>
          </w:p>
        </w:tc>
      </w:tr>
      <w:tr>
        <w:trPr>
          <w:trHeight w:val="144"/>
        </w:trPr>
        <w:tc>
          <w:tcPr>
            <w:tcW w:w="7400" w:type="dxa"/>
            <w:vAlign w:val="bottom"/>
          </w:tcPr>
          <w:p>
            <w:pPr>
              <w:ind w:left="20"/>
              <w:spacing w:after="0" w:line="136" w:lineRule="exact"/>
              <w:rPr>
                <w:sz w:val="20"/>
                <w:szCs w:val="20"/>
                <w:color w:val="auto"/>
              </w:rPr>
            </w:pPr>
            <w:r>
              <w:rPr>
                <w:rFonts w:ascii="Arial" w:cs="Arial" w:eastAsia="Arial" w:hAnsi="Arial"/>
                <w:sz w:val="12"/>
                <w:szCs w:val="12"/>
                <w:color w:val="auto"/>
              </w:rPr>
              <w:t>Earnings (loss) from continuing operations before equity in earnings (loss) of unconsolidated affiliates</w:t>
            </w:r>
          </w:p>
        </w:tc>
        <w:tc>
          <w:tcPr>
            <w:tcW w:w="580" w:type="dxa"/>
            <w:vAlign w:val="bottom"/>
          </w:tcPr>
          <w:p>
            <w:pPr>
              <w:spacing w:after="0"/>
              <w:rPr>
                <w:sz w:val="12"/>
                <w:szCs w:val="12"/>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w w:val="86"/>
              </w:rPr>
              <w:t>1,180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736</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b w:val="1"/>
                <w:bCs w:val="1"/>
                <w:color w:val="auto"/>
              </w:rPr>
              <w:t>1,841</w:t>
            </w:r>
          </w:p>
        </w:tc>
      </w:tr>
      <w:tr>
        <w:trPr>
          <w:trHeight w:val="155"/>
        </w:trPr>
        <w:tc>
          <w:tcPr>
            <w:tcW w:w="7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 in earnings of unconsolidated affiliates</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54</w:t>
            </w:r>
          </w:p>
        </w:tc>
      </w:tr>
      <w:tr>
        <w:trPr>
          <w:trHeight w:val="147"/>
        </w:trPr>
        <w:tc>
          <w:tcPr>
            <w:tcW w:w="7400" w:type="dxa"/>
            <w:vAlign w:val="bottom"/>
          </w:tcPr>
          <w:p>
            <w:pPr>
              <w:ind w:left="20"/>
              <w:spacing w:after="0"/>
              <w:rPr>
                <w:sz w:val="20"/>
                <w:szCs w:val="20"/>
                <w:color w:val="auto"/>
              </w:rPr>
            </w:pPr>
            <w:r>
              <w:rPr>
                <w:rFonts w:ascii="Arial" w:cs="Arial" w:eastAsia="Arial" w:hAnsi="Arial"/>
                <w:sz w:val="12"/>
                <w:szCs w:val="12"/>
                <w:color w:val="auto"/>
              </w:rPr>
              <w:t>Net earnings (loss) from continuing operations</w:t>
            </w:r>
          </w:p>
        </w:tc>
        <w:tc>
          <w:tcPr>
            <w:tcW w:w="58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w w:val="86"/>
              </w:rPr>
              <w:t>1,228</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736</w:t>
            </w:r>
          </w:p>
        </w:tc>
        <w:tc>
          <w:tcPr>
            <w:tcW w:w="8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(69)</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1,895</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39"/>
        </w:trPr>
        <w:tc>
          <w:tcPr>
            <w:tcW w:w="740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Assets</w:t>
            </w:r>
          </w:p>
        </w:tc>
        <w:tc>
          <w:tcPr>
            <w:tcW w:w="580" w:type="dxa"/>
            <w:vAlign w:val="bottom"/>
            <w:shd w:val="clear" w:color="auto" w:fill="CCEEFF"/>
          </w:tcPr>
          <w:p>
            <w:pPr>
              <w:jc w:val="right"/>
              <w:ind w:right="443"/>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6"/>
              </w:rPr>
              <w:t>9,994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46,723</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b w:val="1"/>
                <w:bCs w:val="1"/>
                <w:color w:val="auto"/>
                <w:w w:val="78"/>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58,506</w:t>
            </w:r>
          </w:p>
        </w:tc>
      </w:tr>
      <w:tr>
        <w:trPr>
          <w:trHeight w:val="151"/>
        </w:trPr>
        <w:tc>
          <w:tcPr>
            <w:tcW w:w="7400" w:type="dxa"/>
            <w:vAlign w:val="bottom"/>
          </w:tcPr>
          <w:p>
            <w:pPr>
              <w:ind w:left="20"/>
              <w:spacing w:after="0"/>
              <w:rPr>
                <w:sz w:val="20"/>
                <w:szCs w:val="20"/>
                <w:color w:val="auto"/>
              </w:rPr>
            </w:pPr>
            <w:r>
              <w:rPr>
                <w:rFonts w:ascii="Arial" w:cs="Arial" w:eastAsia="Arial" w:hAnsi="Arial"/>
                <w:sz w:val="12"/>
                <w:szCs w:val="12"/>
                <w:color w:val="auto"/>
              </w:rPr>
              <w:t>Goodwill</w:t>
            </w:r>
          </w:p>
        </w:tc>
        <w:tc>
          <w:tcPr>
            <w:tcW w:w="580" w:type="dxa"/>
            <w:vAlign w:val="bottom"/>
          </w:tcPr>
          <w:p>
            <w:pPr>
              <w:spacing w:after="0"/>
              <w:rPr>
                <w:sz w:val="13"/>
                <w:szCs w:val="13"/>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w w:val="86"/>
              </w:rPr>
              <w:t>2,493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1,756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266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b w:val="1"/>
                <w:bCs w:val="1"/>
                <w:color w:val="auto"/>
              </w:rPr>
              <w:t>4,515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8" w:name="page49"/>
    <w:bookmarkEnd w:id="48"/>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As of and for the nine months ended September 30, 2020:</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7400" w:type="dxa"/>
            <w:vAlign w:val="bottom"/>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Title</w:t>
            </w: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color w:val="auto"/>
              </w:rPr>
              <w:t>F&amp;G</w:t>
            </w:r>
          </w:p>
        </w:tc>
        <w:tc>
          <w:tcPr>
            <w:tcW w:w="100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color w:val="auto"/>
              </w:rPr>
              <w:t>Corporate and Other</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82"/>
              <w:spacing w:after="0"/>
              <w:rPr>
                <w:sz w:val="20"/>
                <w:szCs w:val="20"/>
                <w:color w:val="auto"/>
              </w:rPr>
            </w:pPr>
            <w:r>
              <w:rPr>
                <w:rFonts w:ascii="Arial" w:cs="Arial" w:eastAsia="Arial" w:hAnsi="Arial"/>
                <w:sz w:val="10"/>
                <w:szCs w:val="10"/>
                <w:b w:val="1"/>
                <w:bCs w:val="1"/>
                <w:color w:val="auto"/>
              </w:rPr>
              <w:t>Total</w:t>
            </w:r>
          </w:p>
        </w:tc>
      </w:tr>
      <w:tr>
        <w:trPr>
          <w:trHeight w:val="135"/>
        </w:trPr>
        <w:tc>
          <w:tcPr>
            <w:tcW w:w="7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jc w:val="right"/>
              <w:ind w:right="123"/>
              <w:spacing w:after="0"/>
              <w:rPr>
                <w:sz w:val="20"/>
                <w:szCs w:val="20"/>
                <w:color w:val="auto"/>
              </w:rPr>
            </w:pPr>
            <w:r>
              <w:rPr>
                <w:rFonts w:ascii="Arial" w:cs="Arial" w:eastAsia="Arial" w:hAnsi="Arial"/>
                <w:sz w:val="10"/>
                <w:szCs w:val="10"/>
                <w:color w:val="auto"/>
              </w:rPr>
              <w:t>(In millions)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1"/>
        </w:trPr>
        <w:tc>
          <w:tcPr>
            <w:tcW w:w="7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Title premiums</w:t>
            </w:r>
          </w:p>
        </w:tc>
        <w:tc>
          <w:tcPr>
            <w:tcW w:w="580" w:type="dxa"/>
            <w:vAlign w:val="bottom"/>
            <w:shd w:val="clear" w:color="auto" w:fill="CCEEFF"/>
          </w:tcPr>
          <w:p>
            <w:pPr>
              <w:jc w:val="right"/>
              <w:ind w:right="443"/>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6"/>
              </w:rPr>
              <w:t>4,351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2"/>
                <w:szCs w:val="12"/>
                <w:color w:val="auto"/>
                <w:w w:val="89"/>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b w:val="1"/>
                <w:bCs w:val="1"/>
                <w:color w:val="auto"/>
                <w:w w:val="78"/>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4,351</w:t>
            </w:r>
          </w:p>
        </w:tc>
      </w:tr>
      <w:tr>
        <w:trPr>
          <w:trHeight w:val="153"/>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revenues</w:t>
            </w:r>
          </w:p>
        </w:tc>
        <w:tc>
          <w:tcPr>
            <w:tcW w:w="5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w w:val="86"/>
              </w:rPr>
              <w:t>2,007</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114</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2,201</w:t>
            </w:r>
          </w:p>
        </w:tc>
      </w:tr>
      <w:tr>
        <w:trPr>
          <w:trHeight w:val="147"/>
        </w:trPr>
        <w:tc>
          <w:tcPr>
            <w:tcW w:w="7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Revenues from external customers</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6"/>
              </w:rPr>
              <w:t>6,358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6,552</w:t>
            </w:r>
          </w:p>
        </w:tc>
      </w:tr>
      <w:tr>
        <w:trPr>
          <w:trHeight w:val="153"/>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Interest and investment income, including recognized gains and losses, net</w:t>
            </w:r>
          </w:p>
        </w:tc>
        <w:tc>
          <w:tcPr>
            <w:tcW w:w="5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486</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456</w:t>
            </w:r>
          </w:p>
        </w:tc>
      </w:tr>
      <w:tr>
        <w:trPr>
          <w:trHeight w:val="147"/>
        </w:trPr>
        <w:tc>
          <w:tcPr>
            <w:tcW w:w="7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revenues</w:t>
            </w:r>
          </w:p>
        </w:tc>
        <w:tc>
          <w:tcPr>
            <w:tcW w:w="5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6"/>
              </w:rPr>
              <w:t>6,331</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566</w:t>
            </w:r>
          </w:p>
        </w:tc>
        <w:tc>
          <w:tcPr>
            <w:tcW w:w="8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111</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7,008</w:t>
            </w:r>
          </w:p>
        </w:tc>
      </w:tr>
      <w:tr>
        <w:trPr>
          <w:trHeight w:val="144"/>
        </w:trPr>
        <w:tc>
          <w:tcPr>
            <w:tcW w:w="7400" w:type="dxa"/>
            <w:vAlign w:val="bottom"/>
          </w:tcPr>
          <w:p>
            <w:pPr>
              <w:ind w:left="20"/>
              <w:spacing w:after="0" w:line="136" w:lineRule="exact"/>
              <w:rPr>
                <w:sz w:val="20"/>
                <w:szCs w:val="20"/>
                <w:color w:val="auto"/>
              </w:rPr>
            </w:pPr>
            <w:r>
              <w:rPr>
                <w:rFonts w:ascii="Arial" w:cs="Arial" w:eastAsia="Arial" w:hAnsi="Arial"/>
                <w:sz w:val="12"/>
                <w:szCs w:val="12"/>
                <w:color w:val="auto"/>
              </w:rPr>
              <w:t>Depreciation and amortization</w:t>
            </w:r>
          </w:p>
        </w:tc>
        <w:tc>
          <w:tcPr>
            <w:tcW w:w="580" w:type="dxa"/>
            <w:vAlign w:val="bottom"/>
          </w:tcPr>
          <w:p>
            <w:pPr>
              <w:spacing w:after="0"/>
              <w:rPr>
                <w:sz w:val="12"/>
                <w:szCs w:val="12"/>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113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59</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b w:val="1"/>
                <w:bCs w:val="1"/>
                <w:color w:val="auto"/>
              </w:rPr>
              <w:t>189</w:t>
            </w:r>
          </w:p>
        </w:tc>
      </w:tr>
      <w:tr>
        <w:trPr>
          <w:trHeight w:val="156"/>
        </w:trPr>
        <w:tc>
          <w:tcPr>
            <w:tcW w:w="7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expense</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62</w:t>
            </w:r>
          </w:p>
        </w:tc>
      </w:tr>
      <w:tr>
        <w:trPr>
          <w:trHeight w:val="153"/>
        </w:trPr>
        <w:tc>
          <w:tcPr>
            <w:tcW w:w="7400" w:type="dxa"/>
            <w:vAlign w:val="bottom"/>
          </w:tcPr>
          <w:p>
            <w:pPr>
              <w:ind w:left="20"/>
              <w:spacing w:after="0"/>
              <w:rPr>
                <w:sz w:val="20"/>
                <w:szCs w:val="20"/>
                <w:color w:val="auto"/>
              </w:rPr>
            </w:pPr>
            <w:r>
              <w:rPr>
                <w:rFonts w:ascii="Arial" w:cs="Arial" w:eastAsia="Arial" w:hAnsi="Arial"/>
                <w:sz w:val="12"/>
                <w:szCs w:val="12"/>
                <w:color w:val="auto"/>
              </w:rPr>
              <w:t>Earnings (loss) from continuing operations before income taxes and equity in earnings of unconsolidated affiliates</w:t>
            </w:r>
          </w:p>
        </w:tc>
        <w:tc>
          <w:tcPr>
            <w:tcW w:w="580" w:type="dxa"/>
            <w:vAlign w:val="bottom"/>
          </w:tcPr>
          <w:p>
            <w:pPr>
              <w:spacing w:after="0"/>
              <w:rPr>
                <w:sz w:val="13"/>
                <w:szCs w:val="13"/>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982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(142)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b w:val="1"/>
                <w:bCs w:val="1"/>
                <w:color w:val="auto"/>
              </w:rPr>
              <w:t>854</w:t>
            </w:r>
          </w:p>
        </w:tc>
      </w:tr>
      <w:tr>
        <w:trPr>
          <w:trHeight w:val="156"/>
        </w:trPr>
        <w:tc>
          <w:tcPr>
            <w:tcW w:w="7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expense (benefit)</w:t>
            </w:r>
          </w:p>
        </w:tc>
        <w:tc>
          <w:tcPr>
            <w:tcW w:w="58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240</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194</w:t>
            </w:r>
          </w:p>
        </w:tc>
      </w:tr>
      <w:tr>
        <w:trPr>
          <w:trHeight w:val="144"/>
        </w:trPr>
        <w:tc>
          <w:tcPr>
            <w:tcW w:w="7400" w:type="dxa"/>
            <w:vAlign w:val="bottom"/>
          </w:tcPr>
          <w:p>
            <w:pPr>
              <w:ind w:left="20"/>
              <w:spacing w:after="0" w:line="136" w:lineRule="exact"/>
              <w:rPr>
                <w:sz w:val="20"/>
                <w:szCs w:val="20"/>
                <w:color w:val="auto"/>
              </w:rPr>
            </w:pPr>
            <w:r>
              <w:rPr>
                <w:rFonts w:ascii="Arial" w:cs="Arial" w:eastAsia="Arial" w:hAnsi="Arial"/>
                <w:sz w:val="12"/>
                <w:szCs w:val="12"/>
                <w:color w:val="auto"/>
              </w:rPr>
              <w:t>Earnings (loss) from continuing operations before equity in earnings (loss) of unconsolidated affiliates</w:t>
            </w:r>
          </w:p>
        </w:tc>
        <w:tc>
          <w:tcPr>
            <w:tcW w:w="580" w:type="dxa"/>
            <w:vAlign w:val="bottom"/>
          </w:tcPr>
          <w:p>
            <w:pPr>
              <w:spacing w:after="0"/>
              <w:rPr>
                <w:sz w:val="12"/>
                <w:szCs w:val="12"/>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742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22</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(104)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b w:val="1"/>
                <w:bCs w:val="1"/>
                <w:color w:val="auto"/>
              </w:rPr>
              <w:t>660</w:t>
            </w:r>
          </w:p>
        </w:tc>
      </w:tr>
      <w:tr>
        <w:trPr>
          <w:trHeight w:val="155"/>
        </w:trPr>
        <w:tc>
          <w:tcPr>
            <w:tcW w:w="7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 in earnings (loss) of unconsolidated affiliates</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9</w:t>
            </w:r>
          </w:p>
        </w:tc>
      </w:tr>
      <w:tr>
        <w:trPr>
          <w:trHeight w:val="147"/>
        </w:trPr>
        <w:tc>
          <w:tcPr>
            <w:tcW w:w="7400" w:type="dxa"/>
            <w:vAlign w:val="bottom"/>
          </w:tcPr>
          <w:p>
            <w:pPr>
              <w:ind w:left="20"/>
              <w:spacing w:after="0"/>
              <w:rPr>
                <w:sz w:val="20"/>
                <w:szCs w:val="20"/>
                <w:color w:val="auto"/>
              </w:rPr>
            </w:pPr>
            <w:r>
              <w:rPr>
                <w:rFonts w:ascii="Arial" w:cs="Arial" w:eastAsia="Arial" w:hAnsi="Arial"/>
                <w:sz w:val="12"/>
                <w:szCs w:val="12"/>
                <w:color w:val="auto"/>
              </w:rPr>
              <w:t>Net earnings (loss)</w:t>
            </w:r>
          </w:p>
        </w:tc>
        <w:tc>
          <w:tcPr>
            <w:tcW w:w="58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750</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w:t>
            </w:r>
          </w:p>
        </w:tc>
        <w:tc>
          <w:tcPr>
            <w:tcW w:w="8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(103)</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669</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39"/>
        </w:trPr>
        <w:tc>
          <w:tcPr>
            <w:tcW w:w="740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Assets</w:t>
            </w:r>
          </w:p>
        </w:tc>
        <w:tc>
          <w:tcPr>
            <w:tcW w:w="580" w:type="dxa"/>
            <w:vAlign w:val="bottom"/>
            <w:shd w:val="clear" w:color="auto" w:fill="CCEEFF"/>
          </w:tcPr>
          <w:p>
            <w:pPr>
              <w:jc w:val="right"/>
              <w:ind w:right="443"/>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6"/>
              </w:rPr>
              <w:t>9,107</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39,716</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b w:val="1"/>
                <w:bCs w:val="1"/>
                <w:color w:val="auto"/>
                <w:w w:val="78"/>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49,885</w:t>
            </w:r>
          </w:p>
        </w:tc>
      </w:tr>
      <w:tr>
        <w:trPr>
          <w:trHeight w:val="151"/>
        </w:trPr>
        <w:tc>
          <w:tcPr>
            <w:tcW w:w="7400" w:type="dxa"/>
            <w:vAlign w:val="bottom"/>
          </w:tcPr>
          <w:p>
            <w:pPr>
              <w:ind w:left="20"/>
              <w:spacing w:after="0"/>
              <w:rPr>
                <w:sz w:val="20"/>
                <w:szCs w:val="20"/>
                <w:color w:val="auto"/>
              </w:rPr>
            </w:pPr>
            <w:r>
              <w:rPr>
                <w:rFonts w:ascii="Arial" w:cs="Arial" w:eastAsia="Arial" w:hAnsi="Arial"/>
                <w:sz w:val="12"/>
                <w:szCs w:val="12"/>
                <w:color w:val="auto"/>
              </w:rPr>
              <w:t>Goodwill</w:t>
            </w:r>
          </w:p>
        </w:tc>
        <w:tc>
          <w:tcPr>
            <w:tcW w:w="580" w:type="dxa"/>
            <w:vAlign w:val="bottom"/>
          </w:tcPr>
          <w:p>
            <w:pPr>
              <w:spacing w:after="0"/>
              <w:rPr>
                <w:sz w:val="13"/>
                <w:szCs w:val="13"/>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w w:val="86"/>
              </w:rPr>
              <w:t>2,461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1,731</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266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b w:val="1"/>
                <w:bCs w:val="1"/>
                <w:color w:val="auto"/>
              </w:rPr>
              <w:t>4,458</w:t>
            </w:r>
          </w:p>
        </w:tc>
      </w:tr>
    </w:tbl>
    <w:p>
      <w:pPr>
        <w:spacing w:after="0" w:line="35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activities in our segments include the following:</w:t>
      </w:r>
    </w:p>
    <w:p>
      <w:pPr>
        <w:spacing w:after="0" w:line="70" w:lineRule="exact"/>
        <w:rPr>
          <w:sz w:val="20"/>
          <w:szCs w:val="20"/>
          <w:color w:val="auto"/>
        </w:rPr>
      </w:pPr>
    </w:p>
    <w:p>
      <w:pPr>
        <w:jc w:val="both"/>
        <w:ind w:left="540" w:hanging="333"/>
        <w:spacing w:after="0" w:line="282" w:lineRule="auto"/>
        <w:tabs>
          <w:tab w:leader="none" w:pos="536" w:val="left"/>
        </w:tabs>
        <w:numPr>
          <w:ilvl w:val="0"/>
          <w:numId w:val="9"/>
        </w:numPr>
        <w:rPr>
          <w:rFonts w:ascii="Arial" w:cs="Arial" w:eastAsia="Arial" w:hAnsi="Arial"/>
          <w:sz w:val="14"/>
          <w:szCs w:val="14"/>
          <w:color w:val="auto"/>
        </w:rPr>
      </w:pPr>
      <w:r>
        <w:rPr>
          <w:rFonts w:ascii="Arial" w:cs="Arial" w:eastAsia="Arial" w:hAnsi="Arial"/>
          <w:sz w:val="14"/>
          <w:szCs w:val="14"/>
          <w:i w:val="1"/>
          <w:iCs w:val="1"/>
          <w:color w:val="auto"/>
        </w:rPr>
        <w:t xml:space="preserve">Title. </w:t>
      </w:r>
      <w:r>
        <w:rPr>
          <w:rFonts w:ascii="Arial" w:cs="Arial" w:eastAsia="Arial" w:hAnsi="Arial"/>
          <w:sz w:val="14"/>
          <w:szCs w:val="14"/>
          <w:color w:val="auto"/>
        </w:rPr>
        <w:t>This segment consists of the operations of our title insurance underwriters and related businesses. This segment provides core title insurance and escrow and other title-related</w:t>
      </w:r>
      <w:r>
        <w:rPr>
          <w:rFonts w:ascii="Arial" w:cs="Arial" w:eastAsia="Arial" w:hAnsi="Arial"/>
          <w:sz w:val="14"/>
          <w:szCs w:val="14"/>
          <w:i w:val="1"/>
          <w:iCs w:val="1"/>
          <w:color w:val="auto"/>
        </w:rPr>
        <w:t xml:space="preserve"> </w:t>
      </w:r>
      <w:r>
        <w:rPr>
          <w:rFonts w:ascii="Arial" w:cs="Arial" w:eastAsia="Arial" w:hAnsi="Arial"/>
          <w:sz w:val="14"/>
          <w:szCs w:val="14"/>
          <w:color w:val="auto"/>
        </w:rPr>
        <w:t>services including trust activities, trustee sales guarantees, and home warranty products. This segment also includes our transaction services business, which includes other title-related services used in the production and management of mortgage loans, including mortgage loans that experience default.</w:t>
      </w:r>
    </w:p>
    <w:p>
      <w:pPr>
        <w:spacing w:after="0" w:line="94" w:lineRule="exact"/>
        <w:rPr>
          <w:rFonts w:ascii="Arial" w:cs="Arial" w:eastAsia="Arial" w:hAnsi="Arial"/>
          <w:sz w:val="14"/>
          <w:szCs w:val="14"/>
          <w:color w:val="auto"/>
        </w:rPr>
      </w:pPr>
    </w:p>
    <w:p>
      <w:pPr>
        <w:ind w:left="540" w:hanging="333"/>
        <w:spacing w:after="0" w:line="266" w:lineRule="auto"/>
        <w:tabs>
          <w:tab w:leader="none" w:pos="536"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F&amp;G</w:t>
      </w:r>
      <w:r>
        <w:rPr>
          <w:rFonts w:ascii="Arial" w:cs="Arial" w:eastAsia="Arial" w:hAnsi="Arial"/>
          <w:sz w:val="15"/>
          <w:szCs w:val="15"/>
          <w:color w:val="auto"/>
        </w:rPr>
        <w:t>. This segment consists of operations of our annuities and life insurance related businesses. This segment issues a broad portfolio of deferred annuities (fixed index and fixed</w:t>
      </w:r>
      <w:r>
        <w:rPr>
          <w:rFonts w:ascii="Arial" w:cs="Arial" w:eastAsia="Arial" w:hAnsi="Arial"/>
          <w:sz w:val="15"/>
          <w:szCs w:val="15"/>
          <w:i w:val="1"/>
          <w:iCs w:val="1"/>
          <w:color w:val="auto"/>
        </w:rPr>
        <w:t xml:space="preserve"> </w:t>
      </w:r>
      <w:r>
        <w:rPr>
          <w:rFonts w:ascii="Arial" w:cs="Arial" w:eastAsia="Arial" w:hAnsi="Arial"/>
          <w:sz w:val="15"/>
          <w:szCs w:val="15"/>
          <w:color w:val="auto"/>
        </w:rPr>
        <w:t>rate annuities), immediate annuities, indexed universal life insurance, funding agreements and PRT solutions.</w:t>
      </w:r>
    </w:p>
    <w:p>
      <w:pPr>
        <w:spacing w:after="0" w:line="103" w:lineRule="exact"/>
        <w:rPr>
          <w:rFonts w:ascii="Arial" w:cs="Arial" w:eastAsia="Arial" w:hAnsi="Arial"/>
          <w:sz w:val="15"/>
          <w:szCs w:val="15"/>
          <w:color w:val="auto"/>
        </w:rPr>
      </w:pPr>
    </w:p>
    <w:p>
      <w:pPr>
        <w:ind w:left="540" w:hanging="333"/>
        <w:spacing w:after="0" w:line="343" w:lineRule="auto"/>
        <w:tabs>
          <w:tab w:leader="none" w:pos="536" w:val="left"/>
        </w:tabs>
        <w:numPr>
          <w:ilvl w:val="0"/>
          <w:numId w:val="9"/>
        </w:numPr>
        <w:rPr>
          <w:rFonts w:ascii="Arial" w:cs="Arial" w:eastAsia="Arial" w:hAnsi="Arial"/>
          <w:sz w:val="13"/>
          <w:szCs w:val="13"/>
          <w:color w:val="auto"/>
        </w:rPr>
      </w:pPr>
      <w:r>
        <w:rPr>
          <w:rFonts w:ascii="Arial" w:cs="Arial" w:eastAsia="Arial" w:hAnsi="Arial"/>
          <w:sz w:val="13"/>
          <w:szCs w:val="13"/>
          <w:i w:val="1"/>
          <w:iCs w:val="1"/>
          <w:color w:val="auto"/>
        </w:rPr>
        <w:t xml:space="preserve">Corporate and Other. </w:t>
      </w:r>
      <w:r>
        <w:rPr>
          <w:rFonts w:ascii="Arial" w:cs="Arial" w:eastAsia="Arial" w:hAnsi="Arial"/>
          <w:sz w:val="13"/>
          <w:szCs w:val="13"/>
          <w:color w:val="auto"/>
        </w:rPr>
        <w:t>This segment consists of the operations of the parent holding company, our real estate technology subsidiaries and our remaining real estate brokerage</w:t>
      </w:r>
      <w:r>
        <w:rPr>
          <w:rFonts w:ascii="Arial" w:cs="Arial" w:eastAsia="Arial" w:hAnsi="Arial"/>
          <w:sz w:val="13"/>
          <w:szCs w:val="13"/>
          <w:i w:val="1"/>
          <w:iCs w:val="1"/>
          <w:color w:val="auto"/>
        </w:rPr>
        <w:t xml:space="preserve"> </w:t>
      </w:r>
      <w:r>
        <w:rPr>
          <w:rFonts w:ascii="Arial" w:cs="Arial" w:eastAsia="Arial" w:hAnsi="Arial"/>
          <w:sz w:val="13"/>
          <w:szCs w:val="13"/>
          <w:color w:val="auto"/>
        </w:rPr>
        <w:t>businesses. This segment also includes certain other unallocated corporate overhead expenses and eliminations of revenues and expenses between it and our Title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9" w:name="page50"/>
    <w:bookmarkEnd w:id="49"/>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I — Supplemental Cash Flow Information</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supplemental cash flow information is provided with respect to certain cash payment and non-cash investing and financing activities.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640" w:type="dxa"/>
            <w:vAlign w:val="bottom"/>
          </w:tcPr>
          <w:p>
            <w:pPr>
              <w:spacing w:after="0"/>
              <w:rPr>
                <w:sz w:val="13"/>
                <w:szCs w:val="13"/>
                <w:color w:val="auto"/>
              </w:rPr>
            </w:pPr>
          </w:p>
        </w:tc>
        <w:tc>
          <w:tcPr>
            <w:tcW w:w="2260" w:type="dxa"/>
            <w:vAlign w:val="bottom"/>
            <w:gridSpan w:val="4"/>
          </w:tcPr>
          <w:p>
            <w:pPr>
              <w:jc w:val="right"/>
              <w:ind w:right="11"/>
              <w:spacing w:after="0"/>
              <w:rPr>
                <w:sz w:val="20"/>
                <w:szCs w:val="20"/>
                <w:color w:val="auto"/>
              </w:rPr>
            </w:pPr>
            <w:r>
              <w:rPr>
                <w:rFonts w:ascii="Arial" w:cs="Arial" w:eastAsia="Arial" w:hAnsi="Arial"/>
                <w:sz w:val="12"/>
                <w:szCs w:val="12"/>
                <w:b w:val="1"/>
                <w:bCs w:val="1"/>
                <w:color w:val="auto"/>
              </w:rPr>
              <w:t>Nine months ended September 30,</w:t>
            </w:r>
          </w:p>
        </w:tc>
        <w:tc>
          <w:tcPr>
            <w:tcW w:w="380" w:type="dxa"/>
            <w:vAlign w:val="bottom"/>
          </w:tcPr>
          <w:p>
            <w:pPr>
              <w:spacing w:after="0"/>
              <w:rPr>
                <w:sz w:val="13"/>
                <w:szCs w:val="13"/>
                <w:color w:val="auto"/>
              </w:rPr>
            </w:pPr>
          </w:p>
        </w:tc>
      </w:tr>
      <w:tr>
        <w:trPr>
          <w:trHeight w:val="156"/>
        </w:trPr>
        <w:tc>
          <w:tcPr>
            <w:tcW w:w="8640" w:type="dxa"/>
            <w:vAlign w:val="bottom"/>
          </w:tcPr>
          <w:p>
            <w:pPr>
              <w:spacing w:after="0"/>
              <w:rPr>
                <w:sz w:val="13"/>
                <w:szCs w:val="13"/>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2"/>
                <w:szCs w:val="12"/>
                <w:b w:val="1"/>
                <w:bCs w:val="1"/>
                <w:color w:val="auto"/>
              </w:rPr>
              <w:t>2021</w:t>
            </w: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2"/>
                <w:szCs w:val="12"/>
                <w:b w:val="1"/>
                <w:bCs w:val="1"/>
                <w:color w:val="auto"/>
              </w:rPr>
              <w:t>2020</w:t>
            </w:r>
          </w:p>
        </w:tc>
        <w:tc>
          <w:tcPr>
            <w:tcW w:w="380" w:type="dxa"/>
            <w:vAlign w:val="bottom"/>
            <w:tcBorders>
              <w:bottom w:val="single" w:sz="8" w:color="auto"/>
            </w:tcBorders>
          </w:tcPr>
          <w:p>
            <w:pPr>
              <w:spacing w:after="0"/>
              <w:rPr>
                <w:sz w:val="13"/>
                <w:szCs w:val="13"/>
                <w:color w:val="auto"/>
              </w:rPr>
            </w:pPr>
          </w:p>
        </w:tc>
      </w:tr>
      <w:tr>
        <w:trPr>
          <w:trHeight w:val="188"/>
        </w:trPr>
        <w:tc>
          <w:tcPr>
            <w:tcW w:w="8640" w:type="dxa"/>
            <w:vAlign w:val="bottom"/>
          </w:tcPr>
          <w:p>
            <w:pPr>
              <w:ind w:left="20"/>
              <w:spacing w:after="0"/>
              <w:rPr>
                <w:sz w:val="20"/>
                <w:szCs w:val="20"/>
                <w:color w:val="auto"/>
              </w:rPr>
            </w:pPr>
            <w:r>
              <w:rPr>
                <w:rFonts w:ascii="Arial" w:cs="Arial" w:eastAsia="Arial" w:hAnsi="Arial"/>
                <w:sz w:val="15"/>
                <w:szCs w:val="15"/>
                <w:color w:val="auto"/>
              </w:rPr>
              <w:t>Cash paid for:</w:t>
            </w: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88"/>
        </w:trPr>
        <w:tc>
          <w:tcPr>
            <w:tcW w:w="86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Interest</w:t>
            </w:r>
          </w:p>
        </w:tc>
        <w:tc>
          <w:tcPr>
            <w:tcW w:w="840" w:type="dxa"/>
            <w:vAlign w:val="bottom"/>
            <w:shd w:val="clear" w:color="auto" w:fill="CCEEFF"/>
          </w:tcPr>
          <w:p>
            <w:pPr>
              <w:jc w:val="right"/>
              <w:ind w:right="694"/>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31"/>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w:t>
            </w:r>
          </w:p>
        </w:tc>
      </w:tr>
      <w:tr>
        <w:trPr>
          <w:trHeight w:val="188"/>
        </w:trPr>
        <w:tc>
          <w:tcPr>
            <w:tcW w:w="8640" w:type="dxa"/>
            <w:vAlign w:val="bottom"/>
          </w:tcPr>
          <w:p>
            <w:pPr>
              <w:ind w:left="120"/>
              <w:spacing w:after="0"/>
              <w:rPr>
                <w:sz w:val="20"/>
                <w:szCs w:val="20"/>
                <w:color w:val="auto"/>
              </w:rPr>
            </w:pPr>
            <w:r>
              <w:rPr>
                <w:rFonts w:ascii="Arial" w:cs="Arial" w:eastAsia="Arial" w:hAnsi="Arial"/>
                <w:sz w:val="15"/>
                <w:szCs w:val="15"/>
                <w:color w:val="auto"/>
              </w:rPr>
              <w:t>Income taxes</w:t>
            </w:r>
          </w:p>
        </w:tc>
        <w:tc>
          <w:tcPr>
            <w:tcW w:w="8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488</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191</w:t>
            </w:r>
          </w:p>
        </w:tc>
      </w:tr>
      <w:tr>
        <w:trPr>
          <w:trHeight w:val="188"/>
        </w:trPr>
        <w:tc>
          <w:tcPr>
            <w:tcW w:w="86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Deferred sales inducements</w:t>
            </w: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r>
      <w:tr>
        <w:trPr>
          <w:trHeight w:val="188"/>
        </w:trPr>
        <w:tc>
          <w:tcPr>
            <w:tcW w:w="8640" w:type="dxa"/>
            <w:vAlign w:val="bottom"/>
          </w:tcPr>
          <w:p>
            <w:pPr>
              <w:ind w:left="20"/>
              <w:spacing w:after="0"/>
              <w:rPr>
                <w:sz w:val="20"/>
                <w:szCs w:val="20"/>
                <w:color w:val="auto"/>
              </w:rPr>
            </w:pPr>
            <w:r>
              <w:rPr>
                <w:rFonts w:ascii="Arial" w:cs="Arial" w:eastAsia="Arial" w:hAnsi="Arial"/>
                <w:sz w:val="15"/>
                <w:szCs w:val="15"/>
                <w:color w:val="auto"/>
              </w:rPr>
              <w:t>Non-cash investing and financing activities:</w:t>
            </w: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88"/>
        </w:trPr>
        <w:tc>
          <w:tcPr>
            <w:tcW w:w="8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Equity financing associated with the acquisition of F&amp;G</w:t>
            </w:r>
          </w:p>
        </w:tc>
        <w:tc>
          <w:tcPr>
            <w:tcW w:w="840" w:type="dxa"/>
            <w:vAlign w:val="bottom"/>
            <w:shd w:val="clear" w:color="auto" w:fill="CCEEFF"/>
          </w:tcPr>
          <w:p>
            <w:pPr>
              <w:jc w:val="right"/>
              <w:ind w:right="694"/>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731"/>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609</w:t>
            </w:r>
          </w:p>
        </w:tc>
      </w:tr>
      <w:tr>
        <w:trPr>
          <w:trHeight w:val="188"/>
        </w:trPr>
        <w:tc>
          <w:tcPr>
            <w:tcW w:w="8640" w:type="dxa"/>
            <w:vAlign w:val="bottom"/>
          </w:tcPr>
          <w:p>
            <w:pPr>
              <w:ind w:left="180"/>
              <w:spacing w:after="0"/>
              <w:rPr>
                <w:sz w:val="20"/>
                <w:szCs w:val="20"/>
                <w:color w:val="auto"/>
              </w:rPr>
            </w:pPr>
            <w:r>
              <w:rPr>
                <w:rFonts w:ascii="Arial" w:cs="Arial" w:eastAsia="Arial" w:hAnsi="Arial"/>
                <w:sz w:val="15"/>
                <w:szCs w:val="15"/>
                <w:color w:val="auto"/>
              </w:rPr>
              <w:t>Change in proceeds of sales of investments available for sale receivable in period</w:t>
            </w:r>
          </w:p>
        </w:tc>
        <w:tc>
          <w:tcPr>
            <w:tcW w:w="8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(215)</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(67)</w:t>
            </w:r>
          </w:p>
        </w:tc>
      </w:tr>
      <w:tr>
        <w:trPr>
          <w:trHeight w:val="188"/>
        </w:trPr>
        <w:tc>
          <w:tcPr>
            <w:tcW w:w="8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Change in purchases of investments available for sale payable in period</w:t>
            </w: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465</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w:t>
            </w:r>
          </w:p>
        </w:tc>
      </w:tr>
      <w:tr>
        <w:trPr>
          <w:trHeight w:val="188"/>
        </w:trPr>
        <w:tc>
          <w:tcPr>
            <w:tcW w:w="8640" w:type="dxa"/>
            <w:vAlign w:val="bottom"/>
          </w:tcPr>
          <w:p>
            <w:pPr>
              <w:ind w:left="180"/>
              <w:spacing w:after="0"/>
              <w:rPr>
                <w:sz w:val="20"/>
                <w:szCs w:val="20"/>
                <w:color w:val="auto"/>
              </w:rPr>
            </w:pPr>
            <w:r>
              <w:rPr>
                <w:rFonts w:ascii="Arial" w:cs="Arial" w:eastAsia="Arial" w:hAnsi="Arial"/>
                <w:sz w:val="15"/>
                <w:szCs w:val="15"/>
                <w:color w:val="auto"/>
              </w:rPr>
              <w:t>Lease liabilities recognized in exchange for lease right-of-use assets</w:t>
            </w:r>
          </w:p>
        </w:tc>
        <w:tc>
          <w:tcPr>
            <w:tcW w:w="8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32</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39</w:t>
            </w:r>
          </w:p>
        </w:tc>
      </w:tr>
      <w:tr>
        <w:trPr>
          <w:trHeight w:val="188"/>
        </w:trPr>
        <w:tc>
          <w:tcPr>
            <w:tcW w:w="8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Remeasurement of lease liabilities</w:t>
            </w: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w:t>
            </w:r>
          </w:p>
        </w:tc>
      </w:tr>
    </w:tbl>
    <w:p>
      <w:pPr>
        <w:spacing w:after="0" w:line="200" w:lineRule="exact"/>
        <w:rPr>
          <w:sz w:val="20"/>
          <w:szCs w:val="20"/>
          <w:color w:val="auto"/>
        </w:rPr>
      </w:pPr>
    </w:p>
    <w:p>
      <w:pPr>
        <w:sectPr>
          <w:pgSz w:w="11900" w:h="16838" w:orient="portrait"/>
          <w:cols w:equalWidth="0" w:num="1">
            <w:col w:w="11280"/>
          </w:cols>
          <w:pgMar w:left="300" w:top="129" w:right="319" w:bottom="1440" w:gutter="0" w:footer="0" w:header="0"/>
        </w:sectPr>
      </w:pP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J — Revenue Recognition</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Disaggregation of Revenue</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revenue consists of:</w:t>
      </w:r>
    </w:p>
    <w:p>
      <w:pPr>
        <w:spacing w:after="0" w:line="200" w:lineRule="exact"/>
        <w:rPr>
          <w:sz w:val="20"/>
          <w:szCs w:val="20"/>
          <w:color w:val="auto"/>
        </w:rPr>
      </w:pPr>
    </w:p>
    <w:p>
      <w:pPr>
        <w:spacing w:after="0" w:line="338" w:lineRule="exact"/>
        <w:rPr>
          <w:sz w:val="20"/>
          <w:szCs w:val="20"/>
          <w:color w:val="auto"/>
        </w:rPr>
      </w:pPr>
    </w:p>
    <w:p>
      <w:pPr>
        <w:ind w:left="1160"/>
        <w:spacing w:after="0"/>
        <w:rPr>
          <w:sz w:val="20"/>
          <w:szCs w:val="20"/>
          <w:color w:val="auto"/>
        </w:rPr>
      </w:pPr>
      <w:r>
        <w:rPr>
          <w:rFonts w:ascii="Arial" w:cs="Arial" w:eastAsia="Arial" w:hAnsi="Arial"/>
          <w:sz w:val="12"/>
          <w:szCs w:val="12"/>
          <w:b w:val="1"/>
          <w:bCs w:val="1"/>
          <w:color w:val="auto"/>
        </w:rPr>
        <w:t>Revenue Stream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9072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90725" cy="698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Revenue from insurance contracts: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3"/>
          <w:szCs w:val="13"/>
          <w:color w:val="auto"/>
        </w:rPr>
        <w:t>Direct title insurance premiums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Agency title insurance premiums</w:t>
      </w:r>
    </w:p>
    <w:p>
      <w:pPr>
        <w:spacing w:after="0" w:line="27" w:lineRule="exact"/>
        <w:rPr>
          <w:sz w:val="20"/>
          <w:szCs w:val="20"/>
          <w:color w:val="auto"/>
        </w:rPr>
      </w:pPr>
    </w:p>
    <w:p>
      <w:pPr>
        <w:ind w:left="120" w:right="240"/>
        <w:spacing w:after="0" w:line="242" w:lineRule="auto"/>
        <w:rPr>
          <w:sz w:val="20"/>
          <w:szCs w:val="20"/>
          <w:color w:val="auto"/>
        </w:rPr>
      </w:pPr>
      <w:r>
        <w:rPr>
          <w:rFonts w:ascii="Arial" w:cs="Arial" w:eastAsia="Arial" w:hAnsi="Arial"/>
          <w:sz w:val="13"/>
          <w:szCs w:val="13"/>
          <w:color w:val="auto"/>
        </w:rPr>
        <w:t>Life insurance premiums, insurance and investment product fees, and other</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Home warranty</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revenue from insurance contracts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Revenue from contracts with customers: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3"/>
          <w:szCs w:val="13"/>
          <w:color w:val="auto"/>
        </w:rPr>
        <w:t>Escrow fees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3"/>
          <w:szCs w:val="13"/>
          <w:color w:val="auto"/>
        </w:rPr>
        <w:t>Other title-related fees and income</w:t>
      </w:r>
    </w:p>
    <w:p>
      <w:pPr>
        <w:spacing w:after="0" w:line="27" w:lineRule="exact"/>
        <w:rPr>
          <w:sz w:val="20"/>
          <w:szCs w:val="20"/>
          <w:color w:val="auto"/>
        </w:rPr>
      </w:pPr>
    </w:p>
    <w:p>
      <w:pPr>
        <w:ind w:left="120"/>
        <w:spacing w:after="0" w:line="242" w:lineRule="auto"/>
        <w:rPr>
          <w:sz w:val="20"/>
          <w:szCs w:val="20"/>
          <w:color w:val="auto"/>
        </w:rPr>
      </w:pPr>
      <w:r>
        <w:rPr>
          <w:rFonts w:ascii="Arial" w:cs="Arial" w:eastAsia="Arial" w:hAnsi="Arial"/>
          <w:sz w:val="13"/>
          <w:szCs w:val="13"/>
          <w:color w:val="auto"/>
        </w:rPr>
        <w:t>ServiceLink, excluding title premiums, escrow fees, and subservicing fees</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Real estate technology</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Real estate brokerage</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3"/>
          <w:szCs w:val="13"/>
          <w:color w:val="auto"/>
        </w:rPr>
        <w:t>Other</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revenue from contracts with customers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revenue:</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3"/>
          <w:szCs w:val="13"/>
          <w:color w:val="auto"/>
        </w:rPr>
        <w:t>Loan subservicing revenue</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Interest and investment income</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Recognized gains and losses, net</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2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5"/>
          </w:tcPr>
          <w:p>
            <w:pPr>
              <w:jc w:val="center"/>
              <w:ind w:right="240"/>
              <w:spacing w:after="0"/>
              <w:rPr>
                <w:sz w:val="20"/>
                <w:szCs w:val="20"/>
                <w:color w:val="auto"/>
              </w:rPr>
            </w:pPr>
            <w:r>
              <w:rPr>
                <w:rFonts w:ascii="Arial" w:cs="Arial" w:eastAsia="Arial" w:hAnsi="Arial"/>
                <w:sz w:val="12"/>
                <w:szCs w:val="12"/>
                <w:b w:val="1"/>
                <w:bCs w:val="1"/>
                <w:color w:val="auto"/>
                <w:w w:val="88"/>
              </w:rPr>
              <w:t>Three months ended</w:t>
            </w:r>
          </w:p>
        </w:tc>
        <w:tc>
          <w:tcPr>
            <w:tcW w:w="1600" w:type="dxa"/>
            <w:vAlign w:val="bottom"/>
            <w:gridSpan w:val="6"/>
          </w:tcPr>
          <w:p>
            <w:pPr>
              <w:ind w:left="20"/>
              <w:spacing w:after="0"/>
              <w:rPr>
                <w:sz w:val="20"/>
                <w:szCs w:val="20"/>
                <w:color w:val="auto"/>
              </w:rPr>
            </w:pPr>
            <w:r>
              <w:rPr>
                <w:rFonts w:ascii="Arial" w:cs="Arial" w:eastAsia="Arial" w:hAnsi="Arial"/>
                <w:sz w:val="12"/>
                <w:szCs w:val="12"/>
                <w:b w:val="1"/>
                <w:bCs w:val="1"/>
                <w:color w:val="auto"/>
                <w:w w:val="88"/>
              </w:rPr>
              <w:t>Nine months ended September</w:t>
            </w:r>
          </w:p>
        </w:tc>
      </w:tr>
      <w:tr>
        <w:trPr>
          <w:trHeight w:val="153"/>
        </w:trPr>
        <w:tc>
          <w:tcPr>
            <w:tcW w:w="2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5"/>
          </w:tcPr>
          <w:p>
            <w:pPr>
              <w:jc w:val="center"/>
              <w:ind w:right="240"/>
              <w:spacing w:after="0"/>
              <w:rPr>
                <w:sz w:val="20"/>
                <w:szCs w:val="20"/>
                <w:color w:val="auto"/>
              </w:rPr>
            </w:pPr>
            <w:r>
              <w:rPr>
                <w:rFonts w:ascii="Arial" w:cs="Arial" w:eastAsia="Arial" w:hAnsi="Arial"/>
                <w:sz w:val="12"/>
                <w:szCs w:val="12"/>
                <w:b w:val="1"/>
                <w:bCs w:val="1"/>
                <w:color w:val="auto"/>
                <w:w w:val="87"/>
              </w:rPr>
              <w:t>September 30,</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83"/>
              </w:rPr>
              <w:t>30,</w:t>
            </w:r>
          </w:p>
        </w:tc>
        <w:tc>
          <w:tcPr>
            <w:tcW w:w="580" w:type="dxa"/>
            <w:vAlign w:val="bottom"/>
          </w:tcPr>
          <w:p>
            <w:pPr>
              <w:spacing w:after="0"/>
              <w:rPr>
                <w:sz w:val="13"/>
                <w:szCs w:val="13"/>
                <w:color w:val="auto"/>
              </w:rPr>
            </w:pPr>
          </w:p>
        </w:tc>
      </w:tr>
      <w:tr>
        <w:trPr>
          <w:trHeight w:val="141"/>
        </w:trPr>
        <w:tc>
          <w:tcPr>
            <w:tcW w:w="2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215"/>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95"/>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54"/>
              <w:spacing w:after="0"/>
              <w:rPr>
                <w:sz w:val="20"/>
                <w:szCs w:val="20"/>
                <w:color w:val="auto"/>
              </w:rPr>
            </w:pPr>
            <w:r>
              <w:rPr>
                <w:rFonts w:ascii="Arial" w:cs="Arial" w:eastAsia="Arial" w:hAnsi="Arial"/>
                <w:sz w:val="12"/>
                <w:szCs w:val="12"/>
                <w:b w:val="1"/>
                <w:bCs w:val="1"/>
                <w:color w:val="auto"/>
                <w:w w:val="82"/>
              </w:rPr>
              <w:t>2021</w:t>
            </w: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94"/>
              <w:spacing w:after="0"/>
              <w:rPr>
                <w:sz w:val="20"/>
                <w:szCs w:val="20"/>
                <w:color w:val="auto"/>
              </w:rPr>
            </w:pPr>
            <w:r>
              <w:rPr>
                <w:rFonts w:ascii="Arial" w:cs="Arial" w:eastAsia="Arial" w:hAnsi="Arial"/>
                <w:sz w:val="12"/>
                <w:szCs w:val="12"/>
                <w:b w:val="1"/>
                <w:bCs w:val="1"/>
                <w:color w:val="auto"/>
              </w:rPr>
              <w:t>2020</w:t>
            </w:r>
          </w:p>
        </w:tc>
      </w:tr>
      <w:tr>
        <w:trPr>
          <w:trHeight w:val="156"/>
        </w:trPr>
        <w:tc>
          <w:tcPr>
            <w:tcW w:w="2820" w:type="dxa"/>
            <w:vAlign w:val="bottom"/>
            <w:gridSpan w:val="2"/>
          </w:tcPr>
          <w:p>
            <w:pPr>
              <w:ind w:left="560"/>
              <w:spacing w:after="0"/>
              <w:rPr>
                <w:sz w:val="20"/>
                <w:szCs w:val="20"/>
                <w:color w:val="auto"/>
              </w:rPr>
            </w:pPr>
            <w:r>
              <w:rPr>
                <w:rFonts w:ascii="Arial" w:cs="Arial" w:eastAsia="Arial" w:hAnsi="Arial"/>
                <w:sz w:val="12"/>
                <w:szCs w:val="12"/>
                <w:b w:val="1"/>
                <w:bCs w:val="1"/>
                <w:color w:val="auto"/>
              </w:rPr>
              <w:t>Income Statement Classification</w:t>
            </w:r>
          </w:p>
        </w:tc>
        <w:tc>
          <w:tcPr>
            <w:tcW w:w="19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6"/>
              </w:rPr>
              <w:t>Segment</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4"/>
          </w:tcPr>
          <w:p>
            <w:pPr>
              <w:jc w:val="center"/>
              <w:ind w:right="74"/>
              <w:spacing w:after="0"/>
              <w:rPr>
                <w:sz w:val="20"/>
                <w:szCs w:val="20"/>
                <w:color w:val="auto"/>
              </w:rPr>
            </w:pPr>
            <w:r>
              <w:rPr>
                <w:rFonts w:ascii="Arial" w:cs="Arial" w:eastAsia="Arial" w:hAnsi="Arial"/>
                <w:sz w:val="12"/>
                <w:szCs w:val="12"/>
                <w:b w:val="1"/>
                <w:bCs w:val="1"/>
                <w:color w:val="auto"/>
                <w:w w:val="87"/>
              </w:rPr>
              <w:t>Total Revenue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63"/>
        </w:trPr>
        <w:tc>
          <w:tcPr>
            <w:tcW w:w="2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3"/>
          </w:tcPr>
          <w:p>
            <w:pPr>
              <w:jc w:val="center"/>
              <w:ind w:left="235"/>
              <w:spacing w:after="0"/>
              <w:rPr>
                <w:sz w:val="20"/>
                <w:szCs w:val="20"/>
                <w:color w:val="auto"/>
              </w:rPr>
            </w:pPr>
            <w:r>
              <w:rPr>
                <w:rFonts w:ascii="Arial" w:cs="Arial" w:eastAsia="Arial" w:hAnsi="Arial"/>
                <w:sz w:val="12"/>
                <w:szCs w:val="12"/>
                <w:color w:val="auto"/>
                <w:w w:val="95"/>
              </w:rPr>
              <w:t>(in millions)</w:t>
            </w:r>
          </w:p>
        </w:tc>
        <w:tc>
          <w:tcPr>
            <w:tcW w:w="4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r>
      <w:tr>
        <w:trPr>
          <w:trHeight w:val="183"/>
        </w:trPr>
        <w:tc>
          <w:tcPr>
            <w:tcW w:w="2820" w:type="dxa"/>
            <w:vAlign w:val="bottom"/>
            <w:gridSpan w:val="2"/>
          </w:tcPr>
          <w:p>
            <w:pPr>
              <w:spacing w:after="0"/>
              <w:rPr>
                <w:sz w:val="20"/>
                <w:szCs w:val="20"/>
                <w:color w:val="auto"/>
              </w:rPr>
            </w:pPr>
            <w:r>
              <w:rPr>
                <w:rFonts w:ascii="Arial" w:cs="Arial" w:eastAsia="Arial" w:hAnsi="Arial"/>
                <w:sz w:val="13"/>
                <w:szCs w:val="13"/>
                <w:color w:val="auto"/>
              </w:rPr>
              <w:t>Direct title insurance premiums</w:t>
            </w:r>
          </w:p>
        </w:tc>
        <w:tc>
          <w:tcPr>
            <w:tcW w:w="1920" w:type="dxa"/>
            <w:vAlign w:val="bottom"/>
            <w:gridSpan w:val="2"/>
          </w:tcPr>
          <w:p>
            <w:pPr>
              <w:jc w:val="center"/>
              <w:ind w:right="80"/>
              <w:spacing w:after="0"/>
              <w:rPr>
                <w:sz w:val="20"/>
                <w:szCs w:val="20"/>
                <w:color w:val="auto"/>
              </w:rPr>
            </w:pPr>
            <w:r>
              <w:rPr>
                <w:rFonts w:ascii="Arial" w:cs="Arial" w:eastAsia="Arial" w:hAnsi="Arial"/>
                <w:sz w:val="13"/>
                <w:szCs w:val="13"/>
                <w:color w:val="auto"/>
                <w:w w:val="97"/>
              </w:rPr>
              <w:t>Title</w:t>
            </w:r>
          </w:p>
        </w:tc>
        <w:tc>
          <w:tcPr>
            <w:tcW w:w="1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896</w:t>
            </w:r>
          </w:p>
        </w:tc>
        <w:tc>
          <w:tcPr>
            <w:tcW w:w="80" w:type="dxa"/>
            <w:vAlign w:val="bottom"/>
          </w:tcPr>
          <w:p>
            <w:pPr>
              <w:spacing w:after="0"/>
              <w:rPr>
                <w:sz w:val="15"/>
                <w:szCs w:val="15"/>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733</w:t>
            </w:r>
          </w:p>
        </w:tc>
        <w:tc>
          <w:tcPr>
            <w:tcW w:w="80" w:type="dxa"/>
            <w:vAlign w:val="bottom"/>
          </w:tcPr>
          <w:p>
            <w:pPr>
              <w:spacing w:after="0"/>
              <w:rPr>
                <w:sz w:val="15"/>
                <w:szCs w:val="15"/>
                <w:color w:val="auto"/>
              </w:rPr>
            </w:pP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2,546</w:t>
            </w:r>
          </w:p>
        </w:tc>
        <w:tc>
          <w:tcPr>
            <w:tcW w:w="30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1,854</w:t>
            </w:r>
          </w:p>
        </w:tc>
      </w:tr>
      <w:tr>
        <w:trPr>
          <w:trHeight w:val="177"/>
        </w:trPr>
        <w:tc>
          <w:tcPr>
            <w:tcW w:w="2820" w:type="dxa"/>
            <w:vAlign w:val="bottom"/>
            <w:gridSpan w:val="2"/>
          </w:tcPr>
          <w:p>
            <w:pPr>
              <w:spacing w:after="0"/>
              <w:rPr>
                <w:sz w:val="20"/>
                <w:szCs w:val="20"/>
                <w:color w:val="auto"/>
              </w:rPr>
            </w:pPr>
            <w:r>
              <w:rPr>
                <w:rFonts w:ascii="Arial" w:cs="Arial" w:eastAsia="Arial" w:hAnsi="Arial"/>
                <w:sz w:val="13"/>
                <w:szCs w:val="13"/>
                <w:color w:val="auto"/>
              </w:rPr>
              <w:t>Agency title insurance premiums</w:t>
            </w:r>
          </w:p>
        </w:tc>
        <w:tc>
          <w:tcPr>
            <w:tcW w:w="1920" w:type="dxa"/>
            <w:vAlign w:val="bottom"/>
            <w:gridSpan w:val="2"/>
          </w:tcPr>
          <w:p>
            <w:pPr>
              <w:jc w:val="center"/>
              <w:ind w:right="80"/>
              <w:spacing w:after="0"/>
              <w:rPr>
                <w:sz w:val="20"/>
                <w:szCs w:val="20"/>
                <w:color w:val="auto"/>
              </w:rPr>
            </w:pPr>
            <w:r>
              <w:rPr>
                <w:rFonts w:ascii="Arial" w:cs="Arial" w:eastAsia="Arial" w:hAnsi="Arial"/>
                <w:sz w:val="13"/>
                <w:szCs w:val="13"/>
                <w:color w:val="auto"/>
                <w:w w:val="97"/>
              </w:rPr>
              <w:t>Title</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1,318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981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3,632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2,497</w:t>
            </w:r>
          </w:p>
        </w:tc>
      </w:tr>
      <w:tr>
        <w:trPr>
          <w:trHeight w:val="309"/>
        </w:trPr>
        <w:tc>
          <w:tcPr>
            <w:tcW w:w="2820" w:type="dxa"/>
            <w:vAlign w:val="bottom"/>
            <w:gridSpan w:val="2"/>
          </w:tcPr>
          <w:p>
            <w:pPr>
              <w:spacing w:after="0"/>
              <w:rPr>
                <w:sz w:val="20"/>
                <w:szCs w:val="20"/>
                <w:color w:val="auto"/>
              </w:rPr>
            </w:pPr>
            <w:r>
              <w:rPr>
                <w:rFonts w:ascii="Arial" w:cs="Arial" w:eastAsia="Arial" w:hAnsi="Arial"/>
                <w:sz w:val="13"/>
                <w:szCs w:val="13"/>
                <w:color w:val="auto"/>
              </w:rPr>
              <w:t>Escrow, title-related and other fees</w:t>
            </w:r>
          </w:p>
        </w:tc>
        <w:tc>
          <w:tcPr>
            <w:tcW w:w="1920" w:type="dxa"/>
            <w:vAlign w:val="bottom"/>
            <w:gridSpan w:val="2"/>
          </w:tcPr>
          <w:p>
            <w:pPr>
              <w:jc w:val="center"/>
              <w:ind w:right="80"/>
              <w:spacing w:after="0"/>
              <w:rPr>
                <w:sz w:val="20"/>
                <w:szCs w:val="20"/>
                <w:color w:val="auto"/>
              </w:rPr>
            </w:pPr>
            <w:r>
              <w:rPr>
                <w:rFonts w:ascii="Arial" w:cs="Arial" w:eastAsia="Arial" w:hAnsi="Arial"/>
                <w:sz w:val="13"/>
                <w:szCs w:val="13"/>
                <w:color w:val="auto"/>
              </w:rPr>
              <w:t>F&amp;G</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557</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80</w:t>
            </w:r>
          </w:p>
        </w:tc>
      </w:tr>
      <w:tr>
        <w:trPr>
          <w:trHeight w:val="179"/>
        </w:trPr>
        <w:tc>
          <w:tcPr>
            <w:tcW w:w="2820" w:type="dxa"/>
            <w:vAlign w:val="bottom"/>
            <w:gridSpan w:val="2"/>
          </w:tcPr>
          <w:p>
            <w:pPr>
              <w:spacing w:after="0"/>
              <w:rPr>
                <w:sz w:val="20"/>
                <w:szCs w:val="20"/>
                <w:color w:val="auto"/>
              </w:rPr>
            </w:pPr>
            <w:r>
              <w:rPr>
                <w:rFonts w:ascii="Arial" w:cs="Arial" w:eastAsia="Arial" w:hAnsi="Arial"/>
                <w:sz w:val="13"/>
                <w:szCs w:val="13"/>
                <w:color w:val="auto"/>
              </w:rPr>
              <w:t>Escrow, title-related and other fees</w:t>
            </w:r>
          </w:p>
        </w:tc>
        <w:tc>
          <w:tcPr>
            <w:tcW w:w="1920" w:type="dxa"/>
            <w:vAlign w:val="bottom"/>
            <w:gridSpan w:val="2"/>
          </w:tcPr>
          <w:p>
            <w:pPr>
              <w:jc w:val="center"/>
              <w:ind w:right="80"/>
              <w:spacing w:after="0"/>
              <w:rPr>
                <w:sz w:val="20"/>
                <w:szCs w:val="20"/>
                <w:color w:val="auto"/>
              </w:rPr>
            </w:pPr>
            <w:r>
              <w:rPr>
                <w:rFonts w:ascii="Arial" w:cs="Arial" w:eastAsia="Arial" w:hAnsi="Arial"/>
                <w:sz w:val="13"/>
                <w:szCs w:val="13"/>
                <w:color w:val="auto"/>
                <w:w w:val="97"/>
              </w:rPr>
              <w:t>Title</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w:t>
            </w: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w:t>
            </w:r>
          </w:p>
        </w:tc>
      </w:tr>
      <w:tr>
        <w:trPr>
          <w:trHeight w:val="166"/>
        </w:trPr>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2,702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1,825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6,879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4,571</w:t>
            </w:r>
          </w:p>
        </w:tc>
      </w:tr>
      <w:tr>
        <w:trPr>
          <w:trHeight w:val="353"/>
        </w:trPr>
        <w:tc>
          <w:tcPr>
            <w:tcW w:w="2820" w:type="dxa"/>
            <w:vAlign w:val="bottom"/>
            <w:gridSpan w:val="2"/>
          </w:tcPr>
          <w:p>
            <w:pPr>
              <w:spacing w:after="0"/>
              <w:rPr>
                <w:sz w:val="20"/>
                <w:szCs w:val="20"/>
                <w:color w:val="auto"/>
              </w:rPr>
            </w:pPr>
            <w:r>
              <w:rPr>
                <w:rFonts w:ascii="Arial" w:cs="Arial" w:eastAsia="Arial" w:hAnsi="Arial"/>
                <w:sz w:val="13"/>
                <w:szCs w:val="13"/>
                <w:color w:val="auto"/>
              </w:rPr>
              <w:t>Escrow, title-related and other fees</w:t>
            </w:r>
          </w:p>
        </w:tc>
        <w:tc>
          <w:tcPr>
            <w:tcW w:w="1920" w:type="dxa"/>
            <w:vAlign w:val="bottom"/>
            <w:gridSpan w:val="2"/>
          </w:tcPr>
          <w:p>
            <w:pPr>
              <w:jc w:val="center"/>
              <w:ind w:right="80"/>
              <w:spacing w:after="0"/>
              <w:rPr>
                <w:sz w:val="20"/>
                <w:szCs w:val="20"/>
                <w:color w:val="auto"/>
              </w:rPr>
            </w:pPr>
            <w:r>
              <w:rPr>
                <w:rFonts w:ascii="Arial" w:cs="Arial" w:eastAsia="Arial" w:hAnsi="Arial"/>
                <w:sz w:val="13"/>
                <w:szCs w:val="13"/>
                <w:color w:val="auto"/>
                <w:w w:val="97"/>
              </w:rPr>
              <w:t>Title</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359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334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1,057</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814</w:t>
            </w:r>
          </w:p>
        </w:tc>
      </w:tr>
      <w:tr>
        <w:trPr>
          <w:trHeight w:val="177"/>
        </w:trPr>
        <w:tc>
          <w:tcPr>
            <w:tcW w:w="2820" w:type="dxa"/>
            <w:vAlign w:val="bottom"/>
            <w:gridSpan w:val="2"/>
          </w:tcPr>
          <w:p>
            <w:pPr>
              <w:spacing w:after="0"/>
              <w:rPr>
                <w:sz w:val="20"/>
                <w:szCs w:val="20"/>
                <w:color w:val="auto"/>
              </w:rPr>
            </w:pPr>
            <w:r>
              <w:rPr>
                <w:rFonts w:ascii="Arial" w:cs="Arial" w:eastAsia="Arial" w:hAnsi="Arial"/>
                <w:sz w:val="13"/>
                <w:szCs w:val="13"/>
                <w:color w:val="auto"/>
              </w:rPr>
              <w:t>Escrow, title-related and other fees</w:t>
            </w:r>
          </w:p>
        </w:tc>
        <w:tc>
          <w:tcPr>
            <w:tcW w:w="1920" w:type="dxa"/>
            <w:vAlign w:val="bottom"/>
            <w:gridSpan w:val="2"/>
          </w:tcPr>
          <w:p>
            <w:pPr>
              <w:jc w:val="center"/>
              <w:ind w:right="80"/>
              <w:spacing w:after="0"/>
              <w:rPr>
                <w:sz w:val="20"/>
                <w:szCs w:val="20"/>
                <w:color w:val="auto"/>
              </w:rPr>
            </w:pPr>
            <w:r>
              <w:rPr>
                <w:rFonts w:ascii="Arial" w:cs="Arial" w:eastAsia="Arial" w:hAnsi="Arial"/>
                <w:sz w:val="13"/>
                <w:szCs w:val="13"/>
                <w:color w:val="auto"/>
                <w:w w:val="97"/>
              </w:rPr>
              <w:t>Title</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226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663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516</w:t>
            </w:r>
          </w:p>
        </w:tc>
      </w:tr>
      <w:tr>
        <w:trPr>
          <w:trHeight w:val="309"/>
        </w:trPr>
        <w:tc>
          <w:tcPr>
            <w:tcW w:w="2820" w:type="dxa"/>
            <w:vAlign w:val="bottom"/>
            <w:gridSpan w:val="2"/>
          </w:tcPr>
          <w:p>
            <w:pPr>
              <w:spacing w:after="0"/>
              <w:rPr>
                <w:sz w:val="20"/>
                <w:szCs w:val="20"/>
                <w:color w:val="auto"/>
              </w:rPr>
            </w:pPr>
            <w:r>
              <w:rPr>
                <w:rFonts w:ascii="Arial" w:cs="Arial" w:eastAsia="Arial" w:hAnsi="Arial"/>
                <w:sz w:val="13"/>
                <w:szCs w:val="13"/>
                <w:color w:val="auto"/>
              </w:rPr>
              <w:t>Escrow, title-related and other fees</w:t>
            </w:r>
          </w:p>
        </w:tc>
        <w:tc>
          <w:tcPr>
            <w:tcW w:w="1920" w:type="dxa"/>
            <w:vAlign w:val="bottom"/>
            <w:gridSpan w:val="2"/>
          </w:tcPr>
          <w:p>
            <w:pPr>
              <w:jc w:val="center"/>
              <w:ind w:right="80"/>
              <w:spacing w:after="0"/>
              <w:rPr>
                <w:sz w:val="20"/>
                <w:szCs w:val="20"/>
                <w:color w:val="auto"/>
              </w:rPr>
            </w:pPr>
            <w:r>
              <w:rPr>
                <w:rFonts w:ascii="Arial" w:cs="Arial" w:eastAsia="Arial" w:hAnsi="Arial"/>
                <w:sz w:val="13"/>
                <w:szCs w:val="13"/>
                <w:color w:val="auto"/>
                <w:w w:val="97"/>
              </w:rPr>
              <w:t>Title</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295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284</w:t>
            </w:r>
          </w:p>
        </w:tc>
      </w:tr>
      <w:tr>
        <w:trPr>
          <w:trHeight w:val="177"/>
        </w:trPr>
        <w:tc>
          <w:tcPr>
            <w:tcW w:w="2820" w:type="dxa"/>
            <w:vAlign w:val="bottom"/>
            <w:gridSpan w:val="2"/>
          </w:tcPr>
          <w:p>
            <w:pPr>
              <w:spacing w:after="0"/>
              <w:rPr>
                <w:sz w:val="20"/>
                <w:szCs w:val="20"/>
                <w:color w:val="auto"/>
              </w:rPr>
            </w:pPr>
            <w:r>
              <w:rPr>
                <w:rFonts w:ascii="Arial" w:cs="Arial" w:eastAsia="Arial" w:hAnsi="Arial"/>
                <w:sz w:val="13"/>
                <w:szCs w:val="13"/>
                <w:color w:val="auto"/>
              </w:rPr>
              <w:t>Escrow, title-related and other fees</w:t>
            </w:r>
          </w:p>
        </w:tc>
        <w:tc>
          <w:tcPr>
            <w:tcW w:w="1920" w:type="dxa"/>
            <w:vAlign w:val="bottom"/>
            <w:gridSpan w:val="2"/>
          </w:tcPr>
          <w:p>
            <w:pPr>
              <w:jc w:val="center"/>
              <w:ind w:right="60"/>
              <w:spacing w:after="0"/>
              <w:rPr>
                <w:sz w:val="20"/>
                <w:szCs w:val="20"/>
                <w:color w:val="auto"/>
              </w:rPr>
            </w:pPr>
            <w:r>
              <w:rPr>
                <w:rFonts w:ascii="Arial" w:cs="Arial" w:eastAsia="Arial" w:hAnsi="Arial"/>
                <w:sz w:val="13"/>
                <w:szCs w:val="13"/>
                <w:color w:val="auto"/>
                <w:w w:val="91"/>
              </w:rPr>
              <w:t>Corporate and other</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81</w:t>
            </w:r>
          </w:p>
        </w:tc>
      </w:tr>
      <w:tr>
        <w:trPr>
          <w:trHeight w:val="177"/>
        </w:trPr>
        <w:tc>
          <w:tcPr>
            <w:tcW w:w="2820" w:type="dxa"/>
            <w:vAlign w:val="bottom"/>
            <w:gridSpan w:val="2"/>
          </w:tcPr>
          <w:p>
            <w:pPr>
              <w:spacing w:after="0"/>
              <w:rPr>
                <w:sz w:val="20"/>
                <w:szCs w:val="20"/>
                <w:color w:val="auto"/>
              </w:rPr>
            </w:pPr>
            <w:r>
              <w:rPr>
                <w:rFonts w:ascii="Arial" w:cs="Arial" w:eastAsia="Arial" w:hAnsi="Arial"/>
                <w:sz w:val="13"/>
                <w:szCs w:val="13"/>
                <w:color w:val="auto"/>
              </w:rPr>
              <w:t>Escrow, title-related and other fees</w:t>
            </w:r>
          </w:p>
        </w:tc>
        <w:tc>
          <w:tcPr>
            <w:tcW w:w="1920" w:type="dxa"/>
            <w:vAlign w:val="bottom"/>
            <w:gridSpan w:val="2"/>
          </w:tcPr>
          <w:p>
            <w:pPr>
              <w:jc w:val="center"/>
              <w:ind w:right="60"/>
              <w:spacing w:after="0"/>
              <w:rPr>
                <w:sz w:val="20"/>
                <w:szCs w:val="20"/>
                <w:color w:val="auto"/>
              </w:rPr>
            </w:pPr>
            <w:r>
              <w:rPr>
                <w:rFonts w:ascii="Arial" w:cs="Arial" w:eastAsia="Arial" w:hAnsi="Arial"/>
                <w:sz w:val="13"/>
                <w:szCs w:val="13"/>
                <w:color w:val="auto"/>
                <w:w w:val="91"/>
              </w:rPr>
              <w:t>Corporate and other</w:t>
            </w:r>
          </w:p>
        </w:tc>
        <w:tc>
          <w:tcPr>
            <w:tcW w:w="1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79"/>
        </w:trPr>
        <w:tc>
          <w:tcPr>
            <w:tcW w:w="2820" w:type="dxa"/>
            <w:vAlign w:val="bottom"/>
            <w:gridSpan w:val="2"/>
          </w:tcPr>
          <w:p>
            <w:pPr>
              <w:spacing w:after="0"/>
              <w:rPr>
                <w:sz w:val="20"/>
                <w:szCs w:val="20"/>
                <w:color w:val="auto"/>
              </w:rPr>
            </w:pPr>
            <w:r>
              <w:rPr>
                <w:rFonts w:ascii="Arial" w:cs="Arial" w:eastAsia="Arial" w:hAnsi="Arial"/>
                <w:sz w:val="13"/>
                <w:szCs w:val="13"/>
                <w:color w:val="auto"/>
              </w:rPr>
              <w:t>Escrow, title-related and other fees</w:t>
            </w:r>
          </w:p>
        </w:tc>
        <w:tc>
          <w:tcPr>
            <w:tcW w:w="1920" w:type="dxa"/>
            <w:vAlign w:val="bottom"/>
            <w:gridSpan w:val="2"/>
          </w:tcPr>
          <w:p>
            <w:pPr>
              <w:jc w:val="center"/>
              <w:ind w:right="60"/>
              <w:spacing w:after="0"/>
              <w:rPr>
                <w:sz w:val="20"/>
                <w:szCs w:val="20"/>
                <w:color w:val="auto"/>
              </w:rPr>
            </w:pPr>
            <w:r>
              <w:rPr>
                <w:rFonts w:ascii="Arial" w:cs="Arial" w:eastAsia="Arial" w:hAnsi="Arial"/>
                <w:sz w:val="13"/>
                <w:szCs w:val="13"/>
                <w:color w:val="auto"/>
                <w:w w:val="91"/>
              </w:rPr>
              <w:t>Corporate and other</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w:t>
            </w: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r>
      <w:tr>
        <w:trPr>
          <w:trHeight w:val="166"/>
        </w:trPr>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737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666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2,148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1,728</w:t>
            </w:r>
          </w:p>
        </w:tc>
      </w:tr>
      <w:tr>
        <w:trPr>
          <w:trHeight w:val="353"/>
        </w:trPr>
        <w:tc>
          <w:tcPr>
            <w:tcW w:w="2820" w:type="dxa"/>
            <w:vAlign w:val="bottom"/>
            <w:gridSpan w:val="2"/>
          </w:tcPr>
          <w:p>
            <w:pPr>
              <w:spacing w:after="0"/>
              <w:rPr>
                <w:sz w:val="20"/>
                <w:szCs w:val="20"/>
                <w:color w:val="auto"/>
              </w:rPr>
            </w:pPr>
            <w:r>
              <w:rPr>
                <w:rFonts w:ascii="Arial" w:cs="Arial" w:eastAsia="Arial" w:hAnsi="Arial"/>
                <w:sz w:val="13"/>
                <w:szCs w:val="13"/>
                <w:color w:val="auto"/>
              </w:rPr>
              <w:t>Escrow, title-related and other fees</w:t>
            </w:r>
          </w:p>
        </w:tc>
        <w:tc>
          <w:tcPr>
            <w:tcW w:w="1920" w:type="dxa"/>
            <w:vAlign w:val="bottom"/>
            <w:gridSpan w:val="2"/>
          </w:tcPr>
          <w:p>
            <w:pPr>
              <w:jc w:val="center"/>
              <w:ind w:right="80"/>
              <w:spacing w:after="0"/>
              <w:rPr>
                <w:sz w:val="20"/>
                <w:szCs w:val="20"/>
                <w:color w:val="auto"/>
              </w:rPr>
            </w:pPr>
            <w:r>
              <w:rPr>
                <w:rFonts w:ascii="Arial" w:cs="Arial" w:eastAsia="Arial" w:hAnsi="Arial"/>
                <w:sz w:val="13"/>
                <w:szCs w:val="13"/>
                <w:color w:val="auto"/>
                <w:w w:val="97"/>
              </w:rPr>
              <w:t>Title</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274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253</w:t>
            </w:r>
          </w:p>
        </w:tc>
      </w:tr>
      <w:tr>
        <w:trPr>
          <w:trHeight w:val="177"/>
        </w:trPr>
        <w:tc>
          <w:tcPr>
            <w:tcW w:w="2820" w:type="dxa"/>
            <w:vAlign w:val="bottom"/>
            <w:gridSpan w:val="2"/>
          </w:tcPr>
          <w:p>
            <w:pPr>
              <w:spacing w:after="0"/>
              <w:rPr>
                <w:sz w:val="20"/>
                <w:szCs w:val="20"/>
                <w:color w:val="auto"/>
              </w:rPr>
            </w:pPr>
            <w:r>
              <w:rPr>
                <w:rFonts w:ascii="Arial" w:cs="Arial" w:eastAsia="Arial" w:hAnsi="Arial"/>
                <w:sz w:val="13"/>
                <w:szCs w:val="13"/>
                <w:color w:val="auto"/>
              </w:rPr>
              <w:t>Interest and investment income</w:t>
            </w:r>
          </w:p>
        </w:tc>
        <w:tc>
          <w:tcPr>
            <w:tcW w:w="1920" w:type="dxa"/>
            <w:vAlign w:val="bottom"/>
            <w:gridSpan w:val="2"/>
          </w:tcPr>
          <w:p>
            <w:pPr>
              <w:jc w:val="center"/>
              <w:ind w:right="80"/>
              <w:spacing w:after="0"/>
              <w:rPr>
                <w:sz w:val="20"/>
                <w:szCs w:val="20"/>
                <w:color w:val="auto"/>
              </w:rPr>
            </w:pPr>
            <w:r>
              <w:rPr>
                <w:rFonts w:ascii="Arial" w:cs="Arial" w:eastAsia="Arial" w:hAnsi="Arial"/>
                <w:sz w:val="13"/>
                <w:szCs w:val="13"/>
                <w:color w:val="auto"/>
                <w:w w:val="90"/>
              </w:rPr>
              <w:t>Various</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508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336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1,424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541</w:t>
            </w:r>
          </w:p>
        </w:tc>
      </w:tr>
      <w:tr>
        <w:trPr>
          <w:trHeight w:val="179"/>
        </w:trPr>
        <w:tc>
          <w:tcPr>
            <w:tcW w:w="2820" w:type="dxa"/>
            <w:vAlign w:val="bottom"/>
            <w:gridSpan w:val="2"/>
          </w:tcPr>
          <w:p>
            <w:pPr>
              <w:spacing w:after="0"/>
              <w:rPr>
                <w:sz w:val="20"/>
                <w:szCs w:val="20"/>
                <w:color w:val="auto"/>
              </w:rPr>
            </w:pPr>
            <w:r>
              <w:rPr>
                <w:rFonts w:ascii="Arial" w:cs="Arial" w:eastAsia="Arial" w:hAnsi="Arial"/>
                <w:sz w:val="13"/>
                <w:szCs w:val="13"/>
                <w:color w:val="auto"/>
              </w:rPr>
              <w:t>Recognized gains and losses, net</w:t>
            </w:r>
          </w:p>
        </w:tc>
        <w:tc>
          <w:tcPr>
            <w:tcW w:w="1920" w:type="dxa"/>
            <w:vAlign w:val="bottom"/>
            <w:gridSpan w:val="2"/>
          </w:tcPr>
          <w:p>
            <w:pPr>
              <w:jc w:val="center"/>
              <w:ind w:right="80"/>
              <w:spacing w:after="0"/>
              <w:rPr>
                <w:sz w:val="20"/>
                <w:szCs w:val="20"/>
                <w:color w:val="auto"/>
              </w:rPr>
            </w:pPr>
            <w:r>
              <w:rPr>
                <w:rFonts w:ascii="Arial" w:cs="Arial" w:eastAsia="Arial" w:hAnsi="Arial"/>
                <w:sz w:val="13"/>
                <w:szCs w:val="13"/>
                <w:color w:val="auto"/>
                <w:w w:val="90"/>
              </w:rPr>
              <w:t>Various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w:t>
            </w: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w:t>
            </w:r>
          </w:p>
        </w:tc>
      </w:tr>
      <w:tr>
        <w:trPr>
          <w:trHeight w:val="170"/>
        </w:trPr>
        <w:tc>
          <w:tcPr>
            <w:tcW w:w="2820" w:type="dxa"/>
            <w:vAlign w:val="bottom"/>
            <w:gridSpan w:val="2"/>
          </w:tcPr>
          <w:p>
            <w:pPr>
              <w:spacing w:after="0"/>
              <w:rPr>
                <w:sz w:val="20"/>
                <w:szCs w:val="20"/>
                <w:color w:val="auto"/>
              </w:rPr>
            </w:pPr>
            <w:r>
              <w:rPr>
                <w:rFonts w:ascii="Arial" w:cs="Arial" w:eastAsia="Arial" w:hAnsi="Arial"/>
                <w:sz w:val="13"/>
                <w:szCs w:val="13"/>
                <w:color w:val="auto"/>
              </w:rPr>
              <w:t>Total revenues</w:t>
            </w: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3,892</w:t>
            </w:r>
          </w:p>
        </w:tc>
        <w:tc>
          <w:tcPr>
            <w:tcW w:w="80" w:type="dxa"/>
            <w:vAlign w:val="bottom"/>
          </w:tcPr>
          <w:p>
            <w:pPr>
              <w:spacing w:after="0"/>
              <w:rPr>
                <w:sz w:val="14"/>
                <w:szCs w:val="14"/>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2,976</w:t>
            </w:r>
          </w:p>
        </w:tc>
        <w:tc>
          <w:tcPr>
            <w:tcW w:w="80" w:type="dxa"/>
            <w:vAlign w:val="bottom"/>
          </w:tcPr>
          <w:p>
            <w:pPr>
              <w:spacing w:after="0"/>
              <w:rPr>
                <w:sz w:val="14"/>
                <w:szCs w:val="14"/>
                <w:color w:val="auto"/>
              </w:rPr>
            </w:pP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10,846</w:t>
            </w:r>
          </w:p>
        </w:tc>
        <w:tc>
          <w:tcPr>
            <w:tcW w:w="30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7,008</w:t>
            </w:r>
          </w:p>
        </w:tc>
      </w:tr>
      <w:tr>
        <w:trPr>
          <w:trHeight w:val="20"/>
        </w:trPr>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-2235835</wp:posOffset>
            </wp:positionV>
            <wp:extent cx="7157085" cy="1123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085" cy="11239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-2011045</wp:posOffset>
            </wp:positionV>
            <wp:extent cx="7157085" cy="1962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085" cy="19621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-1703070</wp:posOffset>
            </wp:positionV>
            <wp:extent cx="7157085" cy="1193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085" cy="11938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-1471295</wp:posOffset>
            </wp:positionV>
            <wp:extent cx="7157085" cy="1123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085" cy="11239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-1247140</wp:posOffset>
            </wp:positionV>
            <wp:extent cx="7157085" cy="1962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085" cy="19621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-938530</wp:posOffset>
            </wp:positionV>
            <wp:extent cx="7157085" cy="1123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085" cy="11239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-714375</wp:posOffset>
            </wp:positionV>
            <wp:extent cx="7157085" cy="1193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085" cy="11938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-483235</wp:posOffset>
            </wp:positionV>
            <wp:extent cx="7157085" cy="1123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085" cy="11239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-258445</wp:posOffset>
            </wp:positionV>
            <wp:extent cx="7157085" cy="1123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085" cy="112395"/>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3100" w:space="140"/>
            <w:col w:w="8040"/>
          </w:cols>
          <w:pgMar w:left="300" w:top="129" w:right="319" w:bottom="1440" w:gutter="0" w:footer="0" w:header="0"/>
          <w:type w:val="continuous"/>
        </w:sectPr>
      </w:pPr>
    </w:p>
    <w:p>
      <w:pPr>
        <w:ind w:firstLine="265"/>
        <w:spacing w:after="0" w:line="266" w:lineRule="auto"/>
        <w:rPr>
          <w:sz w:val="20"/>
          <w:szCs w:val="20"/>
          <w:color w:val="auto"/>
        </w:rPr>
      </w:pPr>
      <w:r>
        <w:rPr>
          <w:rFonts w:ascii="Arial" w:cs="Arial" w:eastAsia="Arial" w:hAnsi="Arial"/>
          <w:sz w:val="15"/>
          <w:szCs w:val="15"/>
          <w:color w:val="auto"/>
        </w:rPr>
        <w:t>Our Direct title insurance premiums are recognized as revenue at the time of closing of the underlying transaction as the earnings process is then considered complete. Regulation of title insurance rates varies by</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50" w:name="page51"/>
    <w:bookmarkEnd w:id="50"/>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state. Premiums are charged to customers based on rates predetermined in coordination with each states' respective Department of Insurance. Cash associated with such revenue is typically collected at closing of the underlying real estate transaction. Premium revenues from agency title operations are recognized when the underlying title order and transaction closing, if applicable, are complete.</w:t>
      </w:r>
    </w:p>
    <w:p>
      <w:pPr>
        <w:spacing w:after="0" w:line="57" w:lineRule="exact"/>
        <w:rPr>
          <w:sz w:val="20"/>
          <w:szCs w:val="20"/>
          <w:color w:val="auto"/>
        </w:rPr>
      </w:pPr>
    </w:p>
    <w:p>
      <w:pPr>
        <w:jc w:val="both"/>
        <w:ind w:firstLine="265"/>
        <w:spacing w:after="0" w:line="266" w:lineRule="auto"/>
        <w:rPr>
          <w:sz w:val="20"/>
          <w:szCs w:val="20"/>
          <w:color w:val="auto"/>
        </w:rPr>
      </w:pPr>
      <w:r>
        <w:rPr>
          <w:rFonts w:ascii="Arial" w:cs="Arial" w:eastAsia="Arial" w:hAnsi="Arial"/>
          <w:sz w:val="15"/>
          <w:szCs w:val="15"/>
          <w:color w:val="auto"/>
        </w:rPr>
        <w:t>Revenues from our home warranty business are generated from contracts with customers to provide warranty for major home appliances. Substantially all of our home warranty contracts are one year in length and revenue is recognized ratably over the term of the contract.</w:t>
      </w:r>
    </w:p>
    <w:p>
      <w:pPr>
        <w:spacing w:after="0" w:line="37" w:lineRule="exact"/>
        <w:rPr>
          <w:sz w:val="20"/>
          <w:szCs w:val="20"/>
          <w:color w:val="auto"/>
        </w:rPr>
      </w:pPr>
    </w:p>
    <w:p>
      <w:pPr>
        <w:jc w:val="both"/>
        <w:ind w:firstLine="265"/>
        <w:spacing w:after="0" w:line="252" w:lineRule="auto"/>
        <w:rPr>
          <w:sz w:val="20"/>
          <w:szCs w:val="20"/>
          <w:color w:val="auto"/>
        </w:rPr>
      </w:pPr>
      <w:r>
        <w:rPr>
          <w:rFonts w:ascii="Arial" w:cs="Arial" w:eastAsia="Arial" w:hAnsi="Arial"/>
          <w:sz w:val="15"/>
          <w:szCs w:val="15"/>
          <w:color w:val="auto"/>
        </w:rPr>
        <w:t>Escrow fees and Other title-related fees and income in our Title segment are closely related to Direct title insurance premiums and are primarily associated with managing the closing of real estate transactions, including the processing of funds on behalf of the transaction participants, gathering and recording the required closing documents, providing notary and home inspection services, and other real estate or title-related activities. Revenue is primarily recognized upon closing of the underlying real estate transaction or completion of services. Cash associated with such revenue is typically collected at closing.</w:t>
      </w:r>
    </w:p>
    <w:p>
      <w:pPr>
        <w:spacing w:after="0" w:line="59" w:lineRule="exact"/>
        <w:rPr>
          <w:sz w:val="20"/>
          <w:szCs w:val="20"/>
          <w:color w:val="auto"/>
        </w:rPr>
      </w:pPr>
    </w:p>
    <w:p>
      <w:pPr>
        <w:jc w:val="both"/>
        <w:ind w:firstLine="265"/>
        <w:spacing w:after="0" w:line="282" w:lineRule="auto"/>
        <w:rPr>
          <w:sz w:val="20"/>
          <w:szCs w:val="20"/>
          <w:color w:val="auto"/>
        </w:rPr>
      </w:pPr>
      <w:r>
        <w:rPr>
          <w:rFonts w:ascii="Arial" w:cs="Arial" w:eastAsia="Arial" w:hAnsi="Arial"/>
          <w:sz w:val="14"/>
          <w:szCs w:val="14"/>
          <w:color w:val="auto"/>
        </w:rPr>
        <w:t>Revenues from ServiceLink, excluding its title premiums, escrow fees and loan subservicing fees primarily include revenues from real estate appraisal services and foreclosure processing and facilitation services. Revenues from real estate appraisal services are recognized when all appraisal work is complete, a final report is issued to the client and the client is billed. Revenues from foreclosure processing and facilitation services are primarily recognized upon completion of the services and when billing to the client is complete.</w:t>
      </w:r>
    </w:p>
    <w:p>
      <w:pPr>
        <w:spacing w:after="0" w:line="40" w:lineRule="exact"/>
        <w:rPr>
          <w:sz w:val="20"/>
          <w:szCs w:val="20"/>
          <w:color w:val="auto"/>
        </w:rPr>
      </w:pPr>
    </w:p>
    <w:p>
      <w:pPr>
        <w:jc w:val="both"/>
        <w:ind w:firstLine="265"/>
        <w:spacing w:after="0" w:line="296" w:lineRule="auto"/>
        <w:rPr>
          <w:sz w:val="20"/>
          <w:szCs w:val="20"/>
          <w:color w:val="auto"/>
        </w:rPr>
      </w:pPr>
      <w:r>
        <w:rPr>
          <w:rFonts w:ascii="Arial" w:cs="Arial" w:eastAsia="Arial" w:hAnsi="Arial"/>
          <w:sz w:val="13"/>
          <w:szCs w:val="13"/>
          <w:color w:val="auto"/>
        </w:rPr>
        <w:t>Life insurance premiums in our F&amp;G segment reflect premiums for traditional life insurance products, life-contingent immediate annuity products and life-contingent PRT products which are recognized as revenue when due from the policyholder. Insurance and investment product fees and other consist primarily of the cost of insurance fees on IUL policies, UREV on IUL policies, policy rider fees primarily on FIA policies and surrender charges assessed against policy withdrawals in excess of the policyholder's allowable penalty-free amounts.</w:t>
      </w:r>
    </w:p>
    <w:p>
      <w:pPr>
        <w:spacing w:after="0" w:line="10" w:lineRule="exact"/>
        <w:rPr>
          <w:sz w:val="20"/>
          <w:szCs w:val="20"/>
          <w:color w:val="auto"/>
        </w:rPr>
      </w:pPr>
    </w:p>
    <w:p>
      <w:pPr>
        <w:jc w:val="both"/>
        <w:ind w:right="20" w:firstLine="265"/>
        <w:spacing w:after="0" w:line="266" w:lineRule="auto"/>
        <w:rPr>
          <w:sz w:val="20"/>
          <w:szCs w:val="20"/>
          <w:color w:val="auto"/>
        </w:rPr>
      </w:pPr>
      <w:r>
        <w:rPr>
          <w:rFonts w:ascii="Arial" w:cs="Arial" w:eastAsia="Arial" w:hAnsi="Arial"/>
          <w:sz w:val="15"/>
          <w:szCs w:val="15"/>
          <w:color w:val="auto"/>
        </w:rPr>
        <w:t>Real estate technology revenues are primarily comprised of subscription fees for use of software provided to real estate professionals. Subscriptions are only offered on a month-by-month basis and fees are billed monthly. Revenue is recognized in the month services are provided.</w:t>
      </w:r>
    </w:p>
    <w:p>
      <w:pPr>
        <w:spacing w:after="0" w:line="48" w:lineRule="exact"/>
        <w:rPr>
          <w:sz w:val="20"/>
          <w:szCs w:val="20"/>
          <w:color w:val="auto"/>
        </w:rPr>
      </w:pPr>
    </w:p>
    <w:p>
      <w:pPr>
        <w:jc w:val="both"/>
        <w:ind w:right="20" w:firstLine="265"/>
        <w:spacing w:after="0" w:line="266" w:lineRule="auto"/>
        <w:rPr>
          <w:sz w:val="20"/>
          <w:szCs w:val="20"/>
          <w:color w:val="auto"/>
        </w:rPr>
      </w:pPr>
      <w:r>
        <w:rPr>
          <w:rFonts w:ascii="Arial" w:cs="Arial" w:eastAsia="Arial" w:hAnsi="Arial"/>
          <w:sz w:val="15"/>
          <w:szCs w:val="15"/>
          <w:color w:val="auto"/>
        </w:rPr>
        <w:t>Real estate brokerage revenues are primarily comprised of commission revenues earned in association with the facilitation of real estate transactions and are recognized upon closing of the sale of the underlying real estate transaction.</w:t>
      </w:r>
    </w:p>
    <w:p>
      <w:pPr>
        <w:spacing w:after="0" w:line="48" w:lineRule="exact"/>
        <w:rPr>
          <w:sz w:val="20"/>
          <w:szCs w:val="20"/>
          <w:color w:val="auto"/>
        </w:rPr>
      </w:pPr>
    </w:p>
    <w:p>
      <w:pPr>
        <w:jc w:val="both"/>
        <w:ind w:firstLine="265"/>
        <w:spacing w:after="0" w:line="266" w:lineRule="auto"/>
        <w:rPr>
          <w:sz w:val="20"/>
          <w:szCs w:val="20"/>
          <w:color w:val="auto"/>
        </w:rPr>
      </w:pPr>
      <w:r>
        <w:rPr>
          <w:rFonts w:ascii="Arial" w:cs="Arial" w:eastAsia="Arial" w:hAnsi="Arial"/>
          <w:sz w:val="15"/>
          <w:szCs w:val="15"/>
          <w:color w:val="auto"/>
        </w:rPr>
        <w:t>Loan subservicing revenues are generated by certain subsidiaries of ServiceLink and are associated with the servicing of mortgage loans on behalf of its customers. Revenue is recognized when the underlying work is performed and billed. Loan subservicing revenues are subject to the recognition requirements of ASC Topic 860.</w:t>
      </w:r>
    </w:p>
    <w:p>
      <w:pPr>
        <w:spacing w:after="0" w:line="37" w:lineRule="exact"/>
        <w:rPr>
          <w:sz w:val="20"/>
          <w:szCs w:val="20"/>
          <w:color w:val="auto"/>
        </w:rPr>
      </w:pPr>
    </w:p>
    <w:p>
      <w:pPr>
        <w:jc w:val="both"/>
        <w:ind w:firstLine="265"/>
        <w:spacing w:after="0" w:line="266" w:lineRule="auto"/>
        <w:rPr>
          <w:sz w:val="20"/>
          <w:szCs w:val="20"/>
          <w:color w:val="auto"/>
        </w:rPr>
      </w:pPr>
      <w:r>
        <w:rPr>
          <w:rFonts w:ascii="Arial" w:cs="Arial" w:eastAsia="Arial" w:hAnsi="Arial"/>
          <w:sz w:val="15"/>
          <w:szCs w:val="15"/>
          <w:color w:val="auto"/>
        </w:rPr>
        <w:t>Interest and investment income consists primarily of interest recognized on fixed maturity security holdings, limited partnership returns and dividends recognized on equity and preferred security holdings, net of investment expense.</w:t>
      </w:r>
    </w:p>
    <w:p>
      <w:pPr>
        <w:spacing w:after="0" w:line="48" w:lineRule="exact"/>
        <w:rPr>
          <w:sz w:val="20"/>
          <w:szCs w:val="20"/>
          <w:color w:val="auto"/>
        </w:rPr>
      </w:pPr>
    </w:p>
    <w:p>
      <w:pPr>
        <w:jc w:val="both"/>
        <w:ind w:firstLine="265"/>
        <w:spacing w:after="0" w:line="266" w:lineRule="auto"/>
        <w:rPr>
          <w:sz w:val="20"/>
          <w:szCs w:val="20"/>
          <w:color w:val="auto"/>
        </w:rPr>
      </w:pPr>
      <w:r>
        <w:rPr>
          <w:rFonts w:ascii="Arial" w:cs="Arial" w:eastAsia="Arial" w:hAnsi="Arial"/>
          <w:sz w:val="15"/>
          <w:szCs w:val="15"/>
          <w:color w:val="auto"/>
        </w:rPr>
        <w:t>We do not disclose the value of unsatisfied performance obligations for (i) contracts with an original expected length of one year or less, primarily related to revenue from our home warranty business, and (ii) contracts for which we recognize revenue at the amount to which we have the right to invoice for services performed.</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Contract Balances</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provides information about trade receivables and deferred revenue:</w:t>
      </w:r>
    </w:p>
    <w:p>
      <w:pPr>
        <w:spacing w:after="0" w:line="108" w:lineRule="exact"/>
        <w:rPr>
          <w:sz w:val="20"/>
          <w:szCs w:val="20"/>
          <w:color w:val="auto"/>
        </w:rPr>
      </w:pPr>
    </w:p>
    <w:tbl>
      <w:tblPr>
        <w:tblLayout w:type="fixed"/>
        <w:tblInd w:w="100" w:type="dxa"/>
        <w:tblCellMar>
          <w:top w:w="0" w:type="dxa"/>
          <w:left w:w="0" w:type="dxa"/>
          <w:bottom w:w="0" w:type="dxa"/>
          <w:right w:w="0" w:type="dxa"/>
        </w:tblCellMar>
      </w:tblPr>
      <w:tr>
        <w:trPr>
          <w:trHeight w:val="156"/>
        </w:trPr>
        <w:tc>
          <w:tcPr>
            <w:tcW w:w="6940" w:type="dxa"/>
            <w:vAlign w:val="bottom"/>
          </w:tcPr>
          <w:p>
            <w:pPr>
              <w:spacing w:after="0"/>
              <w:rPr>
                <w:sz w:val="13"/>
                <w:szCs w:val="13"/>
                <w:color w:val="auto"/>
              </w:rPr>
            </w:pPr>
          </w:p>
        </w:tc>
        <w:tc>
          <w:tcPr>
            <w:tcW w:w="1520" w:type="dxa"/>
            <w:vAlign w:val="bottom"/>
            <w:tcBorders>
              <w:bottom w:val="single" w:sz="8" w:color="auto"/>
            </w:tcBorders>
          </w:tcPr>
          <w:p>
            <w:pPr>
              <w:jc w:val="right"/>
              <w:ind w:right="14"/>
              <w:spacing w:after="0"/>
              <w:rPr>
                <w:sz w:val="20"/>
                <w:szCs w:val="20"/>
                <w:color w:val="auto"/>
              </w:rPr>
            </w:pPr>
            <w:r>
              <w:rPr>
                <w:rFonts w:ascii="Arial" w:cs="Arial" w:eastAsia="Arial" w:hAnsi="Arial"/>
                <w:sz w:val="12"/>
                <w:szCs w:val="12"/>
                <w:b w:val="1"/>
                <w:bCs w:val="1"/>
                <w:color w:val="auto"/>
              </w:rPr>
              <w:t>September 30, 2021</w:t>
            </w:r>
          </w:p>
        </w:tc>
        <w:tc>
          <w:tcPr>
            <w:tcW w:w="4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551"/>
              <w:spacing w:after="0"/>
              <w:rPr>
                <w:sz w:val="20"/>
                <w:szCs w:val="20"/>
                <w:color w:val="auto"/>
              </w:rPr>
            </w:pPr>
            <w:r>
              <w:rPr>
                <w:rFonts w:ascii="Arial" w:cs="Arial" w:eastAsia="Arial" w:hAnsi="Arial"/>
                <w:sz w:val="12"/>
                <w:szCs w:val="12"/>
                <w:b w:val="1"/>
                <w:bCs w:val="1"/>
                <w:color w:val="auto"/>
                <w:w w:val="96"/>
              </w:rPr>
              <w:t>December 31, 2020</w:t>
            </w:r>
          </w:p>
        </w:tc>
      </w:tr>
      <w:tr>
        <w:trPr>
          <w:trHeight w:val="147"/>
        </w:trPr>
        <w:tc>
          <w:tcPr>
            <w:tcW w:w="69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60" w:type="dxa"/>
            <w:vAlign w:val="bottom"/>
            <w:gridSpan w:val="2"/>
          </w:tcPr>
          <w:p>
            <w:pPr>
              <w:jc w:val="right"/>
              <w:ind w:right="26"/>
              <w:spacing w:after="0"/>
              <w:rPr>
                <w:sz w:val="20"/>
                <w:szCs w:val="20"/>
                <w:color w:val="auto"/>
              </w:rPr>
            </w:pPr>
            <w:r>
              <w:rPr>
                <w:rFonts w:ascii="Arial" w:cs="Arial" w:eastAsia="Arial" w:hAnsi="Arial"/>
                <w:sz w:val="12"/>
                <w:szCs w:val="12"/>
                <w:b w:val="1"/>
                <w:bCs w:val="1"/>
                <w:color w:val="auto"/>
              </w:rPr>
              <w:t>(In millions)</w:t>
            </w:r>
          </w:p>
        </w:tc>
        <w:tc>
          <w:tcPr>
            <w:tcW w:w="1680" w:type="dxa"/>
            <w:vAlign w:val="bottom"/>
          </w:tcPr>
          <w:p>
            <w:pPr>
              <w:spacing w:after="0"/>
              <w:rPr>
                <w:sz w:val="12"/>
                <w:szCs w:val="12"/>
                <w:color w:val="auto"/>
              </w:rPr>
            </w:pPr>
          </w:p>
        </w:tc>
      </w:tr>
      <w:tr>
        <w:trPr>
          <w:trHeight w:val="191"/>
        </w:trPr>
        <w:tc>
          <w:tcPr>
            <w:tcW w:w="6940" w:type="dxa"/>
            <w:vAlign w:val="bottom"/>
          </w:tcPr>
          <w:p>
            <w:pPr>
              <w:ind w:left="20"/>
              <w:spacing w:after="0"/>
              <w:rPr>
                <w:sz w:val="20"/>
                <w:szCs w:val="20"/>
                <w:color w:val="auto"/>
              </w:rPr>
            </w:pPr>
            <w:r>
              <w:rPr>
                <w:rFonts w:ascii="Arial" w:cs="Arial" w:eastAsia="Arial" w:hAnsi="Arial"/>
                <w:sz w:val="15"/>
                <w:szCs w:val="15"/>
                <w:color w:val="auto"/>
              </w:rPr>
              <w:t>Trade receivables</w:t>
            </w:r>
          </w:p>
        </w:tc>
        <w:tc>
          <w:tcPr>
            <w:tcW w:w="1520" w:type="dxa"/>
            <w:vAlign w:val="bottom"/>
          </w:tcPr>
          <w:p>
            <w:pPr>
              <w:jc w:val="right"/>
              <w:ind w:right="1374"/>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ind w:right="31"/>
              <w:spacing w:after="0"/>
              <w:rPr>
                <w:sz w:val="20"/>
                <w:szCs w:val="20"/>
                <w:color w:val="auto"/>
              </w:rPr>
            </w:pPr>
            <w:r>
              <w:rPr>
                <w:rFonts w:ascii="Arial" w:cs="Arial" w:eastAsia="Arial" w:hAnsi="Arial"/>
                <w:sz w:val="15"/>
                <w:szCs w:val="15"/>
                <w:color w:val="auto"/>
              </w:rPr>
              <w:t>484</w:t>
            </w:r>
          </w:p>
        </w:tc>
        <w:tc>
          <w:tcPr>
            <w:tcW w:w="560" w:type="dxa"/>
            <w:vAlign w:val="bottom"/>
          </w:tcPr>
          <w:p>
            <w:pPr>
              <w:jc w:val="right"/>
              <w:ind w:right="326"/>
              <w:spacing w:after="0"/>
              <w:rPr>
                <w:sz w:val="20"/>
                <w:szCs w:val="20"/>
                <w:color w:val="auto"/>
              </w:rPr>
            </w:pPr>
            <w:r>
              <w:rPr>
                <w:rFonts w:ascii="Arial" w:cs="Arial" w:eastAsia="Arial" w:hAnsi="Arial"/>
                <w:sz w:val="15"/>
                <w:szCs w:val="15"/>
                <w:color w:val="auto"/>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404</w:t>
            </w:r>
          </w:p>
        </w:tc>
      </w:tr>
      <w:tr>
        <w:trPr>
          <w:trHeight w:val="188"/>
        </w:trPr>
        <w:tc>
          <w:tcPr>
            <w:tcW w:w="6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revenue (contract liabilities)</w:t>
            </w:r>
          </w:p>
        </w:tc>
        <w:tc>
          <w:tcPr>
            <w:tcW w:w="15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31"/>
              <w:spacing w:after="0"/>
              <w:rPr>
                <w:sz w:val="20"/>
                <w:szCs w:val="20"/>
                <w:color w:val="auto"/>
              </w:rPr>
            </w:pPr>
            <w:r>
              <w:rPr>
                <w:rFonts w:ascii="Arial" w:cs="Arial" w:eastAsia="Arial" w:hAnsi="Arial"/>
                <w:sz w:val="15"/>
                <w:szCs w:val="15"/>
                <w:color w:val="auto"/>
              </w:rPr>
              <w:t>108</w:t>
            </w:r>
          </w:p>
        </w:tc>
        <w:tc>
          <w:tcPr>
            <w:tcW w:w="56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w:t>
            </w:r>
          </w:p>
        </w:tc>
      </w:tr>
    </w:tbl>
    <w:p>
      <w:pPr>
        <w:spacing w:after="0" w:line="78" w:lineRule="exact"/>
        <w:rPr>
          <w:sz w:val="20"/>
          <w:szCs w:val="20"/>
          <w:color w:val="auto"/>
        </w:rPr>
      </w:pPr>
    </w:p>
    <w:p>
      <w:pPr>
        <w:jc w:val="both"/>
        <w:ind w:firstLine="265"/>
        <w:spacing w:after="0" w:line="255" w:lineRule="auto"/>
        <w:rPr>
          <w:sz w:val="20"/>
          <w:szCs w:val="20"/>
          <w:color w:val="auto"/>
        </w:rPr>
      </w:pPr>
      <w:r>
        <w:rPr>
          <w:rFonts w:ascii="Arial" w:cs="Arial" w:eastAsia="Arial" w:hAnsi="Arial"/>
          <w:sz w:val="15"/>
          <w:szCs w:val="15"/>
          <w:color w:val="auto"/>
        </w:rPr>
        <w:t>Deferred revenue is recorded primarily for our home warranty contracts. Revenues from home warranty products are recognized over the life of the policy, which is primarily one year. The unrecognized portion is recorded as deferred revenue in accounts payable and other accrued liabilities in the unaudited Condensed Consolidated Balance Sheets. During the three and nine months ended September 30, 2021, we recognized $56</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1" w:name="page52"/>
    <w:bookmarkEnd w:id="5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auto"/>
        </w:rPr>
        <w:t>million and $87 million of revenue, respectively, which was included in deferred revenue at the beginning of the respective period.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K — Value of Business Acquired, Deferred Acquisition Costs and Deferred Sales Inducements</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 summary of the changes in the carrying amounts of our VOBA, DAC and DSI intangible assets are as follows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VOBA</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DAC</w:t>
            </w:r>
          </w:p>
        </w:tc>
        <w:tc>
          <w:tcPr>
            <w:tcW w:w="260" w:type="dxa"/>
            <w:vAlign w:val="bottom"/>
          </w:tcPr>
          <w:p>
            <w:pPr>
              <w:spacing w:after="0"/>
              <w:rPr>
                <w:sz w:val="13"/>
                <w:szCs w:val="13"/>
                <w:color w:val="auto"/>
              </w:rPr>
            </w:pPr>
          </w:p>
        </w:tc>
        <w:tc>
          <w:tcPr>
            <w:tcW w:w="900" w:type="dxa"/>
            <w:vAlign w:val="bottom"/>
            <w:gridSpan w:val="2"/>
          </w:tcPr>
          <w:p>
            <w:pPr>
              <w:ind w:left="160"/>
              <w:spacing w:after="0"/>
              <w:rPr>
                <w:sz w:val="20"/>
                <w:szCs w:val="20"/>
                <w:color w:val="auto"/>
              </w:rPr>
            </w:pPr>
            <w:r>
              <w:rPr>
                <w:rFonts w:ascii="Arial" w:cs="Arial" w:eastAsia="Arial" w:hAnsi="Arial"/>
                <w:sz w:val="12"/>
                <w:szCs w:val="12"/>
                <w:b w:val="1"/>
                <w:bCs w:val="1"/>
                <w:color w:val="auto"/>
              </w:rPr>
              <w:t>DSI</w:t>
            </w:r>
          </w:p>
        </w:tc>
        <w:tc>
          <w:tcPr>
            <w:tcW w:w="240" w:type="dxa"/>
            <w:vAlign w:val="bottom"/>
          </w:tcPr>
          <w:p>
            <w:pPr>
              <w:spacing w:after="0"/>
              <w:rPr>
                <w:sz w:val="13"/>
                <w:szCs w:val="13"/>
                <w:color w:val="auto"/>
              </w:rPr>
            </w:pPr>
          </w:p>
        </w:tc>
        <w:tc>
          <w:tcPr>
            <w:tcW w:w="880" w:type="dxa"/>
            <w:vAlign w:val="bottom"/>
          </w:tcPr>
          <w:p>
            <w:pPr>
              <w:jc w:val="right"/>
              <w:ind w:right="381"/>
              <w:spacing w:after="0"/>
              <w:rPr>
                <w:sz w:val="20"/>
                <w:szCs w:val="20"/>
                <w:color w:val="auto"/>
              </w:rPr>
            </w:pPr>
            <w:r>
              <w:rPr>
                <w:rFonts w:ascii="Arial" w:cs="Arial" w:eastAsia="Arial" w:hAnsi="Arial"/>
                <w:sz w:val="12"/>
                <w:szCs w:val="12"/>
                <w:b w:val="1"/>
                <w:bCs w:val="1"/>
                <w:color w:val="auto"/>
              </w:rPr>
              <w:t>Total</w:t>
            </w:r>
          </w:p>
        </w:tc>
      </w:tr>
      <w:tr>
        <w:trPr>
          <w:trHeight w:val="151"/>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2020</w:t>
            </w:r>
          </w:p>
        </w:tc>
        <w:tc>
          <w:tcPr>
            <w:tcW w:w="720" w:type="dxa"/>
            <w:vAlign w:val="bottom"/>
            <w:tcBorders>
              <w:top w:val="single" w:sz="8" w:color="auto"/>
            </w:tcBorders>
            <w:shd w:val="clear" w:color="auto" w:fill="CCEEFF"/>
          </w:tcPr>
          <w:p>
            <w:pPr>
              <w:jc w:val="right"/>
              <w:ind w:right="581"/>
              <w:spacing w:after="0"/>
              <w:rPr>
                <w:sz w:val="20"/>
                <w:szCs w:val="20"/>
                <w:color w:val="auto"/>
              </w:rPr>
            </w:pPr>
            <w:r>
              <w:rPr>
                <w:rFonts w:ascii="Arial" w:cs="Arial" w:eastAsia="Arial" w:hAnsi="Arial"/>
                <w:sz w:val="12"/>
                <w:szCs w:val="12"/>
                <w:color w:val="auto"/>
                <w:w w:val="8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6"/>
              </w:rPr>
              <w:t>1,466</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222</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1,724</w:t>
            </w:r>
          </w:p>
        </w:tc>
      </w:tr>
      <w:tr>
        <w:trPr>
          <w:trHeight w:val="152"/>
        </w:trPr>
        <w:tc>
          <w:tcPr>
            <w:tcW w:w="6680" w:type="dxa"/>
            <w:vAlign w:val="bottom"/>
          </w:tcPr>
          <w:p>
            <w:pPr>
              <w:ind w:left="20"/>
              <w:spacing w:after="0"/>
              <w:rPr>
                <w:sz w:val="20"/>
                <w:szCs w:val="20"/>
                <w:color w:val="auto"/>
              </w:rPr>
            </w:pPr>
            <w:r>
              <w:rPr>
                <w:rFonts w:ascii="Arial" w:cs="Arial" w:eastAsia="Arial" w:hAnsi="Arial"/>
                <w:sz w:val="12"/>
                <w:szCs w:val="12"/>
                <w:color w:val="auto"/>
              </w:rPr>
              <w:t>Deferrals</w:t>
            </w:r>
          </w:p>
        </w:tc>
        <w:tc>
          <w:tcPr>
            <w:tcW w:w="720" w:type="dxa"/>
            <w:vAlign w:val="bottom"/>
          </w:tcPr>
          <w:p>
            <w:pPr>
              <w:spacing w:after="0"/>
              <w:rPr>
                <w:sz w:val="13"/>
                <w:szCs w:val="13"/>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427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492</w:t>
            </w:r>
          </w:p>
        </w:tc>
      </w:tr>
      <w:tr>
        <w:trPr>
          <w:trHeight w:val="157"/>
        </w:trPr>
        <w:tc>
          <w:tcPr>
            <w:tcW w:w="6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Amortization</w:t>
            </w:r>
          </w:p>
        </w:tc>
        <w:tc>
          <w:tcPr>
            <w:tcW w:w="72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(376)</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(436)</w:t>
            </w:r>
          </w:p>
        </w:tc>
      </w:tr>
      <w:tr>
        <w:trPr>
          <w:trHeight w:val="152"/>
        </w:trPr>
        <w:tc>
          <w:tcPr>
            <w:tcW w:w="6680" w:type="dxa"/>
            <w:vAlign w:val="bottom"/>
          </w:tcPr>
          <w:p>
            <w:pPr>
              <w:ind w:left="20"/>
              <w:spacing w:after="0"/>
              <w:rPr>
                <w:sz w:val="20"/>
                <w:szCs w:val="20"/>
                <w:color w:val="auto"/>
              </w:rPr>
            </w:pPr>
            <w:r>
              <w:rPr>
                <w:rFonts w:ascii="Arial" w:cs="Arial" w:eastAsia="Arial" w:hAnsi="Arial"/>
                <w:sz w:val="12"/>
                <w:szCs w:val="12"/>
                <w:color w:val="auto"/>
              </w:rPr>
              <w:t>Interest</w:t>
            </w:r>
          </w:p>
        </w:tc>
        <w:tc>
          <w:tcPr>
            <w:tcW w:w="7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23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32</w:t>
            </w:r>
          </w:p>
        </w:tc>
      </w:tr>
      <w:tr>
        <w:trPr>
          <w:trHeight w:val="157"/>
        </w:trPr>
        <w:tc>
          <w:tcPr>
            <w:tcW w:w="6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Unlocking</w:t>
            </w:r>
          </w:p>
        </w:tc>
        <w:tc>
          <w:tcPr>
            <w:tcW w:w="72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52"/>
        </w:trPr>
        <w:tc>
          <w:tcPr>
            <w:tcW w:w="6680" w:type="dxa"/>
            <w:vAlign w:val="bottom"/>
          </w:tcPr>
          <w:p>
            <w:pPr>
              <w:ind w:left="20"/>
              <w:spacing w:after="0"/>
              <w:rPr>
                <w:sz w:val="20"/>
                <w:szCs w:val="20"/>
                <w:color w:val="auto"/>
              </w:rPr>
            </w:pPr>
            <w:r>
              <w:rPr>
                <w:rFonts w:ascii="Arial" w:cs="Arial" w:eastAsia="Arial" w:hAnsi="Arial"/>
                <w:sz w:val="12"/>
                <w:szCs w:val="12"/>
                <w:color w:val="auto"/>
              </w:rPr>
              <w:t>Adjustment for net unrealized investment losses (gains)</w:t>
            </w:r>
          </w:p>
        </w:tc>
        <w:tc>
          <w:tcPr>
            <w:tcW w:w="7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38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19</w:t>
            </w:r>
          </w:p>
        </w:tc>
      </w:tr>
      <w:tr>
        <w:trPr>
          <w:trHeight w:val="155"/>
        </w:trPr>
        <w:tc>
          <w:tcPr>
            <w:tcW w:w="6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Purchase price allocation adjustments</w:t>
            </w:r>
          </w:p>
        </w:tc>
        <w:tc>
          <w:tcPr>
            <w:tcW w:w="72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61</w:t>
            </w:r>
          </w:p>
        </w:tc>
      </w:tr>
      <w:tr>
        <w:trPr>
          <w:trHeight w:val="148"/>
        </w:trPr>
        <w:tc>
          <w:tcPr>
            <w:tcW w:w="6680" w:type="dxa"/>
            <w:vAlign w:val="bottom"/>
          </w:tcPr>
          <w:p>
            <w:pPr>
              <w:ind w:left="20"/>
              <w:spacing w:after="0"/>
              <w:rPr>
                <w:sz w:val="20"/>
                <w:szCs w:val="20"/>
                <w:color w:val="auto"/>
              </w:rPr>
            </w:pPr>
            <w:r>
              <w:rPr>
                <w:rFonts w:ascii="Arial" w:cs="Arial" w:eastAsia="Arial" w:hAnsi="Arial"/>
                <w:sz w:val="12"/>
                <w:szCs w:val="12"/>
                <w:b w:val="1"/>
                <w:bCs w:val="1"/>
                <w:color w:val="auto"/>
              </w:rPr>
              <w:t>Balance at September 30, 2021</w:t>
            </w:r>
          </w:p>
        </w:tc>
        <w:tc>
          <w:tcPr>
            <w:tcW w:w="72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12"/>
                <w:szCs w:val="12"/>
                <w:color w:val="auto"/>
                <w:w w:val="8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6"/>
              </w:rPr>
              <w:t>1,211</w:t>
            </w:r>
          </w:p>
        </w:tc>
        <w:tc>
          <w:tcPr>
            <w:tcW w:w="1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606</w:t>
            </w:r>
          </w:p>
        </w:tc>
        <w:tc>
          <w:tcPr>
            <w:tcW w:w="10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74</w:t>
            </w:r>
          </w:p>
        </w:tc>
        <w:tc>
          <w:tcPr>
            <w:tcW w:w="1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9"/>
                <w:szCs w:val="9"/>
                <w:color w:val="auto"/>
                <w:w w:val="78"/>
              </w:rPr>
              <w:t>$</w:t>
            </w:r>
          </w:p>
        </w:tc>
        <w:tc>
          <w:tcPr>
            <w:tcW w:w="8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1,891</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39"/>
        </w:trPr>
        <w:tc>
          <w:tcPr>
            <w:tcW w:w="66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VOBA</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29"/>
              <w:spacing w:after="0"/>
              <w:rPr>
                <w:sz w:val="20"/>
                <w:szCs w:val="20"/>
                <w:color w:val="auto"/>
              </w:rPr>
            </w:pPr>
            <w:r>
              <w:rPr>
                <w:rFonts w:ascii="Arial" w:cs="Arial" w:eastAsia="Arial" w:hAnsi="Arial"/>
                <w:sz w:val="12"/>
                <w:szCs w:val="12"/>
                <w:b w:val="1"/>
                <w:bCs w:val="1"/>
                <w:color w:val="auto"/>
              </w:rPr>
              <w:t>DAC</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2"/>
          </w:tcPr>
          <w:p>
            <w:pPr>
              <w:ind w:left="160"/>
              <w:spacing w:after="0"/>
              <w:rPr>
                <w:sz w:val="20"/>
                <w:szCs w:val="20"/>
                <w:color w:val="auto"/>
              </w:rPr>
            </w:pPr>
            <w:r>
              <w:rPr>
                <w:rFonts w:ascii="Arial" w:cs="Arial" w:eastAsia="Arial" w:hAnsi="Arial"/>
                <w:sz w:val="12"/>
                <w:szCs w:val="12"/>
                <w:b w:val="1"/>
                <w:bCs w:val="1"/>
                <w:color w:val="auto"/>
              </w:rPr>
              <w:t>DSI</w:t>
            </w:r>
          </w:p>
        </w:tc>
        <w:tc>
          <w:tcPr>
            <w:tcW w:w="240" w:type="dxa"/>
            <w:vAlign w:val="bottom"/>
          </w:tcPr>
          <w:p>
            <w:pPr>
              <w:spacing w:after="0"/>
              <w:rPr>
                <w:sz w:val="13"/>
                <w:szCs w:val="13"/>
                <w:color w:val="auto"/>
              </w:rPr>
            </w:pPr>
          </w:p>
        </w:tc>
        <w:tc>
          <w:tcPr>
            <w:tcW w:w="880" w:type="dxa"/>
            <w:vAlign w:val="bottom"/>
          </w:tcPr>
          <w:p>
            <w:pPr>
              <w:jc w:val="right"/>
              <w:ind w:right="381"/>
              <w:spacing w:after="0"/>
              <w:rPr>
                <w:sz w:val="20"/>
                <w:szCs w:val="20"/>
                <w:color w:val="auto"/>
              </w:rPr>
            </w:pPr>
            <w:r>
              <w:rPr>
                <w:rFonts w:ascii="Arial" w:cs="Arial" w:eastAsia="Arial" w:hAnsi="Arial"/>
                <w:sz w:val="12"/>
                <w:szCs w:val="12"/>
                <w:b w:val="1"/>
                <w:bCs w:val="1"/>
                <w:color w:val="auto"/>
              </w:rPr>
              <w:t>Total</w:t>
            </w:r>
          </w:p>
        </w:tc>
      </w:tr>
      <w:tr>
        <w:trPr>
          <w:trHeight w:val="147"/>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2019</w:t>
            </w:r>
          </w:p>
        </w:tc>
        <w:tc>
          <w:tcPr>
            <w:tcW w:w="720" w:type="dxa"/>
            <w:vAlign w:val="bottom"/>
            <w:tcBorders>
              <w:top w:val="single" w:sz="8" w:color="auto"/>
            </w:tcBorders>
            <w:shd w:val="clear" w:color="auto" w:fill="CCEEFF"/>
          </w:tcPr>
          <w:p>
            <w:pPr>
              <w:jc w:val="right"/>
              <w:ind w:right="581"/>
              <w:spacing w:after="0"/>
              <w:rPr>
                <w:sz w:val="20"/>
                <w:szCs w:val="20"/>
                <w:color w:val="auto"/>
              </w:rPr>
            </w:pPr>
            <w:r>
              <w:rPr>
                <w:rFonts w:ascii="Arial" w:cs="Arial" w:eastAsia="Arial" w:hAnsi="Arial"/>
                <w:sz w:val="12"/>
                <w:szCs w:val="12"/>
                <w:color w:val="auto"/>
                <w:w w:val="8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ind w:right="629"/>
              <w:spacing w:after="0"/>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52"/>
        </w:trPr>
        <w:tc>
          <w:tcPr>
            <w:tcW w:w="6680" w:type="dxa"/>
            <w:vAlign w:val="bottom"/>
          </w:tcPr>
          <w:p>
            <w:pPr>
              <w:ind w:left="20"/>
              <w:spacing w:after="0"/>
              <w:rPr>
                <w:sz w:val="20"/>
                <w:szCs w:val="20"/>
                <w:color w:val="auto"/>
              </w:rPr>
            </w:pPr>
            <w:r>
              <w:rPr>
                <w:rFonts w:ascii="Arial" w:cs="Arial" w:eastAsia="Arial" w:hAnsi="Arial"/>
                <w:sz w:val="12"/>
                <w:szCs w:val="12"/>
                <w:color w:val="auto"/>
              </w:rPr>
              <w:t>F&amp;G acquisition</w:t>
            </w:r>
          </w:p>
        </w:tc>
        <w:tc>
          <w:tcPr>
            <w:tcW w:w="7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w w:val="86"/>
              </w:rPr>
              <w:t>1,903</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90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1,903</w:t>
            </w:r>
          </w:p>
        </w:tc>
      </w:tr>
      <w:tr>
        <w:trPr>
          <w:trHeight w:val="157"/>
        </w:trPr>
        <w:tc>
          <w:tcPr>
            <w:tcW w:w="6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Deferrals</w:t>
            </w:r>
          </w:p>
        </w:tc>
        <w:tc>
          <w:tcPr>
            <w:tcW w:w="7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ind w:left="620"/>
              <w:spacing w:after="0"/>
              <w:rPr>
                <w:sz w:val="20"/>
                <w:szCs w:val="20"/>
                <w:color w:val="auto"/>
              </w:rPr>
            </w:pPr>
            <w:r>
              <w:rPr>
                <w:rFonts w:ascii="Arial" w:cs="Arial" w:eastAsia="Arial" w:hAnsi="Arial"/>
                <w:sz w:val="12"/>
                <w:szCs w:val="12"/>
                <w:color w:val="auto"/>
              </w:rPr>
              <w:t>25</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155</w:t>
            </w:r>
          </w:p>
        </w:tc>
      </w:tr>
      <w:tr>
        <w:trPr>
          <w:trHeight w:val="152"/>
        </w:trPr>
        <w:tc>
          <w:tcPr>
            <w:tcW w:w="6680" w:type="dxa"/>
            <w:vAlign w:val="bottom"/>
          </w:tcPr>
          <w:p>
            <w:pPr>
              <w:ind w:left="20"/>
              <w:spacing w:after="0"/>
              <w:rPr>
                <w:sz w:val="20"/>
                <w:szCs w:val="20"/>
                <w:color w:val="auto"/>
              </w:rPr>
            </w:pPr>
            <w:r>
              <w:rPr>
                <w:rFonts w:ascii="Arial" w:cs="Arial" w:eastAsia="Arial" w:hAnsi="Arial"/>
                <w:sz w:val="12"/>
                <w:szCs w:val="12"/>
                <w:color w:val="auto"/>
              </w:rPr>
              <w:t>Amortization</w:t>
            </w:r>
          </w:p>
        </w:tc>
        <w:tc>
          <w:tcPr>
            <w:tcW w:w="7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(56)</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ind w:left="620"/>
              <w:spacing w:after="0"/>
              <w:rPr>
                <w:sz w:val="20"/>
                <w:szCs w:val="20"/>
                <w:color w:val="auto"/>
              </w:rPr>
            </w:pPr>
            <w:r>
              <w:rPr>
                <w:rFonts w:ascii="Arial" w:cs="Arial" w:eastAsia="Arial" w:hAnsi="Arial"/>
                <w:sz w:val="12"/>
                <w:szCs w:val="12"/>
                <w:color w:val="auto"/>
                <w:w w:val="95"/>
              </w:rPr>
              <w:t>(2)</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(61)</w:t>
            </w:r>
          </w:p>
        </w:tc>
      </w:tr>
      <w:tr>
        <w:trPr>
          <w:trHeight w:val="157"/>
        </w:trPr>
        <w:tc>
          <w:tcPr>
            <w:tcW w:w="6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w:t>
            </w:r>
          </w:p>
        </w:tc>
        <w:tc>
          <w:tcPr>
            <w:tcW w:w="72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w:t>
            </w:r>
          </w:p>
        </w:tc>
      </w:tr>
      <w:tr>
        <w:trPr>
          <w:trHeight w:val="152"/>
        </w:trPr>
        <w:tc>
          <w:tcPr>
            <w:tcW w:w="6680" w:type="dxa"/>
            <w:vAlign w:val="bottom"/>
          </w:tcPr>
          <w:p>
            <w:pPr>
              <w:ind w:left="20"/>
              <w:spacing w:after="0"/>
              <w:rPr>
                <w:sz w:val="20"/>
                <w:szCs w:val="20"/>
                <w:color w:val="auto"/>
              </w:rPr>
            </w:pPr>
            <w:r>
              <w:rPr>
                <w:rFonts w:ascii="Arial" w:cs="Arial" w:eastAsia="Arial" w:hAnsi="Arial"/>
                <w:sz w:val="12"/>
                <w:szCs w:val="12"/>
                <w:color w:val="auto"/>
              </w:rPr>
              <w:t>Unlocking</w:t>
            </w:r>
          </w:p>
        </w:tc>
        <w:tc>
          <w:tcPr>
            <w:tcW w:w="7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90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55"/>
        </w:trPr>
        <w:tc>
          <w:tcPr>
            <w:tcW w:w="6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Adjustment for net unrealized investment (gains) losses</w:t>
            </w:r>
          </w:p>
        </w:tc>
        <w:tc>
          <w:tcPr>
            <w:tcW w:w="72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(228)</w:t>
            </w:r>
          </w:p>
        </w:tc>
        <w:tc>
          <w:tcPr>
            <w:tcW w:w="12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2"/>
                <w:szCs w:val="12"/>
                <w:color w:val="auto"/>
                <w:w w:val="95"/>
              </w:rPr>
              <w:t>(4)</w:t>
            </w:r>
          </w:p>
        </w:tc>
        <w:tc>
          <w:tcPr>
            <w:tcW w:w="1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(247)</w:t>
            </w:r>
          </w:p>
        </w:tc>
      </w:tr>
      <w:tr>
        <w:trPr>
          <w:trHeight w:val="148"/>
        </w:trPr>
        <w:tc>
          <w:tcPr>
            <w:tcW w:w="6680" w:type="dxa"/>
            <w:vAlign w:val="bottom"/>
          </w:tcPr>
          <w:p>
            <w:pPr>
              <w:ind w:left="20"/>
              <w:spacing w:after="0"/>
              <w:rPr>
                <w:sz w:val="20"/>
                <w:szCs w:val="20"/>
                <w:color w:val="auto"/>
              </w:rPr>
            </w:pPr>
            <w:r>
              <w:rPr>
                <w:rFonts w:ascii="Arial" w:cs="Arial" w:eastAsia="Arial" w:hAnsi="Arial"/>
                <w:sz w:val="12"/>
                <w:szCs w:val="12"/>
                <w:b w:val="1"/>
                <w:bCs w:val="1"/>
                <w:color w:val="auto"/>
              </w:rPr>
              <w:t>Balance at September 30, 2020</w:t>
            </w:r>
          </w:p>
        </w:tc>
        <w:tc>
          <w:tcPr>
            <w:tcW w:w="720" w:type="dxa"/>
            <w:vAlign w:val="bottom"/>
            <w:tcBorders>
              <w:bottom w:val="single" w:sz="8" w:color="auto"/>
            </w:tcBorders>
          </w:tcPr>
          <w:p>
            <w:pPr>
              <w:jc w:val="right"/>
              <w:ind w:right="581"/>
              <w:spacing w:after="0"/>
              <w:rPr>
                <w:sz w:val="20"/>
                <w:szCs w:val="20"/>
                <w:color w:val="auto"/>
              </w:rPr>
            </w:pPr>
            <w:r>
              <w:rPr>
                <w:rFonts w:ascii="Arial" w:cs="Arial" w:eastAsia="Arial" w:hAnsi="Arial"/>
                <w:sz w:val="12"/>
                <w:szCs w:val="12"/>
                <w:color w:val="auto"/>
                <w:w w:val="8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6"/>
              </w:rPr>
              <w:t>1,630</w:t>
            </w:r>
          </w:p>
        </w:tc>
        <w:tc>
          <w:tcPr>
            <w:tcW w:w="120" w:type="dxa"/>
            <w:vAlign w:val="bottom"/>
          </w:tcPr>
          <w:p>
            <w:pPr>
              <w:spacing w:after="0"/>
              <w:rPr>
                <w:sz w:val="12"/>
                <w:szCs w:val="12"/>
                <w:color w:val="auto"/>
              </w:rPr>
            </w:pPr>
          </w:p>
        </w:tc>
        <w:tc>
          <w:tcPr>
            <w:tcW w:w="740" w:type="dxa"/>
            <w:vAlign w:val="bottom"/>
            <w:tcBorders>
              <w:bottom w:val="single" w:sz="8" w:color="auto"/>
            </w:tcBorders>
          </w:tcPr>
          <w:p>
            <w:pPr>
              <w:jc w:val="right"/>
              <w:ind w:right="629"/>
              <w:spacing w:after="0"/>
              <w:rPr>
                <w:sz w:val="20"/>
                <w:szCs w:val="20"/>
                <w:color w:val="auto"/>
              </w:rPr>
            </w:pPr>
            <w:r>
              <w:rPr>
                <w:rFonts w:ascii="Arial" w:cs="Arial" w:eastAsia="Arial" w:hAnsi="Arial"/>
                <w:sz w:val="9"/>
                <w:szCs w:val="9"/>
                <w:color w:val="auto"/>
                <w:w w:val="78"/>
              </w:rPr>
              <w:t>$</w:t>
            </w:r>
          </w:p>
        </w:tc>
        <w:tc>
          <w:tcPr>
            <w:tcW w:w="3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113</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21"/>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tcPr>
          <w:p>
            <w:pPr>
              <w:ind w:left="620"/>
              <w:spacing w:after="0"/>
              <w:rPr>
                <w:sz w:val="20"/>
                <w:szCs w:val="20"/>
                <w:color w:val="auto"/>
              </w:rPr>
            </w:pPr>
            <w:r>
              <w:rPr>
                <w:rFonts w:ascii="Arial" w:cs="Arial" w:eastAsia="Arial" w:hAnsi="Arial"/>
                <w:sz w:val="12"/>
                <w:szCs w:val="12"/>
                <w:color w:val="auto"/>
              </w:rPr>
              <w:t>19</w:t>
            </w:r>
          </w:p>
        </w:tc>
        <w:tc>
          <w:tcPr>
            <w:tcW w:w="120" w:type="dxa"/>
            <w:vAlign w:val="bottom"/>
          </w:tcPr>
          <w:p>
            <w:pPr>
              <w:spacing w:after="0"/>
              <w:rPr>
                <w:sz w:val="12"/>
                <w:szCs w:val="12"/>
                <w:color w:val="auto"/>
              </w:rPr>
            </w:pPr>
          </w:p>
        </w:tc>
        <w:tc>
          <w:tcPr>
            <w:tcW w:w="240" w:type="dxa"/>
            <w:vAlign w:val="bottom"/>
            <w:tcBorders>
              <w:bottom w:val="single" w:sz="8" w:color="auto"/>
            </w:tcBorders>
          </w:tcPr>
          <w:p>
            <w:pPr>
              <w:jc w:val="right"/>
              <w:ind w:right="133"/>
              <w:spacing w:after="0"/>
              <w:rPr>
                <w:sz w:val="20"/>
                <w:szCs w:val="20"/>
                <w:color w:val="auto"/>
              </w:rPr>
            </w:pPr>
            <w:r>
              <w:rPr>
                <w:rFonts w:ascii="Arial" w:cs="Arial" w:eastAsia="Arial" w:hAnsi="Arial"/>
                <w:sz w:val="9"/>
                <w:szCs w:val="9"/>
                <w:color w:val="auto"/>
                <w:w w:val="78"/>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1,762</w:t>
            </w:r>
          </w:p>
        </w:tc>
      </w:tr>
      <w:tr>
        <w:trPr>
          <w:trHeight w:val="20"/>
        </w:trPr>
        <w:tc>
          <w:tcPr>
            <w:tcW w:w="66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both"/>
        <w:ind w:firstLine="331"/>
        <w:spacing w:after="0" w:line="230" w:lineRule="auto"/>
        <w:rPr>
          <w:sz w:val="20"/>
          <w:szCs w:val="20"/>
          <w:color w:val="auto"/>
        </w:rPr>
      </w:pPr>
      <w:r>
        <w:rPr>
          <w:rFonts w:ascii="Arial" w:cs="Arial" w:eastAsia="Arial" w:hAnsi="Arial"/>
          <w:sz w:val="15"/>
          <w:szCs w:val="15"/>
          <w:color w:val="auto"/>
        </w:rPr>
        <w:t>Annually, typically in the third quarter, we review assumptions associated with the amortization of intangibles. In addition, during the three months ended September 30, 2021, we implemented a new actuarial valuations system and as a result, our third quarter 2021 assumption updates include model refinements and assumption updates resulting from the implementation. The changes, taken together, increased amortization of intangibles by $136 million.</w:t>
      </w:r>
    </w:p>
    <w:p>
      <w:pPr>
        <w:spacing w:after="0" w:line="45" w:lineRule="exact"/>
        <w:rPr>
          <w:sz w:val="20"/>
          <w:szCs w:val="20"/>
          <w:color w:val="auto"/>
        </w:rPr>
      </w:pPr>
    </w:p>
    <w:p>
      <w:pPr>
        <w:jc w:val="both"/>
        <w:ind w:firstLine="331"/>
        <w:spacing w:after="0" w:line="271" w:lineRule="auto"/>
        <w:rPr>
          <w:sz w:val="20"/>
          <w:szCs w:val="20"/>
          <w:color w:val="auto"/>
        </w:rPr>
      </w:pPr>
      <w:r>
        <w:rPr>
          <w:rFonts w:ascii="Arial" w:cs="Arial" w:eastAsia="Arial" w:hAnsi="Arial"/>
          <w:sz w:val="14"/>
          <w:szCs w:val="14"/>
          <w:color w:val="auto"/>
        </w:rPr>
        <w:t>Amortization of VOBA, DAC, and DSI is based on the current and future expected gross margins or profits recognized, including investment gains and losses. The interest accrual rate utilized to calculate the accretion of interest on VOBA ranged from 0% to 4.71%. The adjustment for unrealized net investment losses (gains) represents the amount of VOBA, DAC, and DSI that would have been amortized if such unrealized gains and losses had been recognized. This is referred to as the “shadow adjustments” as the additional amortization is reflected in AOCI rather than the unaudited Condensed Consolidated Statements of Earnings. As of September 30, 2021 and September 30, 2020, the VOBA balances included cumulative adjustments for net unrealized investment gains of $245 million and $228 million, respectively, the DAC balances included cumulative adjustments for net unrealized investment gains of $44 million and $15 million, respectively, and the DSI balance included net unrealized investment gains of $6 million and $4 million,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2" w:name="page53"/>
    <w:bookmarkEnd w:id="5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640" w:type="dxa"/>
            <w:vAlign w:val="bottom"/>
          </w:tcPr>
          <w:p>
            <w:pPr>
              <w:ind w:left="340"/>
              <w:spacing w:after="0"/>
              <w:rPr>
                <w:sz w:val="20"/>
                <w:szCs w:val="20"/>
                <w:color w:val="auto"/>
              </w:rPr>
            </w:pPr>
            <w:r>
              <w:rPr>
                <w:rFonts w:ascii="Arial" w:cs="Arial" w:eastAsia="Arial" w:hAnsi="Arial"/>
                <w:sz w:val="15"/>
                <w:szCs w:val="15"/>
                <w:color w:val="auto"/>
                <w:w w:val="96"/>
              </w:rPr>
              <w:t>For the inforce liabilities as of September 30, 2021, the estimated amortization expense for VOBA in future fiscal periods is as follows (in millions):</w:t>
            </w: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10"/>
        </w:trPr>
        <w:tc>
          <w:tcPr>
            <w:tcW w:w="9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161"/>
              <w:spacing w:after="0"/>
              <w:rPr>
                <w:sz w:val="20"/>
                <w:szCs w:val="20"/>
                <w:color w:val="auto"/>
              </w:rPr>
            </w:pPr>
            <w:r>
              <w:rPr>
                <w:rFonts w:ascii="Arial" w:cs="Arial" w:eastAsia="Arial" w:hAnsi="Arial"/>
                <w:sz w:val="12"/>
                <w:szCs w:val="12"/>
                <w:b w:val="1"/>
                <w:bCs w:val="1"/>
                <w:color w:val="auto"/>
                <w:w w:val="93"/>
              </w:rPr>
              <w:t>Estimated Amortization</w:t>
            </w:r>
          </w:p>
        </w:tc>
      </w:tr>
      <w:tr>
        <w:trPr>
          <w:trHeight w:val="151"/>
        </w:trPr>
        <w:tc>
          <w:tcPr>
            <w:tcW w:w="96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541"/>
              <w:spacing w:after="0"/>
              <w:rPr>
                <w:sz w:val="20"/>
                <w:szCs w:val="20"/>
                <w:color w:val="auto"/>
              </w:rPr>
            </w:pPr>
            <w:r>
              <w:rPr>
                <w:rFonts w:ascii="Arial" w:cs="Arial" w:eastAsia="Arial" w:hAnsi="Arial"/>
                <w:sz w:val="12"/>
                <w:szCs w:val="12"/>
                <w:b w:val="1"/>
                <w:bCs w:val="1"/>
                <w:color w:val="auto"/>
              </w:rPr>
              <w:t>Expense</w:t>
            </w:r>
          </w:p>
        </w:tc>
      </w:tr>
      <w:tr>
        <w:trPr>
          <w:trHeight w:val="135"/>
        </w:trPr>
        <w:tc>
          <w:tcPr>
            <w:tcW w:w="96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Fiscal Year</w:t>
            </w:r>
          </w:p>
        </w:tc>
        <w:tc>
          <w:tcPr>
            <w:tcW w:w="140" w:type="dxa"/>
            <w:vAlign w:val="bottom"/>
          </w:tcPr>
          <w:p>
            <w:pPr>
              <w:spacing w:after="0"/>
              <w:rPr>
                <w:sz w:val="11"/>
                <w:szCs w:val="11"/>
                <w:color w:val="auto"/>
              </w:rPr>
            </w:pPr>
          </w:p>
        </w:tc>
        <w:tc>
          <w:tcPr>
            <w:tcW w:w="1500" w:type="dxa"/>
            <w:vAlign w:val="bottom"/>
          </w:tcPr>
          <w:p>
            <w:pPr>
              <w:spacing w:after="0"/>
              <w:rPr>
                <w:sz w:val="11"/>
                <w:szCs w:val="11"/>
                <w:color w:val="auto"/>
              </w:rPr>
            </w:pPr>
          </w:p>
        </w:tc>
      </w:tr>
      <w:tr>
        <w:trPr>
          <w:trHeight w:val="158"/>
        </w:trPr>
        <w:tc>
          <w:tcPr>
            <w:tcW w:w="9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2021</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r>
      <w:tr>
        <w:trPr>
          <w:trHeight w:val="152"/>
        </w:trPr>
        <w:tc>
          <w:tcPr>
            <w:tcW w:w="9640" w:type="dxa"/>
            <w:vAlign w:val="bottom"/>
          </w:tcPr>
          <w:p>
            <w:pPr>
              <w:ind w:left="20"/>
              <w:spacing w:after="0"/>
              <w:rPr>
                <w:sz w:val="20"/>
                <w:szCs w:val="20"/>
                <w:color w:val="auto"/>
              </w:rPr>
            </w:pPr>
            <w:r>
              <w:rPr>
                <w:rFonts w:ascii="Arial" w:cs="Arial" w:eastAsia="Arial" w:hAnsi="Arial"/>
                <w:sz w:val="12"/>
                <w:szCs w:val="12"/>
                <w:color w:val="auto"/>
              </w:rPr>
              <w:t>2022</w:t>
            </w:r>
          </w:p>
        </w:tc>
        <w:tc>
          <w:tcPr>
            <w:tcW w:w="140" w:type="dxa"/>
            <w:vAlign w:val="bottom"/>
          </w:tcPr>
          <w:p>
            <w:pPr>
              <w:spacing w:after="0"/>
              <w:rPr>
                <w:sz w:val="13"/>
                <w:szCs w:val="13"/>
                <w:color w:val="auto"/>
              </w:rPr>
            </w:pPr>
          </w:p>
        </w:tc>
        <w:tc>
          <w:tcPr>
            <w:tcW w:w="1500" w:type="dxa"/>
            <w:vAlign w:val="bottom"/>
          </w:tcPr>
          <w:p>
            <w:pPr>
              <w:jc w:val="right"/>
              <w:ind w:right="1"/>
              <w:spacing w:after="0"/>
              <w:rPr>
                <w:sz w:val="20"/>
                <w:szCs w:val="20"/>
                <w:color w:val="auto"/>
              </w:rPr>
            </w:pPr>
            <w:r>
              <w:rPr>
                <w:rFonts w:ascii="Arial" w:cs="Arial" w:eastAsia="Arial" w:hAnsi="Arial"/>
                <w:sz w:val="12"/>
                <w:szCs w:val="12"/>
                <w:color w:val="auto"/>
              </w:rPr>
              <w:t>40</w:t>
            </w:r>
          </w:p>
        </w:tc>
      </w:tr>
      <w:tr>
        <w:trPr>
          <w:trHeight w:val="157"/>
        </w:trPr>
        <w:tc>
          <w:tcPr>
            <w:tcW w:w="9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2023</w:t>
            </w: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165</w:t>
            </w:r>
          </w:p>
        </w:tc>
      </w:tr>
      <w:tr>
        <w:trPr>
          <w:trHeight w:val="152"/>
        </w:trPr>
        <w:tc>
          <w:tcPr>
            <w:tcW w:w="9640" w:type="dxa"/>
            <w:vAlign w:val="bottom"/>
          </w:tcPr>
          <w:p>
            <w:pPr>
              <w:ind w:left="20"/>
              <w:spacing w:after="0"/>
              <w:rPr>
                <w:sz w:val="20"/>
                <w:szCs w:val="20"/>
                <w:color w:val="auto"/>
              </w:rPr>
            </w:pPr>
            <w:r>
              <w:rPr>
                <w:rFonts w:ascii="Arial" w:cs="Arial" w:eastAsia="Arial" w:hAnsi="Arial"/>
                <w:sz w:val="12"/>
                <w:szCs w:val="12"/>
                <w:color w:val="auto"/>
              </w:rPr>
              <w:t>2024</w:t>
            </w:r>
          </w:p>
        </w:tc>
        <w:tc>
          <w:tcPr>
            <w:tcW w:w="140" w:type="dxa"/>
            <w:vAlign w:val="bottom"/>
          </w:tcPr>
          <w:p>
            <w:pPr>
              <w:spacing w:after="0"/>
              <w:rPr>
                <w:sz w:val="13"/>
                <w:szCs w:val="13"/>
                <w:color w:val="auto"/>
              </w:rPr>
            </w:pPr>
          </w:p>
        </w:tc>
        <w:tc>
          <w:tcPr>
            <w:tcW w:w="1500" w:type="dxa"/>
            <w:vAlign w:val="bottom"/>
          </w:tcPr>
          <w:p>
            <w:pPr>
              <w:jc w:val="right"/>
              <w:ind w:right="1"/>
              <w:spacing w:after="0"/>
              <w:rPr>
                <w:sz w:val="20"/>
                <w:szCs w:val="20"/>
                <w:color w:val="auto"/>
              </w:rPr>
            </w:pPr>
            <w:r>
              <w:rPr>
                <w:rFonts w:ascii="Arial" w:cs="Arial" w:eastAsia="Arial" w:hAnsi="Arial"/>
                <w:sz w:val="12"/>
                <w:szCs w:val="12"/>
                <w:color w:val="auto"/>
              </w:rPr>
              <w:t>159</w:t>
            </w:r>
          </w:p>
        </w:tc>
      </w:tr>
      <w:tr>
        <w:trPr>
          <w:trHeight w:val="157"/>
        </w:trPr>
        <w:tc>
          <w:tcPr>
            <w:tcW w:w="9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2025</w:t>
            </w: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153</w:t>
            </w:r>
          </w:p>
        </w:tc>
      </w:tr>
      <w:tr>
        <w:trPr>
          <w:trHeight w:val="149"/>
        </w:trPr>
        <w:tc>
          <w:tcPr>
            <w:tcW w:w="9640" w:type="dxa"/>
            <w:vAlign w:val="bottom"/>
          </w:tcPr>
          <w:p>
            <w:pPr>
              <w:ind w:left="20"/>
              <w:spacing w:after="0"/>
              <w:rPr>
                <w:sz w:val="20"/>
                <w:szCs w:val="20"/>
                <w:color w:val="auto"/>
              </w:rPr>
            </w:pPr>
            <w:r>
              <w:rPr>
                <w:rFonts w:ascii="Arial" w:cs="Arial" w:eastAsia="Arial" w:hAnsi="Arial"/>
                <w:sz w:val="12"/>
                <w:szCs w:val="12"/>
                <w:color w:val="auto"/>
              </w:rPr>
              <w:t>Thereafter</w:t>
            </w:r>
          </w:p>
        </w:tc>
        <w:tc>
          <w:tcPr>
            <w:tcW w:w="140" w:type="dxa"/>
            <w:vAlign w:val="bottom"/>
          </w:tcPr>
          <w:p>
            <w:pPr>
              <w:spacing w:after="0"/>
              <w:rPr>
                <w:sz w:val="12"/>
                <w:szCs w:val="12"/>
                <w:color w:val="auto"/>
              </w:rPr>
            </w:pPr>
          </w:p>
        </w:tc>
        <w:tc>
          <w:tcPr>
            <w:tcW w:w="1500" w:type="dxa"/>
            <w:vAlign w:val="bottom"/>
          </w:tcPr>
          <w:p>
            <w:pPr>
              <w:jc w:val="right"/>
              <w:ind w:right="1"/>
              <w:spacing w:after="0"/>
              <w:rPr>
                <w:sz w:val="20"/>
                <w:szCs w:val="20"/>
                <w:color w:val="auto"/>
              </w:rPr>
            </w:pPr>
            <w:r>
              <w:rPr>
                <w:rFonts w:ascii="Arial" w:cs="Arial" w:eastAsia="Arial" w:hAnsi="Arial"/>
                <w:sz w:val="12"/>
                <w:szCs w:val="12"/>
                <w:color w:val="auto"/>
              </w:rPr>
              <w:t>956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3" w:name="page54"/>
    <w:bookmarkEnd w:id="53"/>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53"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Note L — F&amp;G Reinsurance</w:t>
      </w:r>
    </w:p>
    <w:p>
      <w:pPr>
        <w:spacing w:after="0" w:line="9" w:lineRule="exact"/>
        <w:rPr>
          <w:sz w:val="20"/>
          <w:szCs w:val="20"/>
          <w:color w:val="auto"/>
        </w:rPr>
      </w:pPr>
    </w:p>
    <w:p>
      <w:pPr>
        <w:ind w:right="120" w:firstLine="265"/>
        <w:spacing w:after="0" w:line="236" w:lineRule="auto"/>
        <w:rPr>
          <w:sz w:val="20"/>
          <w:szCs w:val="20"/>
          <w:color w:val="auto"/>
        </w:rPr>
      </w:pPr>
      <w:r>
        <w:rPr>
          <w:rFonts w:ascii="Arial" w:cs="Arial" w:eastAsia="Arial" w:hAnsi="Arial"/>
          <w:sz w:val="14"/>
          <w:szCs w:val="14"/>
          <w:color w:val="auto"/>
        </w:rPr>
        <w:t>F&amp;G reinsures portions of its policy risks with other insurance companies. The use of indemnity reinsurance does not discharge an insurer from liability on the insurance ceded. The insurer is required to pay in full the amount of its insurance liability regardless of whether it is entitled to or able to receive payment from the reinsurer. The portion of risks exceeding F&amp;G's retention limit is reinsured. F&amp;G primarily seeks reinsurance coverage in order to limit its exposure to mortality losses and enhance capital management. If the underlying policy being reinsured is an insurance contract, F&amp;G follows reinsurance accounting when there is adequate risk transfer or deposit accounting if there is inadequate risk transfer. If the underlying policy being reinsured is an investment contract, the effects of the agreement are accounted for as a separate investment contract.</w:t>
      </w:r>
    </w:p>
    <w:p>
      <w:pPr>
        <w:spacing w:after="0" w:line="24" w:lineRule="exact"/>
        <w:rPr>
          <w:sz w:val="20"/>
          <w:szCs w:val="20"/>
          <w:color w:val="auto"/>
        </w:rPr>
      </w:pPr>
    </w:p>
    <w:p>
      <w:pPr>
        <w:jc w:val="both"/>
        <w:ind w:firstLine="331"/>
        <w:spacing w:after="0" w:line="266" w:lineRule="auto"/>
        <w:rPr>
          <w:sz w:val="20"/>
          <w:szCs w:val="20"/>
          <w:color w:val="auto"/>
        </w:rPr>
      </w:pPr>
      <w:r>
        <w:rPr>
          <w:rFonts w:ascii="Arial" w:cs="Arial" w:eastAsia="Arial" w:hAnsi="Arial"/>
          <w:sz w:val="15"/>
          <w:szCs w:val="15"/>
          <w:color w:val="auto"/>
        </w:rPr>
        <w:t>The effect of reinsurance on net premiums earned and net benefits incurred (benefits paid and reserve changes) for the three and nine months ended September 30, 2021 and the three and four months ended September 30, 2020 (following our June 1, 2020 acquisition of F&amp;G) were as follows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5"/>
          </w:tcPr>
          <w:p>
            <w:pPr>
              <w:ind w:left="420"/>
              <w:spacing w:after="0"/>
              <w:rPr>
                <w:sz w:val="20"/>
                <w:szCs w:val="20"/>
                <w:color w:val="auto"/>
              </w:rPr>
            </w:pPr>
            <w:r>
              <w:rPr>
                <w:rFonts w:ascii="Arial" w:cs="Arial" w:eastAsia="Arial" w:hAnsi="Arial"/>
                <w:sz w:val="12"/>
                <w:szCs w:val="12"/>
                <w:b w:val="1"/>
                <w:bCs w:val="1"/>
                <w:color w:val="auto"/>
              </w:rPr>
              <w:t>Three months ended</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5"/>
          </w:tcPr>
          <w:p>
            <w:pPr>
              <w:ind w:left="480"/>
              <w:spacing w:after="0"/>
              <w:rPr>
                <w:sz w:val="20"/>
                <w:szCs w:val="20"/>
                <w:color w:val="auto"/>
              </w:rPr>
            </w:pPr>
            <w:r>
              <w:rPr>
                <w:rFonts w:ascii="Arial" w:cs="Arial" w:eastAsia="Arial" w:hAnsi="Arial"/>
                <w:sz w:val="12"/>
                <w:szCs w:val="12"/>
                <w:b w:val="1"/>
                <w:bCs w:val="1"/>
                <w:color w:val="auto"/>
              </w:rPr>
              <w:t>Nine months ended</w:t>
            </w:r>
          </w:p>
        </w:tc>
        <w:tc>
          <w:tcPr>
            <w:tcW w:w="120" w:type="dxa"/>
            <w:vAlign w:val="bottom"/>
          </w:tcPr>
          <w:p>
            <w:pPr>
              <w:spacing w:after="0"/>
              <w:rPr>
                <w:sz w:val="13"/>
                <w:szCs w:val="13"/>
                <w:color w:val="auto"/>
              </w:rPr>
            </w:pPr>
          </w:p>
        </w:tc>
        <w:tc>
          <w:tcPr>
            <w:tcW w:w="2120" w:type="dxa"/>
            <w:vAlign w:val="bottom"/>
            <w:gridSpan w:val="5"/>
          </w:tcPr>
          <w:p>
            <w:pPr>
              <w:ind w:left="480"/>
              <w:spacing w:after="0"/>
              <w:rPr>
                <w:sz w:val="20"/>
                <w:szCs w:val="20"/>
                <w:color w:val="auto"/>
              </w:rPr>
            </w:pPr>
            <w:r>
              <w:rPr>
                <w:rFonts w:ascii="Arial" w:cs="Arial" w:eastAsia="Arial" w:hAnsi="Arial"/>
                <w:sz w:val="12"/>
                <w:szCs w:val="12"/>
                <w:b w:val="1"/>
                <w:bCs w:val="1"/>
                <w:color w:val="auto"/>
              </w:rPr>
              <w:t>Four months ended</w:t>
            </w:r>
          </w:p>
        </w:tc>
      </w:tr>
      <w:tr>
        <w:trPr>
          <w:trHeight w:val="149"/>
        </w:trPr>
        <w:tc>
          <w:tcPr>
            <w:tcW w:w="2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gridSpan w:val="5"/>
          </w:tcPr>
          <w:p>
            <w:pPr>
              <w:ind w:left="460"/>
              <w:spacing w:after="0"/>
              <w:rPr>
                <w:sz w:val="20"/>
                <w:szCs w:val="20"/>
                <w:color w:val="auto"/>
              </w:rPr>
            </w:pPr>
            <w:r>
              <w:rPr>
                <w:rFonts w:ascii="Arial" w:cs="Arial" w:eastAsia="Arial" w:hAnsi="Arial"/>
                <w:sz w:val="12"/>
                <w:szCs w:val="12"/>
                <w:b w:val="1"/>
                <w:bCs w:val="1"/>
                <w:color w:val="auto"/>
              </w:rPr>
              <w:t>September 30, 2021</w:t>
            </w:r>
          </w:p>
        </w:tc>
        <w:tc>
          <w:tcPr>
            <w:tcW w:w="12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4"/>
          </w:tcPr>
          <w:p>
            <w:pPr>
              <w:ind w:left="480"/>
              <w:spacing w:after="0"/>
              <w:rPr>
                <w:sz w:val="20"/>
                <w:szCs w:val="20"/>
                <w:color w:val="auto"/>
              </w:rPr>
            </w:pPr>
            <w:r>
              <w:rPr>
                <w:rFonts w:ascii="Arial" w:cs="Arial" w:eastAsia="Arial" w:hAnsi="Arial"/>
                <w:sz w:val="12"/>
                <w:szCs w:val="12"/>
                <w:b w:val="1"/>
                <w:bCs w:val="1"/>
                <w:color w:val="auto"/>
              </w:rPr>
              <w:t>September 30, 2020</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4"/>
          </w:tcPr>
          <w:p>
            <w:pPr>
              <w:jc w:val="right"/>
              <w:ind w:right="522"/>
              <w:spacing w:after="0"/>
              <w:rPr>
                <w:sz w:val="20"/>
                <w:szCs w:val="20"/>
                <w:color w:val="auto"/>
              </w:rPr>
            </w:pPr>
            <w:r>
              <w:rPr>
                <w:rFonts w:ascii="Arial" w:cs="Arial" w:eastAsia="Arial" w:hAnsi="Arial"/>
                <w:sz w:val="12"/>
                <w:szCs w:val="12"/>
                <w:b w:val="1"/>
                <w:bCs w:val="1"/>
                <w:color w:val="auto"/>
              </w:rPr>
              <w:t>September 30, 2021</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4"/>
          </w:tcPr>
          <w:p>
            <w:pPr>
              <w:ind w:left="460"/>
              <w:spacing w:after="0"/>
              <w:rPr>
                <w:sz w:val="20"/>
                <w:szCs w:val="20"/>
                <w:color w:val="auto"/>
              </w:rPr>
            </w:pPr>
            <w:r>
              <w:rPr>
                <w:rFonts w:ascii="Arial" w:cs="Arial" w:eastAsia="Arial" w:hAnsi="Arial"/>
                <w:sz w:val="12"/>
                <w:szCs w:val="12"/>
                <w:b w:val="1"/>
                <w:bCs w:val="1"/>
                <w:color w:val="auto"/>
              </w:rPr>
              <w:t>September 30, 2020</w:t>
            </w:r>
          </w:p>
        </w:tc>
        <w:tc>
          <w:tcPr>
            <w:tcW w:w="80" w:type="dxa"/>
            <w:vAlign w:val="bottom"/>
          </w:tcPr>
          <w:p>
            <w:pPr>
              <w:spacing w:after="0"/>
              <w:rPr>
                <w:sz w:val="12"/>
                <w:szCs w:val="12"/>
                <w:color w:val="auto"/>
              </w:rPr>
            </w:pPr>
          </w:p>
        </w:tc>
      </w:tr>
      <w:tr>
        <w:trPr>
          <w:trHeight w:val="103"/>
        </w:trPr>
        <w:tc>
          <w:tcPr>
            <w:tcW w:w="23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gridSpan w:val="2"/>
          </w:tcPr>
          <w:p>
            <w:pPr>
              <w:jc w:val="center"/>
              <w:ind w:right="240"/>
              <w:spacing w:after="0" w:line="103" w:lineRule="exact"/>
              <w:rPr>
                <w:sz w:val="20"/>
                <w:szCs w:val="20"/>
                <w:color w:val="auto"/>
              </w:rPr>
            </w:pPr>
            <w:r>
              <w:rPr>
                <w:rFonts w:ascii="Arial" w:cs="Arial" w:eastAsia="Arial" w:hAnsi="Arial"/>
                <w:sz w:val="11"/>
                <w:szCs w:val="11"/>
                <w:b w:val="1"/>
                <w:bCs w:val="1"/>
                <w:color w:val="auto"/>
                <w:w w:val="97"/>
              </w:rPr>
              <w:t>Net Premiums</w:t>
            </w: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jc w:val="center"/>
              <w:ind w:right="82"/>
              <w:spacing w:after="0" w:line="103" w:lineRule="exact"/>
              <w:rPr>
                <w:sz w:val="20"/>
                <w:szCs w:val="20"/>
                <w:color w:val="auto"/>
              </w:rPr>
            </w:pPr>
            <w:r>
              <w:rPr>
                <w:rFonts w:ascii="Arial" w:cs="Arial" w:eastAsia="Arial" w:hAnsi="Arial"/>
                <w:sz w:val="11"/>
                <w:szCs w:val="11"/>
                <w:b w:val="1"/>
                <w:bCs w:val="1"/>
                <w:color w:val="auto"/>
                <w:w w:val="93"/>
              </w:rPr>
              <w:t>Net Benefits</w:t>
            </w: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gridSpan w:val="2"/>
          </w:tcPr>
          <w:p>
            <w:pPr>
              <w:jc w:val="center"/>
              <w:ind w:right="180"/>
              <w:spacing w:after="0" w:line="103" w:lineRule="exact"/>
              <w:rPr>
                <w:sz w:val="20"/>
                <w:szCs w:val="20"/>
                <w:color w:val="auto"/>
              </w:rPr>
            </w:pPr>
            <w:r>
              <w:rPr>
                <w:rFonts w:ascii="Arial" w:cs="Arial" w:eastAsia="Arial" w:hAnsi="Arial"/>
                <w:sz w:val="11"/>
                <w:szCs w:val="11"/>
                <w:b w:val="1"/>
                <w:bCs w:val="1"/>
                <w:color w:val="auto"/>
                <w:w w:val="97"/>
              </w:rPr>
              <w:t>Net Premiums</w:t>
            </w:r>
          </w:p>
        </w:tc>
        <w:tc>
          <w:tcPr>
            <w:tcW w:w="1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center"/>
              <w:ind w:right="62"/>
              <w:spacing w:after="0" w:line="103" w:lineRule="exact"/>
              <w:rPr>
                <w:sz w:val="20"/>
                <w:szCs w:val="20"/>
                <w:color w:val="auto"/>
              </w:rPr>
            </w:pPr>
            <w:r>
              <w:rPr>
                <w:rFonts w:ascii="Arial" w:cs="Arial" w:eastAsia="Arial" w:hAnsi="Arial"/>
                <w:sz w:val="11"/>
                <w:szCs w:val="11"/>
                <w:b w:val="1"/>
                <w:bCs w:val="1"/>
                <w:color w:val="auto"/>
                <w:w w:val="93"/>
              </w:rPr>
              <w:t>Net Benefits</w:t>
            </w: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gridSpan w:val="2"/>
          </w:tcPr>
          <w:p>
            <w:pPr>
              <w:jc w:val="center"/>
              <w:ind w:right="220"/>
              <w:spacing w:after="0" w:line="103" w:lineRule="exact"/>
              <w:rPr>
                <w:sz w:val="20"/>
                <w:szCs w:val="20"/>
                <w:color w:val="auto"/>
              </w:rPr>
            </w:pPr>
            <w:r>
              <w:rPr>
                <w:rFonts w:ascii="Arial" w:cs="Arial" w:eastAsia="Arial" w:hAnsi="Arial"/>
                <w:sz w:val="11"/>
                <w:szCs w:val="11"/>
                <w:b w:val="1"/>
                <w:bCs w:val="1"/>
                <w:color w:val="auto"/>
                <w:w w:val="97"/>
              </w:rPr>
              <w:t>Net Premiums</w:t>
            </w:r>
          </w:p>
        </w:tc>
        <w:tc>
          <w:tcPr>
            <w:tcW w:w="1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center"/>
              <w:ind w:right="82"/>
              <w:spacing w:after="0" w:line="103" w:lineRule="exact"/>
              <w:rPr>
                <w:sz w:val="20"/>
                <w:szCs w:val="20"/>
                <w:color w:val="auto"/>
              </w:rPr>
            </w:pPr>
            <w:r>
              <w:rPr>
                <w:rFonts w:ascii="Arial" w:cs="Arial" w:eastAsia="Arial" w:hAnsi="Arial"/>
                <w:sz w:val="11"/>
                <w:szCs w:val="11"/>
                <w:b w:val="1"/>
                <w:bCs w:val="1"/>
                <w:color w:val="auto"/>
                <w:w w:val="96"/>
              </w:rPr>
              <w:t>Net Benefits</w:t>
            </w: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gridSpan w:val="2"/>
          </w:tcPr>
          <w:p>
            <w:pPr>
              <w:jc w:val="center"/>
              <w:ind w:right="200"/>
              <w:spacing w:after="0" w:line="103" w:lineRule="exact"/>
              <w:rPr>
                <w:sz w:val="20"/>
                <w:szCs w:val="20"/>
                <w:color w:val="auto"/>
              </w:rPr>
            </w:pPr>
            <w:r>
              <w:rPr>
                <w:rFonts w:ascii="Arial" w:cs="Arial" w:eastAsia="Arial" w:hAnsi="Arial"/>
                <w:sz w:val="11"/>
                <w:szCs w:val="11"/>
                <w:b w:val="1"/>
                <w:bCs w:val="1"/>
                <w:color w:val="auto"/>
                <w:w w:val="97"/>
              </w:rPr>
              <w:t>Net Premiums</w:t>
            </w:r>
          </w:p>
        </w:tc>
        <w:tc>
          <w:tcPr>
            <w:tcW w:w="14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jc w:val="center"/>
              <w:ind w:right="82"/>
              <w:spacing w:after="0" w:line="103" w:lineRule="exact"/>
              <w:rPr>
                <w:sz w:val="20"/>
                <w:szCs w:val="20"/>
                <w:color w:val="auto"/>
              </w:rPr>
            </w:pPr>
            <w:r>
              <w:rPr>
                <w:rFonts w:ascii="Arial" w:cs="Arial" w:eastAsia="Arial" w:hAnsi="Arial"/>
                <w:sz w:val="11"/>
                <w:szCs w:val="11"/>
                <w:b w:val="1"/>
                <w:bCs w:val="1"/>
                <w:color w:val="auto"/>
                <w:w w:val="93"/>
              </w:rPr>
              <w:t>Net Benefits</w:t>
            </w:r>
          </w:p>
        </w:tc>
        <w:tc>
          <w:tcPr>
            <w:tcW w:w="80" w:type="dxa"/>
            <w:vAlign w:val="bottom"/>
          </w:tcPr>
          <w:p>
            <w:pPr>
              <w:spacing w:after="0"/>
              <w:rPr>
                <w:sz w:val="8"/>
                <w:szCs w:val="8"/>
                <w:color w:val="auto"/>
              </w:rPr>
            </w:pPr>
          </w:p>
        </w:tc>
      </w:tr>
      <w:tr>
        <w:trPr>
          <w:trHeight w:val="153"/>
        </w:trPr>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Earned</w:t>
            </w:r>
          </w:p>
        </w:tc>
        <w:tc>
          <w:tcPr>
            <w:tcW w:w="12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Incurred</w:t>
            </w:r>
          </w:p>
        </w:tc>
        <w:tc>
          <w:tcPr>
            <w:tcW w:w="12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Earned</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Incurred</w:t>
            </w:r>
          </w:p>
        </w:tc>
        <w:tc>
          <w:tcPr>
            <w:tcW w:w="12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Earned</w:t>
            </w:r>
          </w:p>
        </w:tc>
        <w:tc>
          <w:tcPr>
            <w:tcW w:w="14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Incurred</w:t>
            </w:r>
          </w:p>
        </w:tc>
        <w:tc>
          <w:tcPr>
            <w:tcW w:w="12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Earned</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Incurred</w:t>
            </w:r>
          </w:p>
        </w:tc>
      </w:tr>
      <w:tr>
        <w:trPr>
          <w:trHeight w:val="147"/>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Direct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2"/>
                <w:szCs w:val="12"/>
                <w:color w:val="auto"/>
                <w:w w:val="99"/>
              </w:rPr>
              <w:t>412</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60" w:type="dxa"/>
            <w:vAlign w:val="bottom"/>
            <w:tcBorders>
              <w:top w:val="single" w:sz="8" w:color="auto"/>
            </w:tcBorders>
            <w:shd w:val="clear" w:color="auto" w:fill="CCEEFF"/>
          </w:tcPr>
          <w:p>
            <w:pPr>
              <w:jc w:val="center"/>
              <w:ind w:left="502"/>
              <w:spacing w:after="0"/>
              <w:rPr>
                <w:sz w:val="20"/>
                <w:szCs w:val="20"/>
                <w:color w:val="auto"/>
              </w:rPr>
            </w:pPr>
            <w:r>
              <w:rPr>
                <w:rFonts w:ascii="Arial" w:cs="Arial" w:eastAsia="Arial" w:hAnsi="Arial"/>
                <w:sz w:val="12"/>
                <w:szCs w:val="12"/>
                <w:color w:val="auto"/>
                <w:w w:val="89"/>
              </w:rPr>
              <w:t>461</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shd w:val="clear" w:color="auto" w:fill="CCEEFF"/>
          </w:tcPr>
          <w:p>
            <w:pPr>
              <w:jc w:val="center"/>
              <w:ind w:left="642"/>
              <w:spacing w:after="0"/>
              <w:rPr>
                <w:sz w:val="20"/>
                <w:szCs w:val="20"/>
                <w:color w:val="auto"/>
              </w:rPr>
            </w:pPr>
            <w:r>
              <w:rPr>
                <w:rFonts w:ascii="Arial" w:cs="Arial" w:eastAsia="Arial" w:hAnsi="Arial"/>
                <w:sz w:val="12"/>
                <w:szCs w:val="12"/>
                <w:color w:val="auto"/>
                <w:w w:val="89"/>
              </w:rPr>
              <w:t>48</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2"/>
                <w:szCs w:val="12"/>
                <w:color w:val="auto"/>
                <w:w w:val="99"/>
              </w:rPr>
              <w:t>308</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shd w:val="clear" w:color="auto" w:fill="CCEEFF"/>
          </w:tcPr>
          <w:p>
            <w:pPr>
              <w:jc w:val="center"/>
              <w:ind w:left="582"/>
              <w:spacing w:after="0"/>
              <w:rPr>
                <w:sz w:val="20"/>
                <w:szCs w:val="20"/>
                <w:color w:val="auto"/>
              </w:rPr>
            </w:pPr>
            <w:r>
              <w:rPr>
                <w:rFonts w:ascii="Arial" w:cs="Arial" w:eastAsia="Arial" w:hAnsi="Arial"/>
                <w:sz w:val="12"/>
                <w:szCs w:val="12"/>
                <w:color w:val="auto"/>
                <w:w w:val="89"/>
              </w:rPr>
              <w:t>500</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1,646</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tcBorders>
            <w:shd w:val="clear" w:color="auto" w:fill="CCEEFF"/>
          </w:tcPr>
          <w:p>
            <w:pPr>
              <w:jc w:val="center"/>
              <w:ind w:left="622"/>
              <w:spacing w:after="0"/>
              <w:rPr>
                <w:sz w:val="20"/>
                <w:szCs w:val="20"/>
                <w:color w:val="auto"/>
              </w:rPr>
            </w:pPr>
            <w:r>
              <w:rPr>
                <w:rFonts w:ascii="Arial" w:cs="Arial" w:eastAsia="Arial" w:hAnsi="Arial"/>
                <w:sz w:val="12"/>
                <w:szCs w:val="12"/>
                <w:color w:val="auto"/>
                <w:w w:val="89"/>
              </w:rPr>
              <w:t>65</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2"/>
                <w:szCs w:val="12"/>
                <w:color w:val="auto"/>
              </w:rPr>
              <w:t>463</w:t>
            </w:r>
          </w:p>
        </w:tc>
        <w:tc>
          <w:tcPr>
            <w:tcW w:w="80" w:type="dxa"/>
            <w:vAlign w:val="bottom"/>
            <w:tcBorders>
              <w:top w:val="single" w:sz="8" w:color="CCEEFF"/>
            </w:tcBorders>
            <w:shd w:val="clear" w:color="auto" w:fill="CCEEFF"/>
          </w:tcPr>
          <w:p>
            <w:pPr>
              <w:spacing w:after="0"/>
              <w:rPr>
                <w:sz w:val="12"/>
                <w:szCs w:val="12"/>
                <w:color w:val="auto"/>
              </w:rPr>
            </w:pPr>
          </w:p>
        </w:tc>
      </w:tr>
      <w:tr>
        <w:trPr>
          <w:trHeight w:val="152"/>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Ceded</w:t>
            </w: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700"/>
              <w:spacing w:after="0"/>
              <w:rPr>
                <w:sz w:val="20"/>
                <w:szCs w:val="20"/>
                <w:color w:val="auto"/>
              </w:rPr>
            </w:pPr>
            <w:r>
              <w:rPr>
                <w:rFonts w:ascii="Arial" w:cs="Arial" w:eastAsia="Arial" w:hAnsi="Arial"/>
                <w:sz w:val="12"/>
                <w:szCs w:val="12"/>
                <w:color w:val="auto"/>
                <w:w w:val="93"/>
              </w:rPr>
              <w:t>(32)</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left="502"/>
              <w:spacing w:after="0"/>
              <w:rPr>
                <w:sz w:val="20"/>
                <w:szCs w:val="20"/>
                <w:color w:val="auto"/>
              </w:rPr>
            </w:pPr>
            <w:r>
              <w:rPr>
                <w:rFonts w:ascii="Arial" w:cs="Arial" w:eastAsia="Arial" w:hAnsi="Arial"/>
                <w:sz w:val="12"/>
                <w:szCs w:val="12"/>
                <w:color w:val="auto"/>
                <w:w w:val="92"/>
              </w:rPr>
              <w:t>(276)</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left="642"/>
              <w:spacing w:after="0"/>
              <w:rPr>
                <w:sz w:val="20"/>
                <w:szCs w:val="20"/>
                <w:color w:val="auto"/>
              </w:rPr>
            </w:pPr>
            <w:r>
              <w:rPr>
                <w:rFonts w:ascii="Arial" w:cs="Arial" w:eastAsia="Arial" w:hAnsi="Arial"/>
                <w:sz w:val="12"/>
                <w:szCs w:val="12"/>
                <w:color w:val="auto"/>
                <w:w w:val="93"/>
              </w:rPr>
              <w:t>(36)</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680"/>
              <w:spacing w:after="0"/>
              <w:rPr>
                <w:sz w:val="20"/>
                <w:szCs w:val="20"/>
                <w:color w:val="auto"/>
              </w:rPr>
            </w:pPr>
            <w:r>
              <w:rPr>
                <w:rFonts w:ascii="Arial" w:cs="Arial" w:eastAsia="Arial" w:hAnsi="Arial"/>
                <w:sz w:val="12"/>
                <w:szCs w:val="12"/>
                <w:color w:val="auto"/>
                <w:w w:val="84"/>
              </w:rPr>
              <w:t>(57)</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left="542"/>
              <w:spacing w:after="0"/>
              <w:rPr>
                <w:sz w:val="20"/>
                <w:szCs w:val="20"/>
                <w:color w:val="auto"/>
              </w:rPr>
            </w:pPr>
            <w:r>
              <w:rPr>
                <w:rFonts w:ascii="Arial" w:cs="Arial" w:eastAsia="Arial" w:hAnsi="Arial"/>
                <w:sz w:val="12"/>
                <w:szCs w:val="12"/>
                <w:color w:val="auto"/>
                <w:w w:val="92"/>
              </w:rPr>
              <w:t>(103)</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(912)</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left="622"/>
              <w:spacing w:after="0"/>
              <w:rPr>
                <w:sz w:val="20"/>
                <w:szCs w:val="20"/>
                <w:color w:val="auto"/>
              </w:rPr>
            </w:pPr>
            <w:r>
              <w:rPr>
                <w:rFonts w:ascii="Arial" w:cs="Arial" w:eastAsia="Arial" w:hAnsi="Arial"/>
                <w:sz w:val="12"/>
                <w:szCs w:val="12"/>
                <w:color w:val="auto"/>
                <w:w w:val="93"/>
              </w:rPr>
              <w:t>(49)</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2"/>
                <w:szCs w:val="12"/>
                <w:color w:val="auto"/>
                <w:w w:val="93"/>
              </w:rPr>
              <w:t>(57)</w:t>
            </w:r>
          </w:p>
        </w:tc>
        <w:tc>
          <w:tcPr>
            <w:tcW w:w="80" w:type="dxa"/>
            <w:vAlign w:val="bottom"/>
            <w:tcBorders>
              <w:bottom w:val="single" w:sz="8" w:color="CCEEFF"/>
            </w:tcBorders>
          </w:tcPr>
          <w:p>
            <w:pPr>
              <w:spacing w:after="0"/>
              <w:rPr>
                <w:sz w:val="13"/>
                <w:szCs w:val="13"/>
                <w:color w:val="auto"/>
              </w:rPr>
            </w:pPr>
          </w:p>
        </w:tc>
      </w:tr>
      <w:tr>
        <w:trPr>
          <w:trHeight w:val="173"/>
        </w:trPr>
        <w:tc>
          <w:tcPr>
            <w:tcW w:w="2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2"/>
                <w:szCs w:val="12"/>
                <w:color w:val="auto"/>
                <w:w w:val="99"/>
              </w:rPr>
              <w:t>380</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60" w:type="dxa"/>
            <w:vAlign w:val="bottom"/>
            <w:tcBorders>
              <w:bottom w:val="single" w:sz="8" w:color="auto"/>
            </w:tcBorders>
            <w:shd w:val="clear" w:color="auto" w:fill="CCEEFF"/>
          </w:tcPr>
          <w:p>
            <w:pPr>
              <w:jc w:val="center"/>
              <w:ind w:left="502"/>
              <w:spacing w:after="0"/>
              <w:rPr>
                <w:sz w:val="20"/>
                <w:szCs w:val="20"/>
                <w:color w:val="auto"/>
              </w:rPr>
            </w:pPr>
            <w:r>
              <w:rPr>
                <w:rFonts w:ascii="Arial" w:cs="Arial" w:eastAsia="Arial" w:hAnsi="Arial"/>
                <w:sz w:val="12"/>
                <w:szCs w:val="12"/>
                <w:color w:val="auto"/>
                <w:w w:val="89"/>
              </w:rPr>
              <w:t>185</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center"/>
              <w:ind w:left="642"/>
              <w:spacing w:after="0"/>
              <w:rPr>
                <w:sz w:val="20"/>
                <w:szCs w:val="20"/>
                <w:color w:val="auto"/>
              </w:rPr>
            </w:pPr>
            <w:r>
              <w:rPr>
                <w:rFonts w:ascii="Arial" w:cs="Arial" w:eastAsia="Arial" w:hAnsi="Arial"/>
                <w:sz w:val="12"/>
                <w:szCs w:val="12"/>
                <w:color w:val="auto"/>
                <w:w w:val="89"/>
              </w:rPr>
              <w:t>12</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2"/>
                <w:szCs w:val="12"/>
                <w:color w:val="auto"/>
                <w:w w:val="99"/>
              </w:rPr>
              <w:t>251</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shd w:val="clear" w:color="auto" w:fill="CCEEFF"/>
          </w:tcPr>
          <w:p>
            <w:pPr>
              <w:jc w:val="center"/>
              <w:ind w:left="582"/>
              <w:spacing w:after="0"/>
              <w:rPr>
                <w:sz w:val="20"/>
                <w:szCs w:val="20"/>
                <w:color w:val="auto"/>
              </w:rPr>
            </w:pPr>
            <w:r>
              <w:rPr>
                <w:rFonts w:ascii="Arial" w:cs="Arial" w:eastAsia="Arial" w:hAnsi="Arial"/>
                <w:sz w:val="12"/>
                <w:szCs w:val="12"/>
                <w:color w:val="auto"/>
                <w:w w:val="89"/>
              </w:rPr>
              <w:t>397</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734</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center"/>
              <w:ind w:left="622"/>
              <w:spacing w:after="0"/>
              <w:rPr>
                <w:sz w:val="20"/>
                <w:szCs w:val="20"/>
                <w:color w:val="auto"/>
              </w:rPr>
            </w:pPr>
            <w:r>
              <w:rPr>
                <w:rFonts w:ascii="Arial" w:cs="Arial" w:eastAsia="Arial" w:hAnsi="Arial"/>
                <w:sz w:val="12"/>
                <w:szCs w:val="12"/>
                <w:color w:val="auto"/>
                <w:w w:val="89"/>
              </w:rPr>
              <w:t>16</w:t>
            </w:r>
          </w:p>
        </w:tc>
        <w:tc>
          <w:tcPr>
            <w:tcW w:w="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2"/>
                <w:szCs w:val="12"/>
                <w:color w:val="auto"/>
              </w:rPr>
              <w:t>406</w:t>
            </w:r>
          </w:p>
        </w:tc>
        <w:tc>
          <w:tcPr>
            <w:tcW w:w="80" w:type="dxa"/>
            <w:vAlign w:val="bottom"/>
            <w:tcBorders>
              <w:bottom w:val="single" w:sz="8" w:color="CCEEFF"/>
            </w:tcBorders>
            <w:shd w:val="clear" w:color="auto" w:fill="CCEEFF"/>
          </w:tcPr>
          <w:p>
            <w:pPr>
              <w:spacing w:after="0"/>
              <w:rPr>
                <w:sz w:val="14"/>
                <w:szCs w:val="14"/>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65" w:lineRule="exact"/>
        <w:rPr>
          <w:sz w:val="20"/>
          <w:szCs w:val="20"/>
          <w:color w:val="auto"/>
        </w:rPr>
      </w:pPr>
    </w:p>
    <w:p>
      <w:pPr>
        <w:jc w:val="both"/>
        <w:ind w:firstLine="331"/>
        <w:spacing w:after="0" w:line="255" w:lineRule="auto"/>
        <w:rPr>
          <w:sz w:val="20"/>
          <w:szCs w:val="20"/>
          <w:color w:val="auto"/>
        </w:rPr>
      </w:pPr>
      <w:r>
        <w:rPr>
          <w:rFonts w:ascii="Arial" w:cs="Arial" w:eastAsia="Arial" w:hAnsi="Arial"/>
          <w:sz w:val="15"/>
          <w:szCs w:val="15"/>
          <w:color w:val="auto"/>
        </w:rPr>
        <w:t>Amounts payable or recoverable for reinsurance on paid and unpaid claims are not subject to periodic or maximum limits. F&amp;G did not write off any significant reinsurance balances during the nine months ended September 30, 2021 or four months ended September 30, 2020. F&amp;G did not commute any ceded reinsurance treaties during the nine months ended September 30, 2021 or four months ended September 30, 2020.</w:t>
      </w:r>
    </w:p>
    <w:p>
      <w:pPr>
        <w:spacing w:after="0" w:line="24" w:lineRule="exact"/>
        <w:rPr>
          <w:sz w:val="20"/>
          <w:szCs w:val="20"/>
          <w:color w:val="auto"/>
        </w:rPr>
      </w:pPr>
    </w:p>
    <w:p>
      <w:pPr>
        <w:jc w:val="both"/>
        <w:ind w:firstLine="331"/>
        <w:spacing w:after="0" w:line="301" w:lineRule="auto"/>
        <w:rPr>
          <w:sz w:val="20"/>
          <w:szCs w:val="20"/>
          <w:color w:val="auto"/>
        </w:rPr>
      </w:pPr>
      <w:r>
        <w:rPr>
          <w:rFonts w:ascii="Arial" w:cs="Arial" w:eastAsia="Arial" w:hAnsi="Arial"/>
          <w:sz w:val="13"/>
          <w:szCs w:val="13"/>
          <w:color w:val="auto"/>
        </w:rPr>
        <w:t>Following the adoption of ASC 326, F&amp;G estimates expected credit losses on reinsurance recoverables using a probability of default/loss given default model. Significant inputs to the model include the reinsurers credit risk, expected timing of recovery, industry-wide historical default experience, senior unsecured bond recovery rates, and credit enhancement features. As of the June 1, 2020 acquisition of F&amp;G, due to purchase accounting adjustments, our expected credit loss reserve was valued at $0. During the three and nine months ended September 30, 2021 and the three and four months ended September 30, 2020, the expected credit loss reserve decreased from $21 million to $19 million and increased from $0 to $22 million, respectively.</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No policies issued by F&amp;G have been reinsured with any foreign company, which is controlled, either directly or indirectly, by a party not primarily engaged in the business of insurance.</w:t>
      </w:r>
    </w:p>
    <w:p>
      <w:pPr>
        <w:spacing w:after="0" w:line="71" w:lineRule="exact"/>
        <w:rPr>
          <w:sz w:val="20"/>
          <w:szCs w:val="20"/>
          <w:color w:val="auto"/>
        </w:rPr>
      </w:pPr>
    </w:p>
    <w:p>
      <w:pPr>
        <w:jc w:val="both"/>
        <w:ind w:firstLine="331"/>
        <w:spacing w:after="0" w:line="266" w:lineRule="auto"/>
        <w:rPr>
          <w:sz w:val="20"/>
          <w:szCs w:val="20"/>
          <w:color w:val="auto"/>
        </w:rPr>
      </w:pPr>
      <w:r>
        <w:rPr>
          <w:rFonts w:ascii="Arial" w:cs="Arial" w:eastAsia="Arial" w:hAnsi="Arial"/>
          <w:sz w:val="15"/>
          <w:szCs w:val="15"/>
          <w:color w:val="auto"/>
        </w:rPr>
        <w:t>F&amp;G has not entered into any reinsurance agreements in which the reinsurer may unilaterally cancel any reinsurance for reasons other than non-payment of premiums or other similar credit issues.</w:t>
      </w:r>
    </w:p>
    <w:p>
      <w:pPr>
        <w:spacing w:after="0" w:line="15" w:lineRule="exact"/>
        <w:rPr>
          <w:sz w:val="20"/>
          <w:szCs w:val="20"/>
          <w:color w:val="auto"/>
        </w:rPr>
      </w:pPr>
    </w:p>
    <w:p>
      <w:pPr>
        <w:jc w:val="both"/>
        <w:ind w:firstLine="331"/>
        <w:spacing w:after="0" w:line="250" w:lineRule="auto"/>
        <w:rPr>
          <w:sz w:val="20"/>
          <w:szCs w:val="20"/>
          <w:color w:val="auto"/>
        </w:rPr>
      </w:pPr>
      <w:r>
        <w:rPr>
          <w:rFonts w:ascii="Arial" w:cs="Arial" w:eastAsia="Arial" w:hAnsi="Arial"/>
          <w:sz w:val="15"/>
          <w:szCs w:val="15"/>
          <w:color w:val="auto"/>
        </w:rPr>
        <w:t>Effective May 1, 2020, F&amp;G entered into an indemnity reinsurance agreement with Canada Life Assurance Company United States Branch, a third party reinsurer, to reinsure FIA policies with guaranteed minimum withdrawal benefits ("GMWB"). In accordance with the terms of this agreement, F&amp;G cedes a quota share percentage of the net retention of guarantee payments in excess of account value for GMWB. Effective January 1, 2021, F&amp;G amended this agreement to include the GMWB rider for its SecureIncome 7 product. The effects of this agreement are not accounted for as reinsurance as it does not satisfy the risk transfer requirements for GAAP, since it is not “reasonably possible” that the reinsurer may realize significant loss from assuming the insurance risk.</w:t>
      </w:r>
    </w:p>
    <w:p>
      <w:pPr>
        <w:spacing w:after="0" w:line="29" w:lineRule="exact"/>
        <w:rPr>
          <w:sz w:val="20"/>
          <w:szCs w:val="20"/>
          <w:color w:val="auto"/>
        </w:rPr>
      </w:pPr>
    </w:p>
    <w:p>
      <w:pPr>
        <w:jc w:val="both"/>
        <w:ind w:firstLine="331"/>
        <w:spacing w:after="0" w:line="255" w:lineRule="auto"/>
        <w:rPr>
          <w:sz w:val="20"/>
          <w:szCs w:val="20"/>
          <w:color w:val="auto"/>
        </w:rPr>
      </w:pPr>
      <w:r>
        <w:rPr>
          <w:rFonts w:ascii="Arial" w:cs="Arial" w:eastAsia="Arial" w:hAnsi="Arial"/>
          <w:sz w:val="15"/>
          <w:szCs w:val="15"/>
          <w:color w:val="auto"/>
        </w:rPr>
        <w:t>On January 15, 2021, F&amp;G executed a Funds Withheld Coinsurance Agreement with ASPIDA Life Re Ltd ("Aspida Re"), a Bermuda reinsurer. In accordance with the terms of this agreement, F&amp;G cedes to the reinsurer, on a fifty percent (50%) funds withheld coinsurance basis, certain multiyear guaranteed annuity business written effective January 1, 2021. The effects of this agreement are accounted for as a separate investment contract.</w:t>
      </w:r>
    </w:p>
    <w:p>
      <w:pPr>
        <w:spacing w:after="0" w:line="24" w:lineRule="exact"/>
        <w:rPr>
          <w:sz w:val="20"/>
          <w:szCs w:val="20"/>
          <w:color w:val="auto"/>
        </w:rPr>
      </w:pPr>
    </w:p>
    <w:p>
      <w:pPr>
        <w:jc w:val="both"/>
        <w:ind w:firstLine="331"/>
        <w:spacing w:after="0" w:line="255" w:lineRule="auto"/>
        <w:rPr>
          <w:sz w:val="20"/>
          <w:szCs w:val="20"/>
          <w:color w:val="auto"/>
        </w:rPr>
      </w:pPr>
      <w:r>
        <w:rPr>
          <w:rFonts w:ascii="Arial" w:cs="Arial" w:eastAsia="Arial" w:hAnsi="Arial"/>
          <w:sz w:val="15"/>
          <w:szCs w:val="15"/>
          <w:color w:val="auto"/>
        </w:rPr>
        <w:t>On May 31, 2021, two Novation Agreements were executed by and among Freestone Re Ltd., an exempted company incorporated in the Cayman Islands with limited liability (the “New Reinsurer”), Front Street Re (Cayman) Ltd., an exempted company incorporated in the Cayman Islands with limited liability (the “Original Reinsurer”) and FGL Insurance. The effective dates of the agreements are April 1, 2021. As these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4" w:name="page55"/>
    <w:bookmarkEnd w:id="54"/>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color w:val="auto"/>
        </w:rPr>
        <w:t>agreements are intercompany both before and after the novation, they are eliminated in consolidation for GAAP reporting.</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Concentration of Reinsurance Risk</w:t>
      </w:r>
    </w:p>
    <w:p>
      <w:pPr>
        <w:spacing w:after="0" w:line="70" w:lineRule="exact"/>
        <w:rPr>
          <w:sz w:val="20"/>
          <w:szCs w:val="20"/>
          <w:color w:val="auto"/>
        </w:rPr>
      </w:pPr>
    </w:p>
    <w:p>
      <w:pPr>
        <w:jc w:val="both"/>
        <w:ind w:firstLine="331"/>
        <w:spacing w:after="0" w:line="268" w:lineRule="auto"/>
        <w:rPr>
          <w:sz w:val="20"/>
          <w:szCs w:val="20"/>
          <w:color w:val="auto"/>
        </w:rPr>
      </w:pPr>
      <w:r>
        <w:rPr>
          <w:rFonts w:ascii="Arial" w:cs="Arial" w:eastAsia="Arial" w:hAnsi="Arial"/>
          <w:sz w:val="14"/>
          <w:szCs w:val="14"/>
          <w:color w:val="auto"/>
        </w:rPr>
        <w:t>F&amp;G has a significant concentration of reinsurance risk with third party reinsurers, Wilton Reassurance Company (“Wilton Re”), Kubera and Aspida Re that could have a material impact on the Company’s financial position in the event that any of these reinsurers fail to perform their obligations under the various reinsurance treaties. Wilton Re is a wholly-owned subsidiary of Canada Pension Plan Investment Board ("CPPIB"). CPPIB has an AAA issuer credit rating from Standard &amp; Poor's Ratings Services ("S&amp;P") as of September 30, 2021. Kubera is not rated, however, management has attempted to mitigate the risk of non-performance through the funds withheld arrangement. As of September 30, 2021, Aspida Re has a A- issuer credit rating from AM Best and a BBB from Fitch, and the risk of non-performance is further mitigated through the funds withheld arrangement. As of September 30, 2021, the net amount recoverable from Wilton Re, Kubera, and Aspida Re was $1,287 million, $789 million, and $717 million, respectively. The Company monitors both the financial condition of individual reinsurers and risk concentration arising from similar activities and economic characteristics of reinsurers to attempt to reduce the risk of default by such reinsurers. The Company believes that all amounts due from Wilton Re, Kubera and Aspida Re for periodic treaty settlements are collectible as of September 30, 2021.</w:t>
      </w:r>
    </w:p>
    <w:p>
      <w:pPr>
        <w:spacing w:after="0" w:line="41" w:lineRule="exact"/>
        <w:rPr>
          <w:sz w:val="20"/>
          <w:szCs w:val="20"/>
          <w:color w:val="auto"/>
        </w:rPr>
      </w:pPr>
    </w:p>
    <w:p>
      <w:pPr>
        <w:jc w:val="both"/>
        <w:ind w:firstLine="331"/>
        <w:spacing w:after="0" w:line="284" w:lineRule="auto"/>
        <w:rPr>
          <w:sz w:val="20"/>
          <w:szCs w:val="20"/>
          <w:color w:val="auto"/>
        </w:rPr>
      </w:pPr>
      <w:r>
        <w:rPr>
          <w:rFonts w:ascii="Arial" w:cs="Arial" w:eastAsia="Arial" w:hAnsi="Arial"/>
          <w:sz w:val="13"/>
          <w:szCs w:val="13"/>
          <w:color w:val="auto"/>
        </w:rPr>
        <w:t>On March 6, 2019, Scottish Re (U.S.), Inc. (“SRUS”), a Delaware domestic life and health reinsurer of F&amp;G, was ordered into receivership for purposes of rehabilitation. As of September 30, 2021, the net amount recoverable from SRUS was $30 million. The financial exposure related to these ceded reserves are substantially mitigated via a reinsurance agreement whereby Wilton Re assumes treaty non-performance including credit risk for this business. Wilton Re is currently meeting all conditions related to these assumed obligations.</w:t>
      </w:r>
    </w:p>
    <w:p>
      <w:pPr>
        <w:jc w:val="both"/>
        <w:ind w:firstLine="331"/>
        <w:spacing w:after="0" w:line="234" w:lineRule="auto"/>
        <w:rPr>
          <w:sz w:val="20"/>
          <w:szCs w:val="20"/>
          <w:color w:val="auto"/>
        </w:rPr>
      </w:pPr>
      <w:r>
        <w:rPr>
          <w:rFonts w:ascii="Arial" w:cs="Arial" w:eastAsia="Arial" w:hAnsi="Arial"/>
          <w:sz w:val="14"/>
          <w:szCs w:val="14"/>
          <w:color w:val="auto"/>
        </w:rPr>
        <w:t>On July 9, 2019, Pavonia Life Insurance Company of Michigan (“Pavonia”), a Michigan domiciled life, accident, and health insurance company, was placed into rehabilitation. While the court order indicated that Pavonia had a stable financial condition and lack of non-insurance affiliated investments, the Director of the Michigan Department of Insurance and Financial Services (“MDIFS") has concerns relating to Pavonia's parent company. To insulate Pavonia from its parent until a pending acquisition transaction could be consummated, MDIFS placed Pavonia under supervision and rehabilitation. As of September 30, 2021, the net amount recoverable from Pavonia was $76 million. On July 15, 2021, Aspida Holdings Ltd. (“Aspida”) acquired Global Bankers Insurance Group, LLC, the parent company of Pavonia, and is now known as Aspida Financial Services, LLC (“Aspida Financial”). Following the acquisition, Pavonia is no longer in rehabilitation. We believe any financial exposure related to these ceded reserves would be substantially mitigated via a reinsurance agreement whereby Wilton Re assumes treaty non-performance including credit risk for this business.</w:t>
      </w:r>
    </w:p>
    <w:p>
      <w:pPr>
        <w:spacing w:after="0" w:line="48" w:lineRule="exact"/>
        <w:rPr>
          <w:sz w:val="20"/>
          <w:szCs w:val="20"/>
          <w:color w:val="auto"/>
        </w:rPr>
      </w:pPr>
    </w:p>
    <w:p>
      <w:pPr>
        <w:jc w:val="both"/>
        <w:ind w:firstLine="331"/>
        <w:spacing w:after="0" w:line="266" w:lineRule="auto"/>
        <w:rPr>
          <w:sz w:val="20"/>
          <w:szCs w:val="20"/>
          <w:color w:val="auto"/>
        </w:rPr>
      </w:pPr>
      <w:r>
        <w:rPr>
          <w:rFonts w:ascii="Arial" w:cs="Arial" w:eastAsia="Arial" w:hAnsi="Arial"/>
          <w:sz w:val="15"/>
          <w:szCs w:val="15"/>
          <w:color w:val="auto"/>
        </w:rPr>
        <w:t>There have been no other material changes in the reinsurance and the intercompany reinsurance agreements described in our Annual Report on Form 10-K for the year ended December 31, 2020.</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M — F&amp;G Insurance Subsidiary Financial Information and Regulatory Matters</w:t>
      </w:r>
    </w:p>
    <w:p>
      <w:pPr>
        <w:spacing w:after="0" w:line="74" w:lineRule="exact"/>
        <w:rPr>
          <w:sz w:val="20"/>
          <w:szCs w:val="20"/>
          <w:color w:val="auto"/>
        </w:rPr>
      </w:pPr>
    </w:p>
    <w:p>
      <w:pPr>
        <w:jc w:val="both"/>
        <w:ind w:firstLine="331"/>
        <w:spacing w:after="0" w:line="269" w:lineRule="auto"/>
        <w:rPr>
          <w:sz w:val="20"/>
          <w:szCs w:val="20"/>
          <w:color w:val="auto"/>
        </w:rPr>
      </w:pPr>
      <w:r>
        <w:rPr>
          <w:rFonts w:ascii="Arial" w:cs="Arial" w:eastAsia="Arial" w:hAnsi="Arial"/>
          <w:sz w:val="14"/>
          <w:szCs w:val="14"/>
          <w:color w:val="auto"/>
        </w:rPr>
        <w:t>Our U.S. insurance subsidiaries, FGL Insurance, FGL NY Insurance, and Raven Re, file financial statements with state insurance regulatory authorities and the National Association of Insurance Commissioners (“NAIC”) that are prepared in accordance with Statutory Accounting Principles (“SAP”) prescribed or permitted by such authorities, which may vary materially from GAAP. Prescribed SAP includes the Accounting Practices and Procedures Manual of the NAIC as well as state laws, regulations and administrative rules. Permitted SAP encompasses all accounting practices not so prescribed. The principal differences between SAP financial statements and financial statements prepared in accordance with GAAP are that SAP financial statements do not reflect DAC, DSI and VOBA, some bond portfolios may be carried at amortized cost, assets and liabilities are presented net of reinsurance, contractholder liabilities are generally valued using more conservative assumptions and certain assets are non-admitted. Accordingly, SAP operating results and SAP capital and surplus may differ substantially from amounts reported in the GAAP basis financial statements for comparable items.</w:t>
      </w:r>
    </w:p>
    <w:p>
      <w:pPr>
        <w:spacing w:after="0" w:line="4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F&amp;G Cayman Re Ltd., Freestone Re Ltd. (Cayman) and F&amp;G Life Re Ltd (Bermuda) file financial statements with their respective regulators that are based on U.S. GAAP.</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5" w:name="page56"/>
    <w:bookmarkEnd w:id="55"/>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jc w:val="both"/>
        <w:ind w:firstLine="364"/>
        <w:spacing w:after="0" w:line="282" w:lineRule="auto"/>
        <w:rPr>
          <w:sz w:val="20"/>
          <w:szCs w:val="20"/>
          <w:color w:val="auto"/>
        </w:rPr>
      </w:pPr>
      <w:r>
        <w:rPr>
          <w:rFonts w:ascii="Arial" w:cs="Arial" w:eastAsia="Arial" w:hAnsi="Arial"/>
          <w:sz w:val="14"/>
          <w:szCs w:val="14"/>
          <w:color w:val="auto"/>
        </w:rPr>
        <w:t>FGL Insurance applies Iowa-prescribed accounting practices that permit Iowa-domiciled insurers to report equity call options used to economically hedge FIA index credits at amortized cost for statutory accounting purposes and to calculate FIA statutory reserves such that index credit returns will be included in the reserve only after crediting to the annuity contract. This resulted in a $39 million and $144 million decrease to statutory capital and surplus at September 30, 2021 and December 31, 2020, respectively.</w:t>
      </w:r>
    </w:p>
    <w:p>
      <w:pPr>
        <w:spacing w:after="0" w:line="29" w:lineRule="exact"/>
        <w:rPr>
          <w:sz w:val="20"/>
          <w:szCs w:val="20"/>
          <w:color w:val="auto"/>
        </w:rPr>
      </w:pPr>
    </w:p>
    <w:p>
      <w:pPr>
        <w:jc w:val="both"/>
        <w:ind w:firstLine="364"/>
        <w:spacing w:after="0" w:line="302" w:lineRule="auto"/>
        <w:rPr>
          <w:sz w:val="20"/>
          <w:szCs w:val="20"/>
          <w:color w:val="auto"/>
        </w:rPr>
      </w:pPr>
      <w:r>
        <w:rPr>
          <w:rFonts w:ascii="Arial" w:cs="Arial" w:eastAsia="Arial" w:hAnsi="Arial"/>
          <w:sz w:val="14"/>
          <w:szCs w:val="14"/>
          <w:color w:val="auto"/>
        </w:rPr>
        <w:t>FGL Insurance’s statutory carrying value of Raven Reinsurance Company ("Raven Re") reflects the effect of permitted practices Raven Re received to treat the available amount of a letter of credit as an admitted asset which increased Raven Re’s statutory capital and surplus by $85 million at September 30, 2021 and December 31, 2020.</w:t>
      </w:r>
    </w:p>
    <w:p>
      <w:pPr>
        <w:spacing w:after="0" w:line="14" w:lineRule="exact"/>
        <w:rPr>
          <w:sz w:val="20"/>
          <w:szCs w:val="20"/>
          <w:color w:val="auto"/>
        </w:rPr>
      </w:pPr>
    </w:p>
    <w:p>
      <w:pPr>
        <w:jc w:val="both"/>
        <w:ind w:firstLine="364"/>
        <w:spacing w:after="0" w:line="298" w:lineRule="auto"/>
        <w:rPr>
          <w:sz w:val="20"/>
          <w:szCs w:val="20"/>
          <w:color w:val="auto"/>
        </w:rPr>
      </w:pPr>
      <w:r>
        <w:rPr>
          <w:rFonts w:ascii="Arial" w:cs="Arial" w:eastAsia="Arial" w:hAnsi="Arial"/>
          <w:sz w:val="13"/>
          <w:szCs w:val="13"/>
          <w:color w:val="auto"/>
        </w:rPr>
        <w:t>Raven Re is also permitted to follow Iowa prescribed statutory accounting practice for its reserves on reinsurance assumed from FGL Insurance which increased (decreased) Raven Re’s statutory capital and surplus by $(1) million at September 30, 2021 and by $5 million at December 31, 2020. Without such permitted statutory accounting practices, Raven Re’s statutory capital and surplus (deficit) would be $30 million as of September 30, 2021 and $(6) million as of December 31, 2020, and its risk-based capital would fall below the minimum regulatory requirements. The letter of credit facility is collateralized by NAIC 1 rated debt securities. If the permitted practice was revoked, the letter of credit could be replaced by the collateral assets with Nomura’s consent. FGL Insurance’s statutory carrying value of Raven Re was $114 million and $84 million at September 30, 2021 and December 31, 2020, respectively.</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As of September 30, 2021, FGL NY Insurance did not follow any prescribed or permitted statutory accounting practices that differ from the NAIC's statutory accounting practices.</w:t>
      </w:r>
    </w:p>
    <w:p>
      <w:pPr>
        <w:spacing w:after="0" w:line="82" w:lineRule="exact"/>
        <w:rPr>
          <w:sz w:val="20"/>
          <w:szCs w:val="20"/>
          <w:color w:val="auto"/>
        </w:rPr>
      </w:pPr>
    </w:p>
    <w:p>
      <w:pPr>
        <w:jc w:val="both"/>
        <w:ind w:firstLine="331"/>
        <w:spacing w:after="0" w:line="266" w:lineRule="auto"/>
        <w:rPr>
          <w:sz w:val="20"/>
          <w:szCs w:val="20"/>
          <w:color w:val="auto"/>
        </w:rPr>
      </w:pPr>
      <w:r>
        <w:rPr>
          <w:rFonts w:ascii="Arial" w:cs="Arial" w:eastAsia="Arial" w:hAnsi="Arial"/>
          <w:sz w:val="15"/>
          <w:szCs w:val="15"/>
          <w:color w:val="auto"/>
        </w:rPr>
        <w:t>The prescribed and permitted statutory accounting practices have no impact on our unaudited Condensed Consolidated Financial Statements which are prepared in accordance with GAAP.</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72"/>
        </w:trPr>
        <w:tc>
          <w:tcPr>
            <w:tcW w:w="1060" w:type="dxa"/>
            <w:vAlign w:val="bottom"/>
            <w:tcBorders>
              <w:bottom w:val="single" w:sz="8" w:color="0000FF"/>
            </w:tcBorders>
          </w:tcPr>
          <w:p>
            <w:pPr>
              <w:spacing w:after="0"/>
              <w:rPr>
                <w:rFonts w:ascii="Arial" w:cs="Arial" w:eastAsia="Arial" w:hAnsi="Arial"/>
                <w:sz w:val="15"/>
                <w:szCs w:val="15"/>
                <w:color w:val="0000FF"/>
                <w:w w:val="87"/>
              </w:rPr>
            </w:pPr>
            <w:hyperlink w:anchor="page2">
              <w:r>
                <w:rPr>
                  <w:rFonts w:ascii="Arial" w:cs="Arial" w:eastAsia="Arial" w:hAnsi="Arial"/>
                  <w:sz w:val="15"/>
                  <w:szCs w:val="15"/>
                  <w:color w:val="0000FF"/>
                  <w:w w:val="87"/>
                </w:rPr>
                <w:t>Table of Contents</w:t>
              </w:r>
            </w:hyperlink>
          </w:p>
        </w:tc>
        <w:tc>
          <w:tcPr>
            <w:tcW w:w="8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940"/>
        </w:trPr>
        <w:tc>
          <w:tcPr>
            <w:tcW w:w="10020" w:type="dxa"/>
            <w:vAlign w:val="bottom"/>
            <w:gridSpan w:val="2"/>
          </w:tcPr>
          <w:p>
            <w:pPr>
              <w:spacing w:after="0"/>
              <w:rPr>
                <w:sz w:val="20"/>
                <w:szCs w:val="20"/>
                <w:color w:val="auto"/>
              </w:rPr>
            </w:pPr>
            <w:r>
              <w:rPr>
                <w:rFonts w:ascii="Arial" w:cs="Arial" w:eastAsia="Arial" w:hAnsi="Arial"/>
                <w:sz w:val="15"/>
                <w:szCs w:val="15"/>
                <w:b w:val="1"/>
                <w:bCs w:val="1"/>
                <w:color w:val="auto"/>
              </w:rPr>
              <w:t>Note N — Acquisitions</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75"/>
        </w:trPr>
        <w:tc>
          <w:tcPr>
            <w:tcW w:w="10020" w:type="dxa"/>
            <w:vAlign w:val="bottom"/>
            <w:gridSpan w:val="2"/>
          </w:tcPr>
          <w:p>
            <w:pPr>
              <w:ind w:left="280"/>
              <w:spacing w:after="0"/>
              <w:rPr>
                <w:sz w:val="20"/>
                <w:szCs w:val="20"/>
                <w:color w:val="auto"/>
              </w:rPr>
            </w:pPr>
            <w:r>
              <w:rPr>
                <w:rFonts w:ascii="Arial" w:cs="Arial" w:eastAsia="Arial" w:hAnsi="Arial"/>
                <w:sz w:val="15"/>
                <w:szCs w:val="15"/>
                <w:i w:val="1"/>
                <w:iCs w:val="1"/>
                <w:color w:val="auto"/>
              </w:rPr>
              <w:t>F&amp;G</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4"/>
        </w:trPr>
        <w:tc>
          <w:tcPr>
            <w:tcW w:w="10020" w:type="dxa"/>
            <w:vAlign w:val="bottom"/>
            <w:gridSpan w:val="2"/>
          </w:tcPr>
          <w:p>
            <w:pPr>
              <w:ind w:left="280"/>
              <w:spacing w:after="0"/>
              <w:rPr>
                <w:sz w:val="20"/>
                <w:szCs w:val="20"/>
                <w:color w:val="auto"/>
              </w:rPr>
            </w:pPr>
            <w:r>
              <w:rPr>
                <w:rFonts w:ascii="Arial" w:cs="Arial" w:eastAsia="Arial" w:hAnsi="Arial"/>
                <w:sz w:val="15"/>
                <w:szCs w:val="15"/>
                <w:color w:val="auto"/>
              </w:rPr>
              <w:t>On June 1, 2020, we acquired 100% of the outstanding equity of F&amp;G for approximately $2.7 billion.</w:t>
            </w: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353"/>
        </w:trPr>
        <w:tc>
          <w:tcPr>
            <w:tcW w:w="10020" w:type="dxa"/>
            <w:vAlign w:val="bottom"/>
            <w:gridSpan w:val="2"/>
          </w:tcPr>
          <w:p>
            <w:pPr>
              <w:spacing w:after="0"/>
              <w:rPr>
                <w:sz w:val="20"/>
                <w:szCs w:val="20"/>
                <w:color w:val="auto"/>
              </w:rPr>
            </w:pPr>
            <w:r>
              <w:rPr>
                <w:rFonts w:ascii="Arial" w:cs="Arial" w:eastAsia="Arial" w:hAnsi="Arial"/>
                <w:sz w:val="15"/>
                <w:szCs w:val="15"/>
                <w:color w:val="auto"/>
              </w:rPr>
              <w:t>The purchase price is as follows (in millions):</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0"/>
        </w:trPr>
        <w:tc>
          <w:tcPr>
            <w:tcW w:w="1002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88"/>
        </w:trPr>
        <w:tc>
          <w:tcPr>
            <w:tcW w:w="10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Cash paid for outstanding F&amp;G shares</w:t>
            </w:r>
          </w:p>
        </w:tc>
        <w:tc>
          <w:tcPr>
            <w:tcW w:w="48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1,903</w:t>
            </w:r>
          </w:p>
        </w:tc>
      </w:tr>
      <w:tr>
        <w:trPr>
          <w:trHeight w:val="188"/>
        </w:trPr>
        <w:tc>
          <w:tcPr>
            <w:tcW w:w="100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Less: Cash Acquired</w:t>
            </w: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827</w:t>
            </w:r>
          </w:p>
        </w:tc>
      </w:tr>
      <w:tr>
        <w:trPr>
          <w:trHeight w:val="179"/>
        </w:trPr>
        <w:tc>
          <w:tcPr>
            <w:tcW w:w="10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cash paid for F&amp;G</w:t>
            </w: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1,076</w:t>
            </w:r>
          </w:p>
        </w:tc>
      </w:tr>
      <w:tr>
        <w:trPr>
          <w:trHeight w:val="188"/>
        </w:trPr>
        <w:tc>
          <w:tcPr>
            <w:tcW w:w="10020" w:type="dxa"/>
            <w:vAlign w:val="bottom"/>
            <w:gridSpan w:val="2"/>
          </w:tcPr>
          <w:p>
            <w:pPr>
              <w:ind w:left="20"/>
              <w:spacing w:after="0"/>
              <w:rPr>
                <w:sz w:val="20"/>
                <w:szCs w:val="20"/>
                <w:color w:val="auto"/>
              </w:rPr>
            </w:pPr>
            <w:r>
              <w:rPr>
                <w:rFonts w:ascii="Arial" w:cs="Arial" w:eastAsia="Arial" w:hAnsi="Arial"/>
                <w:sz w:val="15"/>
                <w:szCs w:val="15"/>
                <w:color w:val="auto"/>
              </w:rPr>
              <w:t>Value of FNF share consideration</w:t>
            </w: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806</w:t>
            </w:r>
          </w:p>
        </w:tc>
      </w:tr>
      <w:tr>
        <w:trPr>
          <w:trHeight w:val="188"/>
        </w:trPr>
        <w:tc>
          <w:tcPr>
            <w:tcW w:w="10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Value of outstanding converted equity awards attributed to services already rendered</w:t>
            </w:r>
          </w:p>
        </w:tc>
        <w:tc>
          <w:tcPr>
            <w:tcW w:w="4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w:t>
            </w:r>
          </w:p>
        </w:tc>
      </w:tr>
      <w:tr>
        <w:trPr>
          <w:trHeight w:val="179"/>
        </w:trPr>
        <w:tc>
          <w:tcPr>
            <w:tcW w:w="10020" w:type="dxa"/>
            <w:vAlign w:val="bottom"/>
            <w:gridSpan w:val="2"/>
          </w:tcPr>
          <w:p>
            <w:pPr>
              <w:ind w:left="20"/>
              <w:spacing w:after="0"/>
              <w:rPr>
                <w:sz w:val="20"/>
                <w:szCs w:val="20"/>
                <w:color w:val="auto"/>
              </w:rPr>
            </w:pPr>
            <w:r>
              <w:rPr>
                <w:rFonts w:ascii="Arial" w:cs="Arial" w:eastAsia="Arial" w:hAnsi="Arial"/>
                <w:sz w:val="15"/>
                <w:szCs w:val="15"/>
                <w:color w:val="auto"/>
              </w:rPr>
              <w:t>Total net consideration paid</w:t>
            </w:r>
          </w:p>
        </w:tc>
        <w:tc>
          <w:tcPr>
            <w:tcW w:w="48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1,910</w:t>
            </w:r>
          </w:p>
        </w:tc>
      </w:tr>
      <w:tr>
        <w:trPr>
          <w:trHeight w:val="20"/>
        </w:trPr>
        <w:tc>
          <w:tcPr>
            <w:tcW w:w="106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ind w:firstLine="265"/>
        <w:spacing w:after="0" w:line="252" w:lineRule="auto"/>
        <w:rPr>
          <w:sz w:val="20"/>
          <w:szCs w:val="20"/>
          <w:color w:val="auto"/>
        </w:rPr>
      </w:pPr>
      <w:r>
        <w:rPr>
          <w:rFonts w:ascii="Arial" w:cs="Arial" w:eastAsia="Arial" w:hAnsi="Arial"/>
          <w:sz w:val="15"/>
          <w:szCs w:val="15"/>
          <w:color w:val="auto"/>
        </w:rPr>
        <w:t>The acquisition was accounted for as a business combination under FASB Accounting Standards Codification Topic 805, Business Combinations ("Topic 805").The purchase price has been allocated to F&amp;G's assets acquired and liabilities assumed based on our estimates of their fair values as of June 1, 2020. Goodwill has been recorded based on the amount that the purchase price exceeds the fair value of the net assets acquired. Goodwill consists primarily of intangible assets that do not qualify for separate recognition. The goodwill recorded is not expected to be deductible for tax purposes, except for $16 million related to a prior F&amp;G transaction.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72"/>
        </w:trPr>
        <w:tc>
          <w:tcPr>
            <w:tcW w:w="1060" w:type="dxa"/>
            <w:vAlign w:val="bottom"/>
            <w:tcBorders>
              <w:bottom w:val="single" w:sz="8" w:color="0000FF"/>
            </w:tcBorders>
            <w:gridSpan w:val="2"/>
          </w:tcPr>
          <w:p>
            <w:pPr>
              <w:spacing w:after="0"/>
              <w:rPr>
                <w:rFonts w:ascii="Arial" w:cs="Arial" w:eastAsia="Arial" w:hAnsi="Arial"/>
                <w:sz w:val="15"/>
                <w:szCs w:val="15"/>
                <w:color w:val="0000FF"/>
                <w:w w:val="87"/>
              </w:rPr>
            </w:pPr>
            <w:hyperlink w:anchor="page2">
              <w:r>
                <w:rPr>
                  <w:rFonts w:ascii="Arial" w:cs="Arial" w:eastAsia="Arial" w:hAnsi="Arial"/>
                  <w:sz w:val="15"/>
                  <w:szCs w:val="15"/>
                  <w:color w:val="0000FF"/>
                  <w:w w:val="87"/>
                </w:rPr>
                <w:t>Table of Contents</w:t>
              </w:r>
            </w:hyperlink>
          </w:p>
        </w:tc>
        <w:tc>
          <w:tcPr>
            <w:tcW w:w="9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742"/>
        </w:trPr>
        <w:tc>
          <w:tcPr>
            <w:tcW w:w="10060" w:type="dxa"/>
            <w:vAlign w:val="bottom"/>
            <w:gridSpan w:val="3"/>
          </w:tcPr>
          <w:p>
            <w:pPr>
              <w:ind w:left="280"/>
              <w:spacing w:after="0"/>
              <w:rPr>
                <w:sz w:val="20"/>
                <w:szCs w:val="20"/>
                <w:color w:val="auto"/>
              </w:rPr>
            </w:pPr>
            <w:r>
              <w:rPr>
                <w:rFonts w:ascii="Arial" w:cs="Arial" w:eastAsia="Arial" w:hAnsi="Arial"/>
                <w:sz w:val="15"/>
                <w:szCs w:val="15"/>
                <w:color w:val="auto"/>
              </w:rPr>
              <w:t>The final purchase price allocation is as follows (dollars in millions):</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8"/>
        </w:trPr>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26"/>
              <w:spacing w:after="0"/>
              <w:rPr>
                <w:sz w:val="20"/>
                <w:szCs w:val="20"/>
                <w:color w:val="auto"/>
              </w:rPr>
            </w:pPr>
            <w:r>
              <w:rPr>
                <w:rFonts w:ascii="Arial" w:cs="Arial" w:eastAsia="Arial" w:hAnsi="Arial"/>
                <w:sz w:val="15"/>
                <w:szCs w:val="15"/>
                <w:b w:val="1"/>
                <w:bCs w:val="1"/>
                <w:color w:val="auto"/>
              </w:rPr>
              <w:t>Fair Value</w:t>
            </w:r>
          </w:p>
        </w:tc>
      </w:tr>
      <w:tr>
        <w:trPr>
          <w:trHeight w:val="188"/>
        </w:trPr>
        <w:tc>
          <w:tcPr>
            <w:tcW w:w="280" w:type="dxa"/>
            <w:vAlign w:val="bottom"/>
          </w:tcPr>
          <w:p>
            <w:pPr>
              <w:spacing w:after="0"/>
              <w:rPr>
                <w:sz w:val="16"/>
                <w:szCs w:val="16"/>
                <w:color w:val="auto"/>
              </w:rPr>
            </w:pPr>
          </w:p>
        </w:tc>
        <w:tc>
          <w:tcPr>
            <w:tcW w:w="9780" w:type="dxa"/>
            <w:vAlign w:val="bottom"/>
            <w:gridSpan w:val="2"/>
          </w:tcPr>
          <w:p>
            <w:pPr>
              <w:ind w:left="280"/>
              <w:spacing w:after="0"/>
              <w:rPr>
                <w:sz w:val="20"/>
                <w:szCs w:val="20"/>
                <w:color w:val="auto"/>
              </w:rPr>
            </w:pPr>
            <w:r>
              <w:rPr>
                <w:rFonts w:ascii="Arial" w:cs="Arial" w:eastAsia="Arial" w:hAnsi="Arial"/>
                <w:sz w:val="15"/>
                <w:szCs w:val="15"/>
                <w:color w:val="auto"/>
              </w:rPr>
              <w:t>Fixed maturity securities</w:t>
            </w:r>
          </w:p>
        </w:tc>
        <w:tc>
          <w:tcPr>
            <w:tcW w:w="4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22,3</w:t>
            </w:r>
          </w:p>
        </w:tc>
      </w:tr>
      <w:tr>
        <w:trPr>
          <w:trHeight w:val="188"/>
        </w:trPr>
        <w:tc>
          <w:tcPr>
            <w:tcW w:w="280" w:type="dxa"/>
            <w:vAlign w:val="bottom"/>
          </w:tcPr>
          <w:p>
            <w:pPr>
              <w:spacing w:after="0"/>
              <w:rPr>
                <w:sz w:val="16"/>
                <w:szCs w:val="16"/>
                <w:color w:val="auto"/>
              </w:rPr>
            </w:pPr>
          </w:p>
        </w:tc>
        <w:tc>
          <w:tcPr>
            <w:tcW w:w="978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Preferred securities</w:t>
            </w: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r>
      <w:tr>
        <w:trPr>
          <w:trHeight w:val="188"/>
        </w:trPr>
        <w:tc>
          <w:tcPr>
            <w:tcW w:w="280" w:type="dxa"/>
            <w:vAlign w:val="bottom"/>
          </w:tcPr>
          <w:p>
            <w:pPr>
              <w:spacing w:after="0"/>
              <w:rPr>
                <w:sz w:val="16"/>
                <w:szCs w:val="16"/>
                <w:color w:val="auto"/>
              </w:rPr>
            </w:pPr>
          </w:p>
        </w:tc>
        <w:tc>
          <w:tcPr>
            <w:tcW w:w="9780" w:type="dxa"/>
            <w:vAlign w:val="bottom"/>
            <w:gridSpan w:val="2"/>
          </w:tcPr>
          <w:p>
            <w:pPr>
              <w:ind w:left="280"/>
              <w:spacing w:after="0"/>
              <w:rPr>
                <w:sz w:val="20"/>
                <w:szCs w:val="20"/>
                <w:color w:val="auto"/>
              </w:rPr>
            </w:pPr>
            <w:r>
              <w:rPr>
                <w:rFonts w:ascii="Arial" w:cs="Arial" w:eastAsia="Arial" w:hAnsi="Arial"/>
                <w:sz w:val="15"/>
                <w:szCs w:val="15"/>
                <w:color w:val="auto"/>
              </w:rPr>
              <w:t>Equity securities</w:t>
            </w: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978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Derivative instruments</w:t>
            </w: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r>
      <w:tr>
        <w:trPr>
          <w:trHeight w:val="188"/>
        </w:trPr>
        <w:tc>
          <w:tcPr>
            <w:tcW w:w="280" w:type="dxa"/>
            <w:vAlign w:val="bottom"/>
          </w:tcPr>
          <w:p>
            <w:pPr>
              <w:spacing w:after="0"/>
              <w:rPr>
                <w:sz w:val="16"/>
                <w:szCs w:val="16"/>
                <w:color w:val="auto"/>
              </w:rPr>
            </w:pPr>
          </w:p>
        </w:tc>
        <w:tc>
          <w:tcPr>
            <w:tcW w:w="9780" w:type="dxa"/>
            <w:vAlign w:val="bottom"/>
            <w:gridSpan w:val="2"/>
          </w:tcPr>
          <w:p>
            <w:pPr>
              <w:ind w:left="280"/>
              <w:spacing w:after="0"/>
              <w:rPr>
                <w:sz w:val="20"/>
                <w:szCs w:val="20"/>
                <w:color w:val="auto"/>
              </w:rPr>
            </w:pPr>
            <w:r>
              <w:rPr>
                <w:rFonts w:ascii="Arial" w:cs="Arial" w:eastAsia="Arial" w:hAnsi="Arial"/>
                <w:sz w:val="15"/>
                <w:szCs w:val="15"/>
                <w:color w:val="auto"/>
              </w:rPr>
              <w:t>Mortgage loans</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188"/>
        </w:trPr>
        <w:tc>
          <w:tcPr>
            <w:tcW w:w="280" w:type="dxa"/>
            <w:vAlign w:val="bottom"/>
          </w:tcPr>
          <w:p>
            <w:pPr>
              <w:spacing w:after="0"/>
              <w:rPr>
                <w:sz w:val="16"/>
                <w:szCs w:val="16"/>
                <w:color w:val="auto"/>
              </w:rPr>
            </w:pPr>
          </w:p>
        </w:tc>
        <w:tc>
          <w:tcPr>
            <w:tcW w:w="978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Investments in unconsolidated affiliates</w:t>
            </w: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r>
      <w:tr>
        <w:trPr>
          <w:trHeight w:val="188"/>
        </w:trPr>
        <w:tc>
          <w:tcPr>
            <w:tcW w:w="280" w:type="dxa"/>
            <w:vAlign w:val="bottom"/>
          </w:tcPr>
          <w:p>
            <w:pPr>
              <w:spacing w:after="0"/>
              <w:rPr>
                <w:sz w:val="16"/>
                <w:szCs w:val="16"/>
                <w:color w:val="auto"/>
              </w:rPr>
            </w:pPr>
          </w:p>
        </w:tc>
        <w:tc>
          <w:tcPr>
            <w:tcW w:w="9780" w:type="dxa"/>
            <w:vAlign w:val="bottom"/>
            <w:gridSpan w:val="2"/>
          </w:tcPr>
          <w:p>
            <w:pPr>
              <w:ind w:left="280"/>
              <w:spacing w:after="0"/>
              <w:rPr>
                <w:sz w:val="20"/>
                <w:szCs w:val="20"/>
                <w:color w:val="auto"/>
              </w:rPr>
            </w:pPr>
            <w:r>
              <w:rPr>
                <w:rFonts w:ascii="Arial" w:cs="Arial" w:eastAsia="Arial" w:hAnsi="Arial"/>
                <w:sz w:val="15"/>
                <w:szCs w:val="15"/>
                <w:color w:val="auto"/>
              </w:rPr>
              <w:t>Other long-term investments</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88"/>
        </w:trPr>
        <w:tc>
          <w:tcPr>
            <w:tcW w:w="280" w:type="dxa"/>
            <w:vAlign w:val="bottom"/>
          </w:tcPr>
          <w:p>
            <w:pPr>
              <w:spacing w:after="0"/>
              <w:rPr>
                <w:sz w:val="16"/>
                <w:szCs w:val="16"/>
                <w:color w:val="auto"/>
              </w:rPr>
            </w:pPr>
          </w:p>
        </w:tc>
        <w:tc>
          <w:tcPr>
            <w:tcW w:w="978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Short-term investments</w:t>
            </w: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9780" w:type="dxa"/>
            <w:vAlign w:val="bottom"/>
            <w:gridSpan w:val="2"/>
          </w:tcPr>
          <w:p>
            <w:pPr>
              <w:ind w:left="280"/>
              <w:spacing w:after="0"/>
              <w:rPr>
                <w:sz w:val="20"/>
                <w:szCs w:val="20"/>
                <w:color w:val="auto"/>
              </w:rPr>
            </w:pPr>
            <w:r>
              <w:rPr>
                <w:rFonts w:ascii="Arial" w:cs="Arial" w:eastAsia="Arial" w:hAnsi="Arial"/>
                <w:sz w:val="15"/>
                <w:szCs w:val="15"/>
                <w:color w:val="auto"/>
              </w:rPr>
              <w:t>Trade and notes receivable</w:t>
            </w: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978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Reinsurance recoverable</w:t>
            </w: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r>
      <w:tr>
        <w:trPr>
          <w:trHeight w:val="188"/>
        </w:trPr>
        <w:tc>
          <w:tcPr>
            <w:tcW w:w="280" w:type="dxa"/>
            <w:vAlign w:val="bottom"/>
          </w:tcPr>
          <w:p>
            <w:pPr>
              <w:spacing w:after="0"/>
              <w:rPr>
                <w:sz w:val="16"/>
                <w:szCs w:val="16"/>
                <w:color w:val="auto"/>
              </w:rPr>
            </w:pPr>
          </w:p>
        </w:tc>
        <w:tc>
          <w:tcPr>
            <w:tcW w:w="9780" w:type="dxa"/>
            <w:vAlign w:val="bottom"/>
            <w:gridSpan w:val="2"/>
          </w:tcPr>
          <w:p>
            <w:pPr>
              <w:ind w:left="280"/>
              <w:spacing w:after="0"/>
              <w:rPr>
                <w:sz w:val="20"/>
                <w:szCs w:val="20"/>
                <w:color w:val="auto"/>
              </w:rPr>
            </w:pPr>
            <w:r>
              <w:rPr>
                <w:rFonts w:ascii="Arial" w:cs="Arial" w:eastAsia="Arial" w:hAnsi="Arial"/>
                <w:sz w:val="15"/>
                <w:szCs w:val="15"/>
                <w:color w:val="auto"/>
              </w:rPr>
              <w:t>Goodwill</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188"/>
        </w:trPr>
        <w:tc>
          <w:tcPr>
            <w:tcW w:w="280" w:type="dxa"/>
            <w:vAlign w:val="bottom"/>
          </w:tcPr>
          <w:p>
            <w:pPr>
              <w:spacing w:after="0"/>
              <w:rPr>
                <w:sz w:val="16"/>
                <w:szCs w:val="16"/>
                <w:color w:val="auto"/>
              </w:rPr>
            </w:pPr>
          </w:p>
        </w:tc>
        <w:tc>
          <w:tcPr>
            <w:tcW w:w="978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Prepaid expenses and other assets</w:t>
            </w: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r>
      <w:tr>
        <w:trPr>
          <w:trHeight w:val="188"/>
        </w:trPr>
        <w:tc>
          <w:tcPr>
            <w:tcW w:w="280" w:type="dxa"/>
            <w:vAlign w:val="bottom"/>
          </w:tcPr>
          <w:p>
            <w:pPr>
              <w:spacing w:after="0"/>
              <w:rPr>
                <w:sz w:val="16"/>
                <w:szCs w:val="16"/>
                <w:color w:val="auto"/>
              </w:rPr>
            </w:pPr>
          </w:p>
        </w:tc>
        <w:tc>
          <w:tcPr>
            <w:tcW w:w="9780" w:type="dxa"/>
            <w:vAlign w:val="bottom"/>
            <w:gridSpan w:val="2"/>
          </w:tcPr>
          <w:p>
            <w:pPr>
              <w:ind w:left="280"/>
              <w:spacing w:after="0"/>
              <w:rPr>
                <w:sz w:val="20"/>
                <w:szCs w:val="20"/>
                <w:color w:val="auto"/>
              </w:rPr>
            </w:pPr>
            <w:r>
              <w:rPr>
                <w:rFonts w:ascii="Arial" w:cs="Arial" w:eastAsia="Arial" w:hAnsi="Arial"/>
                <w:sz w:val="15"/>
                <w:szCs w:val="15"/>
                <w:color w:val="auto"/>
              </w:rPr>
              <w:t>Lease assets</w:t>
            </w: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978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Other intangible assets</w:t>
            </w: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r>
      <w:tr>
        <w:trPr>
          <w:trHeight w:val="188"/>
        </w:trPr>
        <w:tc>
          <w:tcPr>
            <w:tcW w:w="280" w:type="dxa"/>
            <w:vAlign w:val="bottom"/>
          </w:tcPr>
          <w:p>
            <w:pPr>
              <w:spacing w:after="0"/>
              <w:rPr>
                <w:sz w:val="16"/>
                <w:szCs w:val="16"/>
                <w:color w:val="auto"/>
              </w:rPr>
            </w:pPr>
          </w:p>
        </w:tc>
        <w:tc>
          <w:tcPr>
            <w:tcW w:w="9780" w:type="dxa"/>
            <w:vAlign w:val="bottom"/>
            <w:gridSpan w:val="2"/>
          </w:tcPr>
          <w:p>
            <w:pPr>
              <w:ind w:left="280"/>
              <w:spacing w:after="0"/>
              <w:rPr>
                <w:sz w:val="20"/>
                <w:szCs w:val="20"/>
                <w:color w:val="auto"/>
              </w:rPr>
            </w:pPr>
            <w:r>
              <w:rPr>
                <w:rFonts w:ascii="Arial" w:cs="Arial" w:eastAsia="Arial" w:hAnsi="Arial"/>
                <w:sz w:val="15"/>
                <w:szCs w:val="15"/>
                <w:color w:val="auto"/>
              </w:rPr>
              <w:t>Deferred tax asset</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188"/>
        </w:trPr>
        <w:tc>
          <w:tcPr>
            <w:tcW w:w="280" w:type="dxa"/>
            <w:vAlign w:val="bottom"/>
          </w:tcPr>
          <w:p>
            <w:pPr>
              <w:spacing w:after="0"/>
              <w:rPr>
                <w:sz w:val="16"/>
                <w:szCs w:val="16"/>
                <w:color w:val="auto"/>
              </w:rPr>
            </w:pPr>
          </w:p>
        </w:tc>
        <w:tc>
          <w:tcPr>
            <w:tcW w:w="978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Assets of discontinued operations</w:t>
            </w:r>
          </w:p>
        </w:tc>
        <w:tc>
          <w:tcPr>
            <w:tcW w:w="4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w:t>
            </w:r>
          </w:p>
        </w:tc>
      </w:tr>
      <w:tr>
        <w:trPr>
          <w:trHeight w:val="179"/>
        </w:trPr>
        <w:tc>
          <w:tcPr>
            <w:tcW w:w="280" w:type="dxa"/>
            <w:vAlign w:val="bottom"/>
          </w:tcPr>
          <w:p>
            <w:pPr>
              <w:spacing w:after="0"/>
              <w:rPr>
                <w:sz w:val="15"/>
                <w:szCs w:val="15"/>
                <w:color w:val="auto"/>
              </w:rPr>
            </w:pPr>
          </w:p>
        </w:tc>
        <w:tc>
          <w:tcPr>
            <w:tcW w:w="9780" w:type="dxa"/>
            <w:vAlign w:val="bottom"/>
            <w:gridSpan w:val="2"/>
          </w:tcPr>
          <w:p>
            <w:pPr>
              <w:ind w:left="540"/>
              <w:spacing w:after="0"/>
              <w:rPr>
                <w:sz w:val="20"/>
                <w:szCs w:val="20"/>
                <w:color w:val="auto"/>
              </w:rPr>
            </w:pPr>
            <w:r>
              <w:rPr>
                <w:rFonts w:ascii="Arial" w:cs="Arial" w:eastAsia="Arial" w:hAnsi="Arial"/>
                <w:sz w:val="15"/>
                <w:szCs w:val="15"/>
                <w:color w:val="auto"/>
              </w:rPr>
              <w:t>Total assets acquired</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36,8</w:t>
            </w:r>
          </w:p>
        </w:tc>
      </w:tr>
      <w:tr>
        <w:trPr>
          <w:trHeight w:val="188"/>
        </w:trPr>
        <w:tc>
          <w:tcPr>
            <w:tcW w:w="280" w:type="dxa"/>
            <w:vAlign w:val="bottom"/>
          </w:tcPr>
          <w:p>
            <w:pPr>
              <w:spacing w:after="0"/>
              <w:rPr>
                <w:sz w:val="16"/>
                <w:szCs w:val="16"/>
                <w:color w:val="auto"/>
              </w:rPr>
            </w:pPr>
          </w:p>
        </w:tc>
        <w:tc>
          <w:tcPr>
            <w:tcW w:w="9780" w:type="dxa"/>
            <w:vAlign w:val="bottom"/>
            <w:gridSpan w:val="2"/>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9780" w:type="dxa"/>
            <w:vAlign w:val="bottom"/>
            <w:gridSpan w:val="2"/>
          </w:tcPr>
          <w:p>
            <w:pPr>
              <w:ind w:left="280"/>
              <w:spacing w:after="0"/>
              <w:rPr>
                <w:sz w:val="20"/>
                <w:szCs w:val="20"/>
                <w:color w:val="auto"/>
              </w:rPr>
            </w:pPr>
            <w:r>
              <w:rPr>
                <w:rFonts w:ascii="Arial" w:cs="Arial" w:eastAsia="Arial" w:hAnsi="Arial"/>
                <w:sz w:val="15"/>
                <w:szCs w:val="15"/>
                <w:color w:val="auto"/>
              </w:rPr>
              <w:t>Contractholder funds</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26,4</w:t>
            </w:r>
          </w:p>
        </w:tc>
      </w:tr>
      <w:tr>
        <w:trPr>
          <w:trHeight w:val="188"/>
        </w:trPr>
        <w:tc>
          <w:tcPr>
            <w:tcW w:w="280" w:type="dxa"/>
            <w:vAlign w:val="bottom"/>
          </w:tcPr>
          <w:p>
            <w:pPr>
              <w:spacing w:after="0"/>
              <w:rPr>
                <w:sz w:val="16"/>
                <w:szCs w:val="16"/>
                <w:color w:val="auto"/>
              </w:rPr>
            </w:pPr>
          </w:p>
        </w:tc>
        <w:tc>
          <w:tcPr>
            <w:tcW w:w="978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Future policy benefits</w:t>
            </w: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r>
      <w:tr>
        <w:trPr>
          <w:trHeight w:val="188"/>
        </w:trPr>
        <w:tc>
          <w:tcPr>
            <w:tcW w:w="280" w:type="dxa"/>
            <w:vAlign w:val="bottom"/>
          </w:tcPr>
          <w:p>
            <w:pPr>
              <w:spacing w:after="0"/>
              <w:rPr>
                <w:sz w:val="16"/>
                <w:szCs w:val="16"/>
                <w:color w:val="auto"/>
              </w:rPr>
            </w:pPr>
          </w:p>
        </w:tc>
        <w:tc>
          <w:tcPr>
            <w:tcW w:w="9780" w:type="dxa"/>
            <w:vAlign w:val="bottom"/>
            <w:gridSpan w:val="2"/>
          </w:tcPr>
          <w:p>
            <w:pPr>
              <w:ind w:left="280"/>
              <w:spacing w:after="0"/>
              <w:rPr>
                <w:sz w:val="20"/>
                <w:szCs w:val="20"/>
                <w:color w:val="auto"/>
              </w:rPr>
            </w:pPr>
            <w:r>
              <w:rPr>
                <w:rFonts w:ascii="Arial" w:cs="Arial" w:eastAsia="Arial" w:hAnsi="Arial"/>
                <w:sz w:val="15"/>
                <w:szCs w:val="15"/>
                <w:color w:val="auto"/>
              </w:rPr>
              <w:t>Accounts payable and accrued liabilities</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188"/>
        </w:trPr>
        <w:tc>
          <w:tcPr>
            <w:tcW w:w="280" w:type="dxa"/>
            <w:vAlign w:val="bottom"/>
          </w:tcPr>
          <w:p>
            <w:pPr>
              <w:spacing w:after="0"/>
              <w:rPr>
                <w:sz w:val="16"/>
                <w:szCs w:val="16"/>
                <w:color w:val="auto"/>
              </w:rPr>
            </w:pPr>
          </w:p>
        </w:tc>
        <w:tc>
          <w:tcPr>
            <w:tcW w:w="978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Notes payable</w:t>
            </w: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r>
      <w:tr>
        <w:trPr>
          <w:trHeight w:val="188"/>
        </w:trPr>
        <w:tc>
          <w:tcPr>
            <w:tcW w:w="280" w:type="dxa"/>
            <w:vAlign w:val="bottom"/>
          </w:tcPr>
          <w:p>
            <w:pPr>
              <w:spacing w:after="0"/>
              <w:rPr>
                <w:sz w:val="16"/>
                <w:szCs w:val="16"/>
                <w:color w:val="auto"/>
              </w:rPr>
            </w:pPr>
          </w:p>
        </w:tc>
        <w:tc>
          <w:tcPr>
            <w:tcW w:w="9780" w:type="dxa"/>
            <w:vAlign w:val="bottom"/>
            <w:gridSpan w:val="2"/>
          </w:tcPr>
          <w:p>
            <w:pPr>
              <w:ind w:left="280"/>
              <w:spacing w:after="0"/>
              <w:rPr>
                <w:sz w:val="20"/>
                <w:szCs w:val="20"/>
                <w:color w:val="auto"/>
              </w:rPr>
            </w:pPr>
            <w:r>
              <w:rPr>
                <w:rFonts w:ascii="Arial" w:cs="Arial" w:eastAsia="Arial" w:hAnsi="Arial"/>
                <w:sz w:val="15"/>
                <w:szCs w:val="15"/>
                <w:color w:val="auto"/>
              </w:rPr>
              <w:t>Funds withheld for reinsurance liabilities</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188"/>
        </w:trPr>
        <w:tc>
          <w:tcPr>
            <w:tcW w:w="280" w:type="dxa"/>
            <w:vAlign w:val="bottom"/>
          </w:tcPr>
          <w:p>
            <w:pPr>
              <w:spacing w:after="0"/>
              <w:rPr>
                <w:sz w:val="16"/>
                <w:szCs w:val="16"/>
                <w:color w:val="auto"/>
              </w:rPr>
            </w:pPr>
          </w:p>
        </w:tc>
        <w:tc>
          <w:tcPr>
            <w:tcW w:w="978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Lease liabilities</w:t>
            </w: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9780" w:type="dxa"/>
            <w:vAlign w:val="bottom"/>
            <w:tcBorders>
              <w:bottom w:val="single" w:sz="8" w:color="CCEEFF"/>
            </w:tcBorders>
            <w:gridSpan w:val="2"/>
          </w:tcPr>
          <w:p>
            <w:pPr>
              <w:ind w:left="280"/>
              <w:spacing w:after="0"/>
              <w:rPr>
                <w:sz w:val="20"/>
                <w:szCs w:val="20"/>
                <w:color w:val="auto"/>
              </w:rPr>
            </w:pPr>
            <w:r>
              <w:rPr>
                <w:rFonts w:ascii="Arial" w:cs="Arial" w:eastAsia="Arial" w:hAnsi="Arial"/>
                <w:sz w:val="15"/>
                <w:szCs w:val="15"/>
                <w:color w:val="auto"/>
              </w:rPr>
              <w:t>Liabilities of discontinued operations</w:t>
            </w: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w:t>
            </w:r>
          </w:p>
        </w:tc>
      </w:tr>
      <w:tr>
        <w:trPr>
          <w:trHeight w:val="179"/>
        </w:trPr>
        <w:tc>
          <w:tcPr>
            <w:tcW w:w="280" w:type="dxa"/>
            <w:vAlign w:val="bottom"/>
          </w:tcPr>
          <w:p>
            <w:pPr>
              <w:spacing w:after="0"/>
              <w:rPr>
                <w:sz w:val="15"/>
                <w:szCs w:val="15"/>
                <w:color w:val="auto"/>
              </w:rPr>
            </w:pPr>
          </w:p>
        </w:tc>
        <w:tc>
          <w:tcPr>
            <w:tcW w:w="978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Total liabilities assumed</w:t>
            </w:r>
          </w:p>
        </w:tc>
        <w:tc>
          <w:tcPr>
            <w:tcW w:w="4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34,9</w:t>
            </w:r>
          </w:p>
        </w:tc>
      </w:tr>
      <w:tr>
        <w:trPr>
          <w:trHeight w:val="179"/>
        </w:trPr>
        <w:tc>
          <w:tcPr>
            <w:tcW w:w="280" w:type="dxa"/>
            <w:vAlign w:val="bottom"/>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90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204"/>
        </w:trPr>
        <w:tc>
          <w:tcPr>
            <w:tcW w:w="280" w:type="dxa"/>
            <w:vAlign w:val="bottom"/>
          </w:tcPr>
          <w:p>
            <w:pPr>
              <w:spacing w:after="0"/>
              <w:rPr>
                <w:sz w:val="17"/>
                <w:szCs w:val="17"/>
                <w:color w:val="auto"/>
              </w:rPr>
            </w:pPr>
          </w:p>
        </w:tc>
        <w:tc>
          <w:tcPr>
            <w:tcW w:w="9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5"/>
                <w:szCs w:val="15"/>
                <w:color w:val="auto"/>
              </w:rPr>
              <w:t>Net assets acquired</w:t>
            </w:r>
          </w:p>
        </w:tc>
        <w:tc>
          <w:tcPr>
            <w:tcW w:w="4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w:t>
            </w:r>
          </w:p>
        </w:tc>
      </w:tr>
      <w:tr>
        <w:trPr>
          <w:trHeight w:val="20"/>
        </w:trPr>
        <w:tc>
          <w:tcPr>
            <w:tcW w:w="280" w:type="dxa"/>
            <w:vAlign w:val="bottom"/>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90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gross carrying value and weighted average estimated useful lives of Other intangible assets acquired in the F&amp;G acquisition consist of the following (dollars in millions):</w:t>
      </w:r>
    </w:p>
    <w:p>
      <w:pPr>
        <w:spacing w:after="0" w:line="109" w:lineRule="exact"/>
        <w:rPr>
          <w:sz w:val="20"/>
          <w:szCs w:val="20"/>
          <w:color w:val="auto"/>
        </w:rPr>
      </w:pPr>
    </w:p>
    <w:tbl>
      <w:tblPr>
        <w:tblLayout w:type="fixed"/>
        <w:tblInd w:w="280" w:type="dxa"/>
        <w:tblCellMar>
          <w:top w:w="0" w:type="dxa"/>
          <w:left w:w="0" w:type="dxa"/>
          <w:bottom w:w="0" w:type="dxa"/>
          <w:right w:w="0" w:type="dxa"/>
        </w:tblCellMar>
      </w:tblPr>
      <w:tr>
        <w:trPr>
          <w:trHeight w:val="138"/>
        </w:trPr>
        <w:tc>
          <w:tcPr>
            <w:tcW w:w="66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jc w:val="center"/>
              <w:ind w:left="397"/>
              <w:spacing w:after="0"/>
              <w:rPr>
                <w:sz w:val="20"/>
                <w:szCs w:val="20"/>
                <w:color w:val="auto"/>
              </w:rPr>
            </w:pPr>
            <w:r>
              <w:rPr>
                <w:rFonts w:ascii="Arial" w:cs="Arial" w:eastAsia="Arial" w:hAnsi="Arial"/>
                <w:sz w:val="12"/>
                <w:szCs w:val="12"/>
                <w:b w:val="1"/>
                <w:bCs w:val="1"/>
                <w:color w:val="auto"/>
                <w:w w:val="87"/>
              </w:rPr>
              <w:t>Weighted Average</w:t>
            </w:r>
          </w:p>
        </w:tc>
        <w:tc>
          <w:tcPr>
            <w:tcW w:w="0" w:type="dxa"/>
            <w:vAlign w:val="bottom"/>
          </w:tcPr>
          <w:p>
            <w:pPr>
              <w:spacing w:after="0"/>
              <w:rPr>
                <w:sz w:val="1"/>
                <w:szCs w:val="1"/>
                <w:color w:val="auto"/>
              </w:rPr>
            </w:pPr>
          </w:p>
        </w:tc>
      </w:tr>
      <w:tr>
        <w:trPr>
          <w:trHeight w:val="110"/>
        </w:trPr>
        <w:tc>
          <w:tcPr>
            <w:tcW w:w="6600" w:type="dxa"/>
            <w:vAlign w:val="bottom"/>
          </w:tcPr>
          <w:p>
            <w:pPr>
              <w:spacing w:after="0"/>
              <w:rPr>
                <w:sz w:val="9"/>
                <w:szCs w:val="9"/>
                <w:color w:val="auto"/>
              </w:rPr>
            </w:pPr>
          </w:p>
        </w:tc>
        <w:tc>
          <w:tcPr>
            <w:tcW w:w="19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Gross Carrying Value</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80" w:type="dxa"/>
            <w:vAlign w:val="bottom"/>
          </w:tcPr>
          <w:p>
            <w:pPr>
              <w:jc w:val="center"/>
              <w:ind w:left="117"/>
              <w:spacing w:after="0" w:line="111" w:lineRule="exact"/>
              <w:rPr>
                <w:sz w:val="20"/>
                <w:szCs w:val="20"/>
                <w:color w:val="auto"/>
              </w:rPr>
            </w:pPr>
            <w:r>
              <w:rPr>
                <w:rFonts w:ascii="Arial" w:cs="Arial" w:eastAsia="Arial" w:hAnsi="Arial"/>
                <w:sz w:val="12"/>
                <w:szCs w:val="12"/>
                <w:b w:val="1"/>
                <w:bCs w:val="1"/>
                <w:color w:val="auto"/>
                <w:w w:val="88"/>
              </w:rPr>
              <w:t>Estimated Useful Life</w:t>
            </w:r>
          </w:p>
        </w:tc>
        <w:tc>
          <w:tcPr>
            <w:tcW w:w="0" w:type="dxa"/>
            <w:vAlign w:val="bottom"/>
          </w:tcPr>
          <w:p>
            <w:pPr>
              <w:spacing w:after="0"/>
              <w:rPr>
                <w:sz w:val="1"/>
                <w:szCs w:val="1"/>
                <w:color w:val="auto"/>
              </w:rPr>
            </w:pPr>
          </w:p>
        </w:tc>
      </w:tr>
      <w:tr>
        <w:trPr>
          <w:trHeight w:val="151"/>
        </w:trPr>
        <w:tc>
          <w:tcPr>
            <w:tcW w:w="6600" w:type="dxa"/>
            <w:vAlign w:val="bottom"/>
          </w:tcPr>
          <w:p>
            <w:pPr>
              <w:spacing w:after="0"/>
              <w:rPr>
                <w:sz w:val="13"/>
                <w:szCs w:val="13"/>
                <w:color w:val="auto"/>
              </w:rPr>
            </w:pPr>
          </w:p>
        </w:tc>
        <w:tc>
          <w:tcPr>
            <w:tcW w:w="1940" w:type="dxa"/>
            <w:vAlign w:val="bottom"/>
            <w:tcBorders>
              <w:bottom w:val="single" w:sz="8" w:color="auto"/>
            </w:tcBorders>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Borders>
              <w:bottom w:val="single" w:sz="8" w:color="auto"/>
            </w:tcBorders>
          </w:tcPr>
          <w:p>
            <w:pPr>
              <w:jc w:val="center"/>
              <w:ind w:left="117"/>
              <w:spacing w:after="0"/>
              <w:rPr>
                <w:sz w:val="20"/>
                <w:szCs w:val="20"/>
                <w:color w:val="auto"/>
              </w:rPr>
            </w:pPr>
            <w:r>
              <w:rPr>
                <w:rFonts w:ascii="Arial" w:cs="Arial" w:eastAsia="Arial" w:hAnsi="Arial"/>
                <w:sz w:val="12"/>
                <w:szCs w:val="12"/>
                <w:b w:val="1"/>
                <w:bCs w:val="1"/>
                <w:color w:val="auto"/>
                <w:w w:val="89"/>
              </w:rPr>
              <w:t>(in years)</w:t>
            </w:r>
          </w:p>
        </w:tc>
        <w:tc>
          <w:tcPr>
            <w:tcW w:w="0" w:type="dxa"/>
            <w:vAlign w:val="bottom"/>
          </w:tcPr>
          <w:p>
            <w:pPr>
              <w:spacing w:after="0"/>
              <w:rPr>
                <w:sz w:val="1"/>
                <w:szCs w:val="1"/>
                <w:color w:val="auto"/>
              </w:rPr>
            </w:pPr>
          </w:p>
        </w:tc>
      </w:tr>
      <w:tr>
        <w:trPr>
          <w:trHeight w:val="171"/>
        </w:trPr>
        <w:tc>
          <w:tcPr>
            <w:tcW w:w="6600" w:type="dxa"/>
            <w:vAlign w:val="bottom"/>
          </w:tcPr>
          <w:p>
            <w:pPr>
              <w:ind w:left="280"/>
              <w:spacing w:after="0" w:line="172" w:lineRule="exact"/>
              <w:rPr>
                <w:sz w:val="20"/>
                <w:szCs w:val="20"/>
                <w:color w:val="auto"/>
              </w:rPr>
            </w:pPr>
            <w:r>
              <w:rPr>
                <w:rFonts w:ascii="Arial" w:cs="Arial" w:eastAsia="Arial" w:hAnsi="Arial"/>
                <w:sz w:val="15"/>
                <w:szCs w:val="15"/>
                <w:color w:val="auto"/>
              </w:rPr>
              <w:t>Other intangible assets:</w:t>
            </w:r>
          </w:p>
        </w:tc>
        <w:tc>
          <w:tcPr>
            <w:tcW w:w="1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600" w:type="dxa"/>
            <w:vAlign w:val="bottom"/>
            <w:shd w:val="clear" w:color="auto" w:fill="CCEEFF"/>
          </w:tcPr>
          <w:p>
            <w:pPr>
              <w:ind w:left="540"/>
              <w:spacing w:after="0"/>
              <w:rPr>
                <w:sz w:val="20"/>
                <w:szCs w:val="20"/>
                <w:color w:val="auto"/>
              </w:rPr>
            </w:pPr>
            <w:r>
              <w:rPr>
                <w:rFonts w:ascii="Arial" w:cs="Arial" w:eastAsia="Arial" w:hAnsi="Arial"/>
                <w:sz w:val="15"/>
                <w:szCs w:val="15"/>
                <w:color w:val="auto"/>
              </w:rPr>
              <w:t>Value of business acquired</w:t>
            </w:r>
          </w:p>
        </w:tc>
        <w:tc>
          <w:tcPr>
            <w:tcW w:w="1940" w:type="dxa"/>
            <w:vAlign w:val="bottom"/>
            <w:shd w:val="clear" w:color="auto" w:fill="CCEEFF"/>
          </w:tcPr>
          <w:p>
            <w:pPr>
              <w:jc w:val="right"/>
              <w:ind w:right="1534"/>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1,908</w:t>
            </w: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jc w:val="center"/>
              <w:ind w:left="397"/>
              <w:spacing w:after="0"/>
              <w:rPr>
                <w:sz w:val="20"/>
                <w:szCs w:val="20"/>
                <w:color w:val="auto"/>
              </w:rPr>
            </w:pPr>
            <w:r>
              <w:rPr>
                <w:rFonts w:ascii="Arial" w:cs="Arial" w:eastAsia="Arial" w:hAnsi="Arial"/>
                <w:sz w:val="15"/>
                <w:szCs w:val="15"/>
                <w:color w:val="auto"/>
                <w:w w:val="86"/>
              </w:rPr>
              <w:t>Various</w:t>
            </w:r>
          </w:p>
        </w:tc>
        <w:tc>
          <w:tcPr>
            <w:tcW w:w="0" w:type="dxa"/>
            <w:vAlign w:val="bottom"/>
          </w:tcPr>
          <w:p>
            <w:pPr>
              <w:spacing w:after="0"/>
              <w:rPr>
                <w:sz w:val="1"/>
                <w:szCs w:val="1"/>
                <w:color w:val="auto"/>
              </w:rPr>
            </w:pPr>
          </w:p>
        </w:tc>
      </w:tr>
      <w:tr>
        <w:trPr>
          <w:trHeight w:val="188"/>
        </w:trPr>
        <w:tc>
          <w:tcPr>
            <w:tcW w:w="6600" w:type="dxa"/>
            <w:vAlign w:val="bottom"/>
          </w:tcPr>
          <w:p>
            <w:pPr>
              <w:ind w:left="540"/>
              <w:spacing w:after="0"/>
              <w:rPr>
                <w:sz w:val="20"/>
                <w:szCs w:val="20"/>
                <w:color w:val="auto"/>
              </w:rPr>
            </w:pPr>
            <w:r>
              <w:rPr>
                <w:rFonts w:ascii="Arial" w:cs="Arial" w:eastAsia="Arial" w:hAnsi="Arial"/>
                <w:sz w:val="15"/>
                <w:szCs w:val="15"/>
                <w:color w:val="auto"/>
              </w:rPr>
              <w:t>Value of distribution network acquired</w:t>
            </w:r>
          </w:p>
        </w:tc>
        <w:tc>
          <w:tcPr>
            <w:tcW w:w="19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140</w:t>
            </w:r>
          </w:p>
        </w:tc>
        <w:tc>
          <w:tcPr>
            <w:tcW w:w="2080" w:type="dxa"/>
            <w:vAlign w:val="bottom"/>
            <w:gridSpan w:val="2"/>
          </w:tcPr>
          <w:p>
            <w:pPr>
              <w:jc w:val="center"/>
              <w:ind w:left="466"/>
              <w:spacing w:after="0"/>
              <w:rPr>
                <w:sz w:val="20"/>
                <w:szCs w:val="20"/>
                <w:color w:val="auto"/>
              </w:rPr>
            </w:pPr>
            <w:r>
              <w:rPr>
                <w:rFonts w:ascii="Arial" w:cs="Arial" w:eastAsia="Arial" w:hAnsi="Arial"/>
                <w:sz w:val="15"/>
                <w:szCs w:val="15"/>
                <w:color w:val="auto"/>
                <w:w w:val="83"/>
              </w:rPr>
              <w:t>15</w:t>
            </w:r>
          </w:p>
        </w:tc>
        <w:tc>
          <w:tcPr>
            <w:tcW w:w="0" w:type="dxa"/>
            <w:vAlign w:val="bottom"/>
          </w:tcPr>
          <w:p>
            <w:pPr>
              <w:spacing w:after="0"/>
              <w:rPr>
                <w:sz w:val="1"/>
                <w:szCs w:val="1"/>
                <w:color w:val="auto"/>
              </w:rPr>
            </w:pPr>
          </w:p>
        </w:tc>
      </w:tr>
      <w:tr>
        <w:trPr>
          <w:trHeight w:val="188"/>
        </w:trPr>
        <w:tc>
          <w:tcPr>
            <w:tcW w:w="6600" w:type="dxa"/>
            <w:vAlign w:val="bottom"/>
            <w:shd w:val="clear" w:color="auto" w:fill="CCEEFF"/>
          </w:tcPr>
          <w:p>
            <w:pPr>
              <w:ind w:left="540"/>
              <w:spacing w:after="0"/>
              <w:rPr>
                <w:sz w:val="20"/>
                <w:szCs w:val="20"/>
                <w:color w:val="auto"/>
              </w:rPr>
            </w:pPr>
            <w:r>
              <w:rPr>
                <w:rFonts w:ascii="Arial" w:cs="Arial" w:eastAsia="Arial" w:hAnsi="Arial"/>
                <w:sz w:val="15"/>
                <w:szCs w:val="15"/>
                <w:color w:val="auto"/>
              </w:rPr>
              <w:t>Trademarks and licenses</w:t>
            </w:r>
          </w:p>
        </w:tc>
        <w:tc>
          <w:tcPr>
            <w:tcW w:w="19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2080" w:type="dxa"/>
            <w:vAlign w:val="bottom"/>
            <w:gridSpan w:val="2"/>
            <w:shd w:val="clear" w:color="auto" w:fill="CCEEFF"/>
          </w:tcPr>
          <w:p>
            <w:pPr>
              <w:jc w:val="center"/>
              <w:ind w:left="466"/>
              <w:spacing w:after="0"/>
              <w:rPr>
                <w:sz w:val="20"/>
                <w:szCs w:val="20"/>
                <w:color w:val="auto"/>
              </w:rPr>
            </w:pPr>
            <w:r>
              <w:rPr>
                <w:rFonts w:ascii="Arial" w:cs="Arial" w:eastAsia="Arial" w:hAnsi="Arial"/>
                <w:sz w:val="15"/>
                <w:szCs w:val="15"/>
                <w:color w:val="auto"/>
                <w:w w:val="83"/>
              </w:rPr>
              <w:t>10</w:t>
            </w:r>
          </w:p>
        </w:tc>
        <w:tc>
          <w:tcPr>
            <w:tcW w:w="0" w:type="dxa"/>
            <w:vAlign w:val="bottom"/>
          </w:tcPr>
          <w:p>
            <w:pPr>
              <w:spacing w:after="0"/>
              <w:rPr>
                <w:sz w:val="1"/>
                <w:szCs w:val="1"/>
                <w:color w:val="auto"/>
              </w:rPr>
            </w:pPr>
          </w:p>
        </w:tc>
      </w:tr>
      <w:tr>
        <w:trPr>
          <w:trHeight w:val="188"/>
        </w:trPr>
        <w:tc>
          <w:tcPr>
            <w:tcW w:w="6600" w:type="dxa"/>
            <w:vAlign w:val="bottom"/>
            <w:tcBorders>
              <w:bottom w:val="single" w:sz="8" w:color="CCEEFF"/>
            </w:tcBorders>
          </w:tcPr>
          <w:p>
            <w:pPr>
              <w:ind w:left="540"/>
              <w:spacing w:after="0"/>
              <w:rPr>
                <w:sz w:val="20"/>
                <w:szCs w:val="20"/>
                <w:color w:val="auto"/>
              </w:rPr>
            </w:pPr>
            <w:r>
              <w:rPr>
                <w:rFonts w:ascii="Arial" w:cs="Arial" w:eastAsia="Arial" w:hAnsi="Arial"/>
                <w:sz w:val="15"/>
                <w:szCs w:val="15"/>
                <w:color w:val="auto"/>
              </w:rPr>
              <w:t>Software</w:t>
            </w:r>
          </w:p>
        </w:tc>
        <w:tc>
          <w:tcPr>
            <w:tcW w:w="19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w:t>
            </w:r>
          </w:p>
        </w:tc>
        <w:tc>
          <w:tcPr>
            <w:tcW w:w="2080" w:type="dxa"/>
            <w:vAlign w:val="bottom"/>
            <w:tcBorders>
              <w:bottom w:val="single" w:sz="8" w:color="CCEEFF"/>
            </w:tcBorders>
            <w:gridSpan w:val="2"/>
          </w:tcPr>
          <w:p>
            <w:pPr>
              <w:jc w:val="center"/>
              <w:ind w:left="486"/>
              <w:spacing w:after="0"/>
              <w:rPr>
                <w:sz w:val="20"/>
                <w:szCs w:val="20"/>
                <w:color w:val="auto"/>
              </w:rPr>
            </w:pPr>
            <w:r>
              <w:rPr>
                <w:rFonts w:ascii="Arial" w:cs="Arial" w:eastAsia="Arial" w:hAnsi="Arial"/>
                <w:sz w:val="15"/>
                <w:szCs w:val="15"/>
                <w:color w:val="auto"/>
                <w:w w:val="95"/>
              </w:rPr>
              <w:t>2</w:t>
            </w:r>
          </w:p>
        </w:tc>
        <w:tc>
          <w:tcPr>
            <w:tcW w:w="0" w:type="dxa"/>
            <w:vAlign w:val="bottom"/>
          </w:tcPr>
          <w:p>
            <w:pPr>
              <w:spacing w:after="0"/>
              <w:rPr>
                <w:sz w:val="1"/>
                <w:szCs w:val="1"/>
                <w:color w:val="auto"/>
              </w:rPr>
            </w:pPr>
          </w:p>
        </w:tc>
      </w:tr>
      <w:tr>
        <w:trPr>
          <w:trHeight w:val="204"/>
        </w:trPr>
        <w:tc>
          <w:tcPr>
            <w:tcW w:w="6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Other intangible assets</w:t>
            </w:r>
          </w:p>
        </w:tc>
        <w:tc>
          <w:tcPr>
            <w:tcW w:w="19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2,107</w:t>
            </w:r>
          </w:p>
        </w:tc>
        <w:tc>
          <w:tcPr>
            <w:tcW w:w="10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both"/>
        <w:ind w:right="80"/>
        <w:spacing w:after="0" w:line="273" w:lineRule="auto"/>
        <w:rPr>
          <w:sz w:val="20"/>
          <w:szCs w:val="20"/>
          <w:color w:val="auto"/>
        </w:rPr>
      </w:pPr>
      <w:r>
        <w:rPr>
          <w:rFonts w:ascii="Arial" w:cs="Arial" w:eastAsia="Arial" w:hAnsi="Arial"/>
          <w:sz w:val="14"/>
          <w:szCs w:val="14"/>
          <w:color w:val="auto"/>
        </w:rPr>
        <w:t>During the nine months ended September 30, 2021, we adjusted the provisional amounts as of June 1, 2020 that were recognized at the acquisition date to reflect new information obtained about facts and circumstances that existed as of the acquisition date that, if known, would have affected the measurement of the amounts recognized as of the acquisition date. Such adjustments resulted in an increase in Other intangible assets of approximately $61 million, a decrease in Reinsurance recoverable of approximately $289 million, a decrease in Future policy benefits of $227 million, an increase in Goodwill of $5 million, and various other, individually immaterial items. There was no material impact on earnings as a result of the measurement period adjustments recorded. As of June 1, 2021, we completed purchase price allocation as of the acquisition date.</w:t>
      </w:r>
    </w:p>
    <w:p>
      <w:pPr>
        <w:spacing w:after="0" w:line="200" w:lineRule="exact"/>
        <w:rPr>
          <w:sz w:val="20"/>
          <w:szCs w:val="20"/>
          <w:color w:val="auto"/>
        </w:rPr>
      </w:pPr>
    </w:p>
    <w:p>
      <w:pPr>
        <w:spacing w:after="0" w:line="319"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360"/>
          </w:cols>
          <w:pgMar w:left="300" w:top="111" w:right="239" w:bottom="1440" w:gutter="0" w:footer="0" w:header="0"/>
        </w:sectPr>
      </w:pPr>
    </w:p>
    <w:bookmarkStart w:id="58" w:name="page59"/>
    <w:bookmarkEnd w:id="58"/>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O — Notes Payable</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5"/>
          <w:szCs w:val="15"/>
          <w:color w:val="auto"/>
        </w:rPr>
        <w:t>Notes payable consists of the following:</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7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2"/>
                <w:szCs w:val="12"/>
                <w:b w:val="1"/>
                <w:bCs w:val="1"/>
                <w:color w:val="auto"/>
              </w:rPr>
              <w:t>September 30, 2021</w:t>
            </w:r>
          </w:p>
        </w:tc>
        <w:tc>
          <w:tcPr>
            <w:tcW w:w="3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308"/>
              <w:spacing w:after="0"/>
              <w:rPr>
                <w:sz w:val="20"/>
                <w:szCs w:val="20"/>
                <w:color w:val="auto"/>
              </w:rPr>
            </w:pPr>
            <w:r>
              <w:rPr>
                <w:rFonts w:ascii="Arial" w:cs="Arial" w:eastAsia="Arial" w:hAnsi="Arial"/>
                <w:sz w:val="12"/>
                <w:szCs w:val="12"/>
                <w:b w:val="1"/>
                <w:bCs w:val="1"/>
                <w:color w:val="auto"/>
                <w:w w:val="88"/>
              </w:rPr>
              <w:t>December 31, 2020</w:t>
            </w:r>
          </w:p>
        </w:tc>
      </w:tr>
      <w:tr>
        <w:trPr>
          <w:trHeight w:val="184"/>
        </w:trPr>
        <w:tc>
          <w:tcPr>
            <w:tcW w:w="7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Arial" w:cs="Arial" w:eastAsia="Arial" w:hAnsi="Arial"/>
                <w:sz w:val="15"/>
                <w:szCs w:val="15"/>
                <w:color w:val="auto"/>
              </w:rPr>
              <w:t>(In millions)</w:t>
            </w:r>
          </w:p>
        </w:tc>
        <w:tc>
          <w:tcPr>
            <w:tcW w:w="1360" w:type="dxa"/>
            <w:vAlign w:val="bottom"/>
          </w:tcPr>
          <w:p>
            <w:pPr>
              <w:spacing w:after="0"/>
              <w:rPr>
                <w:sz w:val="15"/>
                <w:szCs w:val="15"/>
                <w:color w:val="auto"/>
              </w:rPr>
            </w:pPr>
          </w:p>
        </w:tc>
      </w:tr>
      <w:tr>
        <w:trPr>
          <w:trHeight w:val="188"/>
        </w:trPr>
        <w:tc>
          <w:tcPr>
            <w:tcW w:w="7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4.50% Notes, net of discount</w:t>
            </w: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443</w:t>
            </w:r>
          </w:p>
        </w:tc>
      </w:tr>
      <w:tr>
        <w:trPr>
          <w:trHeight w:val="188"/>
        </w:trPr>
        <w:tc>
          <w:tcPr>
            <w:tcW w:w="7740" w:type="dxa"/>
            <w:vAlign w:val="bottom"/>
          </w:tcPr>
          <w:p>
            <w:pPr>
              <w:ind w:left="20"/>
              <w:spacing w:after="0"/>
              <w:rPr>
                <w:sz w:val="20"/>
                <w:szCs w:val="20"/>
                <w:color w:val="auto"/>
              </w:rPr>
            </w:pPr>
            <w:r>
              <w:rPr>
                <w:rFonts w:ascii="Arial" w:cs="Arial" w:eastAsia="Arial" w:hAnsi="Arial"/>
                <w:sz w:val="15"/>
                <w:szCs w:val="15"/>
                <w:color w:val="auto"/>
              </w:rPr>
              <w:t>5.50% Notes, net of discount</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399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399</w:t>
            </w:r>
          </w:p>
        </w:tc>
      </w:tr>
      <w:tr>
        <w:trPr>
          <w:trHeight w:val="188"/>
        </w:trPr>
        <w:tc>
          <w:tcPr>
            <w:tcW w:w="7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3.40% Notes, net of discount</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643</w:t>
            </w:r>
          </w:p>
        </w:tc>
      </w:tr>
      <w:tr>
        <w:trPr>
          <w:trHeight w:val="188"/>
        </w:trPr>
        <w:tc>
          <w:tcPr>
            <w:tcW w:w="7740" w:type="dxa"/>
            <w:vAlign w:val="bottom"/>
          </w:tcPr>
          <w:p>
            <w:pPr>
              <w:ind w:left="20"/>
              <w:spacing w:after="0"/>
              <w:rPr>
                <w:sz w:val="20"/>
                <w:szCs w:val="20"/>
                <w:color w:val="auto"/>
              </w:rPr>
            </w:pPr>
            <w:r>
              <w:rPr>
                <w:rFonts w:ascii="Arial" w:cs="Arial" w:eastAsia="Arial" w:hAnsi="Arial"/>
                <w:sz w:val="15"/>
                <w:szCs w:val="15"/>
                <w:color w:val="auto"/>
              </w:rPr>
              <w:t>2.45% Notes, net of discount</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593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592</w:t>
            </w:r>
          </w:p>
        </w:tc>
      </w:tr>
      <w:tr>
        <w:trPr>
          <w:trHeight w:val="188"/>
        </w:trPr>
        <w:tc>
          <w:tcPr>
            <w:tcW w:w="7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3.20% Notes, net of discount</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8"/>
        </w:trPr>
        <w:tc>
          <w:tcPr>
            <w:tcW w:w="7740" w:type="dxa"/>
            <w:vAlign w:val="bottom"/>
          </w:tcPr>
          <w:p>
            <w:pPr>
              <w:ind w:left="20"/>
              <w:spacing w:after="0"/>
              <w:rPr>
                <w:sz w:val="20"/>
                <w:szCs w:val="20"/>
                <w:color w:val="auto"/>
              </w:rPr>
            </w:pPr>
            <w:r>
              <w:rPr>
                <w:rFonts w:ascii="Arial" w:cs="Arial" w:eastAsia="Arial" w:hAnsi="Arial"/>
                <w:sz w:val="15"/>
                <w:szCs w:val="15"/>
                <w:color w:val="auto"/>
              </w:rPr>
              <w:t>Revolving Credit Facility</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88"/>
        </w:trPr>
        <w:tc>
          <w:tcPr>
            <w:tcW w:w="7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5.50% F&amp;G Notes</w:t>
            </w:r>
          </w:p>
        </w:tc>
        <w:tc>
          <w:tcPr>
            <w:tcW w:w="2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579</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589</w:t>
            </w:r>
          </w:p>
        </w:tc>
      </w:tr>
      <w:tr>
        <w:trPr>
          <w:trHeight w:val="179"/>
        </w:trPr>
        <w:tc>
          <w:tcPr>
            <w:tcW w:w="7740" w:type="dxa"/>
            <w:vAlign w:val="bottom"/>
          </w:tcPr>
          <w:p>
            <w:pPr>
              <w:spacing w:after="0"/>
              <w:rPr>
                <w:sz w:val="15"/>
                <w:szCs w:val="15"/>
                <w:color w:val="auto"/>
              </w:rPr>
            </w:pPr>
          </w:p>
        </w:tc>
        <w:tc>
          <w:tcPr>
            <w:tcW w:w="2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3,097</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2,662</w:t>
            </w:r>
          </w:p>
        </w:tc>
      </w:tr>
      <w:tr>
        <w:trPr>
          <w:trHeight w:val="20"/>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jc w:val="both"/>
        <w:ind w:firstLine="265"/>
        <w:spacing w:after="0" w:line="266" w:lineRule="auto"/>
        <w:rPr>
          <w:sz w:val="20"/>
          <w:szCs w:val="20"/>
          <w:color w:val="auto"/>
        </w:rPr>
      </w:pPr>
      <w:r>
        <w:rPr>
          <w:rFonts w:ascii="Arial" w:cs="Arial" w:eastAsia="Arial" w:hAnsi="Arial"/>
          <w:sz w:val="14"/>
          <w:szCs w:val="14"/>
          <w:color w:val="auto"/>
        </w:rPr>
        <w:t>On September 17, 2021, we completed our underwritten public offering of $450 million aggregate principal amount of our 3.20% Notes, pursuant to our registration statement on Form S-3 ASR (File No. 333-239002) and the related prospectus supplement. The net proceeds from the registered offering of the 3.20% Notes were approximately $443 million, after deducting underwriting discounts, commissions and offering expenses. We plan to use the net proceeds from the offering for general corporate purposes.</w:t>
      </w:r>
    </w:p>
    <w:p>
      <w:pPr>
        <w:spacing w:after="0" w:line="50" w:lineRule="exact"/>
        <w:rPr>
          <w:sz w:val="20"/>
          <w:szCs w:val="20"/>
          <w:color w:val="auto"/>
        </w:rPr>
      </w:pPr>
    </w:p>
    <w:p>
      <w:pPr>
        <w:jc w:val="both"/>
        <w:ind w:firstLine="265"/>
        <w:spacing w:after="0" w:line="259" w:lineRule="auto"/>
        <w:rPr>
          <w:sz w:val="20"/>
          <w:szCs w:val="20"/>
          <w:color w:val="auto"/>
        </w:rPr>
      </w:pPr>
      <w:r>
        <w:rPr>
          <w:rFonts w:ascii="Arial" w:cs="Arial" w:eastAsia="Arial" w:hAnsi="Arial"/>
          <w:sz w:val="14"/>
          <w:szCs w:val="14"/>
          <w:color w:val="auto"/>
        </w:rPr>
        <w:t>On October 29, 2020, we entered into the Fifth Restated Credit Agreement for our Amended Revolving Credit Facility with Bank of America, N.A., as administrative agent and the other agents party thereto. Among other changes, the Fifth Restated Credit Agreement amends the Fourth Restated Credit Agreement to extend the maturity date from April 27, 2022 to October 29, 2025. The material terms of the Fourth Restated Credit Agreement are set forth in our Annual Report for the year ended December 31, 2019. As of September 30, 2021, there was no principal outstanding, $2 million of unamortized debt issuance costs, and $800 million of available borrowing capacity under the Revolving Credit Facility.</w:t>
      </w:r>
    </w:p>
    <w:p>
      <w:pPr>
        <w:spacing w:after="0" w:line="56" w:lineRule="exact"/>
        <w:rPr>
          <w:sz w:val="20"/>
          <w:szCs w:val="20"/>
          <w:color w:val="auto"/>
        </w:rPr>
      </w:pPr>
    </w:p>
    <w:p>
      <w:pPr>
        <w:jc w:val="both"/>
        <w:ind w:firstLine="265"/>
        <w:spacing w:after="0" w:line="237" w:lineRule="auto"/>
        <w:rPr>
          <w:sz w:val="20"/>
          <w:szCs w:val="20"/>
          <w:color w:val="auto"/>
        </w:rPr>
      </w:pPr>
      <w:r>
        <w:rPr>
          <w:rFonts w:ascii="Arial" w:cs="Arial" w:eastAsia="Arial" w:hAnsi="Arial"/>
          <w:sz w:val="15"/>
          <w:szCs w:val="15"/>
          <w:color w:val="auto"/>
        </w:rPr>
        <w:t>On September 15, 2020, we completed our underwritten public offering of $600 million aggregate principal amount of our 2.45% Notes due March 15, 2031 (the "2.45% Notes") pursuant to an effective registration statement filed with the SEC. The net proceeds from the registered offering of the 2.45% Notes were approximately $593 million, after deducting underwriting discounts and commissions and offering expenses. We used the net proceeds from the offering (i) to repay all our $260 million outstanding indebtedness under the Term Loan, and (ii) for general corporate purposes.</w:t>
      </w:r>
    </w:p>
    <w:p>
      <w:pPr>
        <w:spacing w:after="0" w:line="69" w:lineRule="exact"/>
        <w:rPr>
          <w:sz w:val="20"/>
          <w:szCs w:val="20"/>
          <w:color w:val="auto"/>
        </w:rPr>
      </w:pPr>
    </w:p>
    <w:p>
      <w:pPr>
        <w:jc w:val="both"/>
        <w:ind w:firstLine="265"/>
        <w:spacing w:after="0" w:line="237" w:lineRule="auto"/>
        <w:rPr>
          <w:sz w:val="20"/>
          <w:szCs w:val="20"/>
          <w:color w:val="auto"/>
        </w:rPr>
      </w:pPr>
      <w:r>
        <w:rPr>
          <w:rFonts w:ascii="Arial" w:cs="Arial" w:eastAsia="Arial" w:hAnsi="Arial"/>
          <w:sz w:val="15"/>
          <w:szCs w:val="15"/>
          <w:color w:val="auto"/>
        </w:rPr>
        <w:t>On June 12, 2020, we completed our underwritten public offering of $650 million aggregate principal amount of the 3.40% Notes due June 15, 2030 (the “3.40% Notes”) pursuant to an effective registration statement filed with the SEC. The net proceeds from the registered offering of the 3.40% Notes were approximately $642 million, after deducting underwriting discounts, and commissions and offering expenses. We used the net proceeds from the offering (i) to repay $640 million of the outstanding principal amount under the Term Loan, and (ii) for general corporate purposes.</w:t>
      </w:r>
    </w:p>
    <w:p>
      <w:pPr>
        <w:spacing w:after="0" w:line="69" w:lineRule="exact"/>
        <w:rPr>
          <w:sz w:val="20"/>
          <w:szCs w:val="20"/>
          <w:color w:val="auto"/>
        </w:rPr>
      </w:pPr>
    </w:p>
    <w:p>
      <w:pPr>
        <w:ind w:right="320"/>
        <w:spacing w:after="0" w:line="266" w:lineRule="auto"/>
        <w:rPr>
          <w:sz w:val="20"/>
          <w:szCs w:val="20"/>
          <w:color w:val="auto"/>
        </w:rPr>
      </w:pPr>
      <w:r>
        <w:rPr>
          <w:rFonts w:ascii="Arial" w:cs="Arial" w:eastAsia="Arial" w:hAnsi="Arial"/>
          <w:sz w:val="15"/>
          <w:szCs w:val="15"/>
          <w:color w:val="auto"/>
        </w:rPr>
        <w:t>On June 1, 2020, as a result of the F&amp;G acquisition, we assumed $550 million aggregate principal amount of 5.50% senior notes due 2025 (the "5.50% F&amp;G Notes"), originally issued on April 20, 2018 at 99.5% of face value for proceeds of $547 million.</w:t>
      </w:r>
    </w:p>
    <w:p>
      <w:pPr>
        <w:spacing w:after="0" w:line="59" w:lineRule="exact"/>
        <w:rPr>
          <w:sz w:val="20"/>
          <w:szCs w:val="20"/>
          <w:color w:val="auto"/>
        </w:rPr>
      </w:pPr>
    </w:p>
    <w:p>
      <w:pPr>
        <w:jc w:val="both"/>
        <w:ind w:firstLine="265"/>
        <w:spacing w:after="0" w:line="249" w:lineRule="auto"/>
        <w:rPr>
          <w:sz w:val="20"/>
          <w:szCs w:val="20"/>
          <w:color w:val="auto"/>
        </w:rPr>
      </w:pPr>
      <w:r>
        <w:rPr>
          <w:rFonts w:ascii="Arial" w:cs="Arial" w:eastAsia="Arial" w:hAnsi="Arial"/>
          <w:sz w:val="15"/>
          <w:szCs w:val="15"/>
          <w:color w:val="auto"/>
        </w:rPr>
        <w:t>On August 13, 2018, we completed an offering of $450 million in aggregate principal amount of 4.50% notes due August 2028 (the "4.50% Notes"), pursuant to Rule 144A and Regulation S under the Securities Act of 1933, as amended. The 4.50% Notes were priced at 99.252% of par to yield 4.594% annual interest. We pay interest on the 4.50% Notes semi-annually on the 15th of February and August, beginning February 15, 2019. The 4.50% Notes contain customary covenants and events of default for investment grade public debt, which primarily relate to failure to make principal or interest payments. On May 16, 2019, we completed an offering to exchange the 4.50% Notes for substantially identical notes registered pursuant to Rule 424 under the Securities Act of 1933 (the "4.50% Notes Exchange"). There were no material changes to the terms of the 4.50% Notes as a result of the 4.50% Notes Exchange and all holders of the 4.50% Notes accepted the offer to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9" w:name="page60"/>
    <w:bookmarkEnd w:id="59"/>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80" w:firstLine="265"/>
        <w:spacing w:after="0" w:line="302" w:lineRule="auto"/>
        <w:rPr>
          <w:sz w:val="20"/>
          <w:szCs w:val="20"/>
          <w:color w:val="auto"/>
        </w:rPr>
      </w:pPr>
      <w:r>
        <w:rPr>
          <w:rFonts w:ascii="Arial" w:cs="Arial" w:eastAsia="Arial" w:hAnsi="Arial"/>
          <w:sz w:val="14"/>
          <w:szCs w:val="14"/>
          <w:color w:val="auto"/>
        </w:rPr>
        <w:t>On August 28, 2012, we completed an offering of $400 million in aggregate principal amount of 5.50% notes due September 2022 (the "5.50% Notes"), pursuant to an effective registration statement previously filed with the SEC. The material terms of the 5.50% Notes are set forth in our Annual Report for the year ended December 31, 2019.</w:t>
      </w:r>
    </w:p>
    <w:p>
      <w:pPr>
        <w:spacing w:after="0" w:line="70" w:lineRule="exact"/>
        <w:rPr>
          <w:sz w:val="20"/>
          <w:szCs w:val="20"/>
          <w:color w:val="auto"/>
        </w:rPr>
      </w:pPr>
    </w:p>
    <w:tbl>
      <w:tblPr>
        <w:tblLayout w:type="fixed"/>
        <w:tblInd w:w="280" w:type="dxa"/>
        <w:tblCellMar>
          <w:top w:w="0" w:type="dxa"/>
          <w:left w:w="0" w:type="dxa"/>
          <w:bottom w:w="0" w:type="dxa"/>
          <w:right w:w="0" w:type="dxa"/>
        </w:tblCellMar>
      </w:tblPr>
      <w:tr>
        <w:trPr>
          <w:trHeight w:val="187"/>
        </w:trPr>
        <w:tc>
          <w:tcPr>
            <w:tcW w:w="9640" w:type="dxa"/>
            <w:vAlign w:val="bottom"/>
          </w:tcPr>
          <w:p>
            <w:pPr>
              <w:ind w:left="500"/>
              <w:spacing w:after="0"/>
              <w:rPr>
                <w:sz w:val="20"/>
                <w:szCs w:val="20"/>
                <w:color w:val="auto"/>
              </w:rPr>
            </w:pPr>
            <w:r>
              <w:rPr>
                <w:rFonts w:ascii="Arial" w:cs="Arial" w:eastAsia="Arial" w:hAnsi="Arial"/>
                <w:sz w:val="15"/>
                <w:szCs w:val="15"/>
                <w:color w:val="auto"/>
              </w:rPr>
              <w:t>Gross principal maturities of notes payable at September 30, 2021 are as follows (in millions):</w:t>
            </w: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8"/>
        </w:trPr>
        <w:tc>
          <w:tcPr>
            <w:tcW w:w="9640" w:type="dxa"/>
            <w:vAlign w:val="bottom"/>
          </w:tcPr>
          <w:p>
            <w:pPr>
              <w:ind w:left="280"/>
              <w:spacing w:after="0"/>
              <w:rPr>
                <w:sz w:val="20"/>
                <w:szCs w:val="20"/>
                <w:color w:val="auto"/>
              </w:rPr>
            </w:pPr>
            <w:r>
              <w:rPr>
                <w:rFonts w:ascii="Arial" w:cs="Arial" w:eastAsia="Arial" w:hAnsi="Arial"/>
                <w:sz w:val="15"/>
                <w:szCs w:val="15"/>
                <w:color w:val="auto"/>
              </w:rPr>
              <w:t>2021 (remaining)</w:t>
            </w:r>
          </w:p>
        </w:tc>
        <w:tc>
          <w:tcPr>
            <w:tcW w:w="800" w:type="dxa"/>
            <w:vAlign w:val="bottom"/>
          </w:tcPr>
          <w:p>
            <w:pPr>
              <w:jc w:val="right"/>
              <w:ind w:right="366"/>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6"/>
                <w:szCs w:val="16"/>
                <w:color w:val="auto"/>
              </w:rPr>
            </w:pPr>
          </w:p>
        </w:tc>
      </w:tr>
      <w:tr>
        <w:trPr>
          <w:trHeight w:val="188"/>
        </w:trPr>
        <w:tc>
          <w:tcPr>
            <w:tcW w:w="96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2022</w:t>
            </w:r>
          </w:p>
        </w:tc>
        <w:tc>
          <w:tcPr>
            <w:tcW w:w="8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r>
      <w:tr>
        <w:trPr>
          <w:trHeight w:val="188"/>
        </w:trPr>
        <w:tc>
          <w:tcPr>
            <w:tcW w:w="9640" w:type="dxa"/>
            <w:vAlign w:val="bottom"/>
          </w:tcPr>
          <w:p>
            <w:pPr>
              <w:ind w:left="280"/>
              <w:spacing w:after="0"/>
              <w:rPr>
                <w:sz w:val="20"/>
                <w:szCs w:val="20"/>
                <w:color w:val="auto"/>
              </w:rPr>
            </w:pPr>
            <w:r>
              <w:rPr>
                <w:rFonts w:ascii="Arial" w:cs="Arial" w:eastAsia="Arial" w:hAnsi="Arial"/>
                <w:sz w:val="15"/>
                <w:szCs w:val="15"/>
                <w:color w:val="auto"/>
              </w:rPr>
              <w:t>2023</w:t>
            </w: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8"/>
        </w:trPr>
        <w:tc>
          <w:tcPr>
            <w:tcW w:w="96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2024</w:t>
            </w:r>
          </w:p>
        </w:tc>
        <w:tc>
          <w:tcPr>
            <w:tcW w:w="8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88"/>
        </w:trPr>
        <w:tc>
          <w:tcPr>
            <w:tcW w:w="9640" w:type="dxa"/>
            <w:vAlign w:val="bottom"/>
          </w:tcPr>
          <w:p>
            <w:pPr>
              <w:ind w:left="280"/>
              <w:spacing w:after="0"/>
              <w:rPr>
                <w:sz w:val="20"/>
                <w:szCs w:val="20"/>
                <w:color w:val="auto"/>
              </w:rPr>
            </w:pPr>
            <w:r>
              <w:rPr>
                <w:rFonts w:ascii="Arial" w:cs="Arial" w:eastAsia="Arial" w:hAnsi="Arial"/>
                <w:sz w:val="15"/>
                <w:szCs w:val="15"/>
                <w:color w:val="auto"/>
              </w:rPr>
              <w:t>2025</w:t>
            </w:r>
          </w:p>
        </w:tc>
        <w:tc>
          <w:tcPr>
            <w:tcW w:w="8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188"/>
        </w:trPr>
        <w:tc>
          <w:tcPr>
            <w:tcW w:w="96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Thereafter</w:t>
            </w:r>
          </w:p>
        </w:tc>
        <w:tc>
          <w:tcPr>
            <w:tcW w:w="8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w:t>
            </w:r>
          </w:p>
        </w:tc>
      </w:tr>
      <w:tr>
        <w:trPr>
          <w:trHeight w:val="179"/>
        </w:trPr>
        <w:tc>
          <w:tcPr>
            <w:tcW w:w="9640" w:type="dxa"/>
            <w:vAlign w:val="bottom"/>
          </w:tcPr>
          <w:p>
            <w:pPr>
              <w:spacing w:after="0"/>
              <w:rPr>
                <w:sz w:val="15"/>
                <w:szCs w:val="15"/>
                <w:color w:val="auto"/>
              </w:rPr>
            </w:pPr>
          </w:p>
        </w:tc>
        <w:tc>
          <w:tcPr>
            <w:tcW w:w="80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w:t>
            </w:r>
          </w:p>
        </w:tc>
      </w:tr>
      <w:tr>
        <w:trPr>
          <w:trHeight w:val="20"/>
        </w:trPr>
        <w:tc>
          <w:tcPr>
            <w:tcW w:w="96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60" w:name="page61"/>
    <w:bookmarkEnd w:id="60"/>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Item 2. Management's Discussion and Analysis of Financial Condition and Results of Operations</w:t>
      </w:r>
    </w:p>
    <w:p>
      <w:pPr>
        <w:spacing w:after="0" w:line="19" w:lineRule="exact"/>
        <w:rPr>
          <w:sz w:val="20"/>
          <w:szCs w:val="20"/>
          <w:color w:val="auto"/>
        </w:rPr>
      </w:pPr>
    </w:p>
    <w:p>
      <w:pPr>
        <w:jc w:val="both"/>
        <w:ind w:firstLine="265"/>
        <w:spacing w:after="0" w:line="287" w:lineRule="auto"/>
        <w:rPr>
          <w:sz w:val="20"/>
          <w:szCs w:val="20"/>
          <w:color w:val="auto"/>
        </w:rPr>
      </w:pPr>
      <w:r>
        <w:rPr>
          <w:rFonts w:ascii="Arial" w:cs="Arial" w:eastAsia="Arial" w:hAnsi="Arial"/>
          <w:sz w:val="13"/>
          <w:szCs w:val="13"/>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the ability of FNF to successfully integrate F&amp;G's operations and employees; the potential impact of the F&amp;G acquisition on relationships, including with employees, suppliers, customers and competitors; changes in general economic, business and political and COVID-19 conditions, including changes in the financial markets; weakness or adverse changes in the level of real estate activity, which may be caused by, among other things, high or increasing interest rates, a limited supply of mortgage funding, a weak U.S. economy; our potential inability to find suitable acquisition candidates, acquisitions in lines of business that will not necessarily be limited to our traditional areas of focus, or difficulties in consummating and integrating acquisitions; our dependence on distributions from our title insurance underwriters as our main source of cash flow; significant competition that our operating subsidiaries face; compliance with extensive government regulation of our operating subsidiaries; and other risks detailed in the “Statement Regarding Forward-Looking Information,” “Risk Factors” and other sections of our Annual Report on Form 10-K (our "Annual Report") for the year ended December 31, 2020 and other filings with the SEC.</w:t>
      </w:r>
    </w:p>
    <w:p>
      <w:pPr>
        <w:spacing w:after="0" w:line="5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discussion should be read in conjunction with our Annual Report.</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96" w:lineRule="exact"/>
        <w:rPr>
          <w:sz w:val="20"/>
          <w:szCs w:val="20"/>
          <w:color w:val="auto"/>
        </w:rPr>
      </w:pPr>
    </w:p>
    <w:p>
      <w:pPr>
        <w:jc w:val="both"/>
        <w:ind w:firstLine="265"/>
        <w:spacing w:after="0" w:line="302" w:lineRule="auto"/>
        <w:rPr>
          <w:sz w:val="20"/>
          <w:szCs w:val="20"/>
          <w:color w:val="auto"/>
        </w:rPr>
      </w:pPr>
      <w:r>
        <w:rPr>
          <w:rFonts w:ascii="Arial" w:cs="Arial" w:eastAsia="Arial" w:hAnsi="Arial"/>
          <w:sz w:val="14"/>
          <w:szCs w:val="14"/>
          <w:color w:val="auto"/>
        </w:rPr>
        <w:t xml:space="preserve">For a description of our business, including descriptions of segments and recent business developments, see the discussion in Note A </w:t>
      </w:r>
      <w:r>
        <w:rPr>
          <w:rFonts w:ascii="Arial" w:cs="Arial" w:eastAsia="Arial" w:hAnsi="Arial"/>
          <w:sz w:val="14"/>
          <w:szCs w:val="14"/>
          <w:i w:val="1"/>
          <w:iCs w:val="1"/>
          <w:color w:val="auto"/>
        </w:rPr>
        <w:t>Basis of Financial Statements</w:t>
      </w:r>
      <w:r>
        <w:rPr>
          <w:rFonts w:ascii="Arial" w:cs="Arial" w:eastAsia="Arial" w:hAnsi="Arial"/>
          <w:sz w:val="14"/>
          <w:szCs w:val="14"/>
          <w:color w:val="auto"/>
        </w:rPr>
        <w:t xml:space="preserve"> in the accompanying unaudited Condensed Consolidated Financial Statements included in Item 1 of Part I of this Report, which is incorporated by reference into this Part I, Item 2.</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 Trends and Conditions</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Title</w:t>
      </w:r>
    </w:p>
    <w:p>
      <w:pPr>
        <w:spacing w:after="0" w:line="92" w:lineRule="exact"/>
        <w:rPr>
          <w:sz w:val="20"/>
          <w:szCs w:val="20"/>
          <w:color w:val="auto"/>
        </w:rPr>
      </w:pPr>
    </w:p>
    <w:p>
      <w:pPr>
        <w:jc w:val="both"/>
        <w:ind w:firstLine="265"/>
        <w:spacing w:after="0" w:line="266" w:lineRule="auto"/>
        <w:rPr>
          <w:sz w:val="20"/>
          <w:szCs w:val="20"/>
          <w:color w:val="auto"/>
        </w:rPr>
      </w:pPr>
      <w:r>
        <w:rPr>
          <w:rFonts w:ascii="Arial" w:cs="Arial" w:eastAsia="Arial" w:hAnsi="Arial"/>
          <w:sz w:val="15"/>
          <w:szCs w:val="15"/>
          <w:color w:val="auto"/>
        </w:rPr>
        <w:t>Our Title segment revenue is closely related to the level of real estate activity which includes sales, mortgage financing and mortgage refinancing. Declines in the level of real estate activity or the average price of real estate sales will adversely affect our title insurance revenues.</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have found that residential real estate activity is generally dependent on the following factors:</w:t>
      </w:r>
    </w:p>
    <w:p>
      <w:pPr>
        <w:spacing w:after="0" w:line="81" w:lineRule="exact"/>
        <w:rPr>
          <w:sz w:val="20"/>
          <w:szCs w:val="20"/>
          <w:color w:val="auto"/>
        </w:rPr>
      </w:pPr>
    </w:p>
    <w:p>
      <w:pPr>
        <w:ind w:left="540" w:hanging="267"/>
        <w:spacing w:after="0"/>
        <w:tabs>
          <w:tab w:leader="none" w:pos="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mortgage interest rates;</w:t>
      </w:r>
    </w:p>
    <w:p>
      <w:pPr>
        <w:spacing w:after="0" w:line="14" w:lineRule="exact"/>
        <w:rPr>
          <w:rFonts w:ascii="Arial" w:cs="Arial" w:eastAsia="Arial" w:hAnsi="Arial"/>
          <w:sz w:val="15"/>
          <w:szCs w:val="15"/>
          <w:color w:val="auto"/>
        </w:rPr>
      </w:pPr>
    </w:p>
    <w:p>
      <w:pPr>
        <w:ind w:left="540" w:hanging="267"/>
        <w:spacing w:after="0"/>
        <w:tabs>
          <w:tab w:leader="none" w:pos="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mortgage funding supply;</w:t>
      </w:r>
    </w:p>
    <w:p>
      <w:pPr>
        <w:spacing w:after="0" w:line="4" w:lineRule="exact"/>
        <w:rPr>
          <w:rFonts w:ascii="Arial" w:cs="Arial" w:eastAsia="Arial" w:hAnsi="Arial"/>
          <w:sz w:val="15"/>
          <w:szCs w:val="15"/>
          <w:color w:val="auto"/>
        </w:rPr>
      </w:pPr>
    </w:p>
    <w:p>
      <w:pPr>
        <w:ind w:left="540" w:hanging="267"/>
        <w:spacing w:after="0"/>
        <w:tabs>
          <w:tab w:leader="none" w:pos="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housing inventory and home prices;</w:t>
      </w:r>
    </w:p>
    <w:p>
      <w:pPr>
        <w:spacing w:after="0" w:line="4" w:lineRule="exact"/>
        <w:rPr>
          <w:rFonts w:ascii="Arial" w:cs="Arial" w:eastAsia="Arial" w:hAnsi="Arial"/>
          <w:sz w:val="15"/>
          <w:szCs w:val="15"/>
          <w:color w:val="auto"/>
        </w:rPr>
      </w:pPr>
    </w:p>
    <w:p>
      <w:pPr>
        <w:ind w:left="540" w:hanging="267"/>
        <w:spacing w:after="0"/>
        <w:tabs>
          <w:tab w:leader="none" w:pos="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supply and demand for commercial real estate; and</w:t>
      </w:r>
    </w:p>
    <w:p>
      <w:pPr>
        <w:spacing w:after="0" w:line="4" w:lineRule="exact"/>
        <w:rPr>
          <w:rFonts w:ascii="Arial" w:cs="Arial" w:eastAsia="Arial" w:hAnsi="Arial"/>
          <w:sz w:val="15"/>
          <w:szCs w:val="15"/>
          <w:color w:val="auto"/>
        </w:rPr>
      </w:pPr>
    </w:p>
    <w:p>
      <w:pPr>
        <w:ind w:left="540" w:hanging="267"/>
        <w:spacing w:after="0"/>
        <w:tabs>
          <w:tab w:leader="none" w:pos="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strength of the United States economy, including employment levels.</w:t>
      </w:r>
    </w:p>
    <w:p>
      <w:pPr>
        <w:spacing w:after="0" w:line="82" w:lineRule="exact"/>
        <w:rPr>
          <w:sz w:val="20"/>
          <w:szCs w:val="20"/>
          <w:color w:val="auto"/>
        </w:rPr>
      </w:pPr>
    </w:p>
    <w:p>
      <w:pPr>
        <w:jc w:val="both"/>
        <w:ind w:firstLine="265"/>
        <w:spacing w:after="0" w:line="255" w:lineRule="auto"/>
        <w:rPr>
          <w:sz w:val="20"/>
          <w:szCs w:val="20"/>
          <w:color w:val="auto"/>
        </w:rPr>
      </w:pPr>
      <w:r>
        <w:rPr>
          <w:rFonts w:ascii="Arial" w:cs="Arial" w:eastAsia="Arial" w:hAnsi="Arial"/>
          <w:sz w:val="15"/>
          <w:szCs w:val="15"/>
          <w:color w:val="auto"/>
        </w:rPr>
        <w:t>While we cannot predict the severity and duration of the negative impacts related to the outbreak of COVID-19, the most recent forecast of the Mortgage Bankers Association ("MBA"), as of October 17, 2021, estimates (actual for fiscal year 2020) the size of the U.S. residential mortgage originations market as shown in the following table for 2020 - 2023 in its "Mortgage Finance Forecast" (in trillions):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2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2023</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0"/>
              <w:spacing w:after="0"/>
              <w:rPr>
                <w:sz w:val="20"/>
                <w:szCs w:val="20"/>
                <w:color w:val="auto"/>
              </w:rPr>
            </w:pPr>
            <w:r>
              <w:rPr>
                <w:rFonts w:ascii="Arial" w:cs="Arial" w:eastAsia="Arial" w:hAnsi="Arial"/>
                <w:sz w:val="12"/>
                <w:szCs w:val="12"/>
                <w:b w:val="1"/>
                <w:bCs w:val="1"/>
                <w:color w:val="auto"/>
              </w:rPr>
              <w:t>2022</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70"/>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2"/>
                <w:szCs w:val="12"/>
                <w:b w:val="1"/>
                <w:bCs w:val="1"/>
                <w:color w:val="auto"/>
              </w:rPr>
              <w:t>2020</w:t>
            </w:r>
          </w:p>
        </w:tc>
      </w:tr>
      <w:tr>
        <w:trPr>
          <w:trHeight w:val="184"/>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Purchase transactions</w:t>
            </w:r>
          </w:p>
        </w:tc>
        <w:tc>
          <w:tcPr>
            <w:tcW w:w="640" w:type="dxa"/>
            <w:vAlign w:val="bottom"/>
            <w:shd w:val="clear" w:color="auto" w:fill="CCEEFF"/>
          </w:tcPr>
          <w:p>
            <w:pPr>
              <w:jc w:val="right"/>
              <w:ind w:right="470"/>
              <w:spacing w:after="0"/>
              <w:rPr>
                <w:sz w:val="20"/>
                <w:szCs w:val="20"/>
                <w:color w:val="auto"/>
              </w:rPr>
            </w:pPr>
            <w:r>
              <w:rPr>
                <w:rFonts w:ascii="Arial" w:cs="Arial" w:eastAsia="Arial" w:hAnsi="Arial"/>
                <w:sz w:val="15"/>
                <w:szCs w:val="15"/>
                <w:color w:val="auto"/>
                <w:w w:val="95"/>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r>
      <w:tr>
        <w:trPr>
          <w:trHeight w:val="188"/>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Refinance transactions</w:t>
            </w:r>
          </w:p>
        </w:tc>
        <w:tc>
          <w:tcPr>
            <w:tcW w:w="640" w:type="dxa"/>
            <w:vAlign w:val="bottom"/>
            <w:tcBorders>
              <w:bottom w:val="single" w:sz="8" w:color="auto"/>
            </w:tcBorders>
          </w:tcPr>
          <w:p>
            <w:pPr>
              <w:jc w:val="right"/>
              <w:ind w:right="470"/>
              <w:spacing w:after="0"/>
              <w:rPr>
                <w:sz w:val="20"/>
                <w:szCs w:val="20"/>
                <w:color w:val="auto"/>
              </w:rPr>
            </w:pPr>
            <w:r>
              <w:rPr>
                <w:rFonts w:ascii="Arial" w:cs="Arial" w:eastAsia="Arial" w:hAnsi="Arial"/>
                <w:sz w:val="15"/>
                <w:szCs w:val="15"/>
                <w:color w:val="auto"/>
                <w:w w:val="95"/>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w:t>
            </w:r>
          </w:p>
        </w:tc>
      </w:tr>
      <w:tr>
        <w:trPr>
          <w:trHeight w:val="204"/>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U.S. mortgage originations forecast</w:t>
            </w:r>
          </w:p>
        </w:tc>
        <w:tc>
          <w:tcPr>
            <w:tcW w:w="6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5"/>
                <w:szCs w:val="15"/>
                <w:color w:val="auto"/>
                <w:w w:val="95"/>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343" w:lineRule="exact"/>
        <w:rPr>
          <w:sz w:val="20"/>
          <w:szCs w:val="20"/>
          <w:color w:val="auto"/>
        </w:rPr>
      </w:pPr>
    </w:p>
    <w:p>
      <w:pPr>
        <w:jc w:val="both"/>
        <w:ind w:firstLine="265"/>
        <w:spacing w:after="0" w:line="255" w:lineRule="auto"/>
        <w:rPr>
          <w:sz w:val="20"/>
          <w:szCs w:val="20"/>
          <w:color w:val="auto"/>
        </w:rPr>
      </w:pPr>
      <w:r>
        <w:rPr>
          <w:rFonts w:ascii="Arial" w:cs="Arial" w:eastAsia="Arial" w:hAnsi="Arial"/>
          <w:sz w:val="15"/>
          <w:szCs w:val="15"/>
          <w:color w:val="auto"/>
        </w:rPr>
        <w:t>As of October 17, 2021, the MBA expects residential purchase transactions to steadily increase in 2021 and beyond from 2020 levels. Additionally the MBA expects residential refinance transactions to decrease in 2021 and beyond as interest rates are expected to rise while the supply of refinance candidates decreases. The MBA expects overall mortgage originations to decrease in 2021 and beyond as a result of record refinance originations in 2020.</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1" w:name="page62"/>
    <w:bookmarkEnd w:id="6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jc w:val="both"/>
        <w:ind w:firstLine="265"/>
        <w:spacing w:after="0" w:line="252" w:lineRule="auto"/>
        <w:rPr>
          <w:sz w:val="20"/>
          <w:szCs w:val="20"/>
          <w:color w:val="auto"/>
        </w:rPr>
      </w:pPr>
      <w:r>
        <w:rPr>
          <w:rFonts w:ascii="Arial" w:cs="Arial" w:eastAsia="Arial" w:hAnsi="Arial"/>
          <w:sz w:val="15"/>
          <w:szCs w:val="15"/>
          <w:color w:val="auto"/>
        </w:rPr>
        <w:t>In recent years, total originations have been reflective of a strong residential real estate market driven by increasing home prices and low mortgage interest rates. Mortgage rates rose consistently between 2016 and the beginning of 2019. Concerns over a slowing global economy and the impact of a prolonged trade war resulted in interest rate cuts in the second half of the 2019, which significantly increased refinance transactions and slightly increased purchase transactions when compared to 2018. In the beginning of 2020, refinance and purchase transactions remained strong until the outbreak of COVID-19.</w:t>
      </w:r>
    </w:p>
    <w:p>
      <w:pPr>
        <w:spacing w:after="0" w:line="59" w:lineRule="exact"/>
        <w:rPr>
          <w:sz w:val="20"/>
          <w:szCs w:val="20"/>
          <w:color w:val="auto"/>
        </w:rPr>
      </w:pPr>
    </w:p>
    <w:p>
      <w:pPr>
        <w:jc w:val="both"/>
        <w:ind w:firstLine="265"/>
        <w:spacing w:after="0" w:line="271" w:lineRule="auto"/>
        <w:rPr>
          <w:sz w:val="20"/>
          <w:szCs w:val="20"/>
          <w:color w:val="auto"/>
        </w:rPr>
      </w:pPr>
      <w:r>
        <w:rPr>
          <w:rFonts w:ascii="Arial" w:cs="Arial" w:eastAsia="Arial" w:hAnsi="Arial"/>
          <w:sz w:val="14"/>
          <w:szCs w:val="14"/>
          <w:color w:val="auto"/>
        </w:rPr>
        <w:t>On March 11, 2020, the World Health Organization declared that the novel coronavirus or COVID-19 “can be characterized as a pandemic,” which is defined as a worldwide spread of a new disease for which most people do not have immunity. On March 15, 2020, the Federal Reserve took emergency action and reduced its benchmark interest rate by a full percentage point to nearly zero. Following this emergency action, average interest rates for a 30-year fixed rate mortgages fell throughout the remainder of the year, bottoming out at 2.65% on January 7, 2021. The outbreak of COVID-19 resulted in significant uncertainty in the economic outlook in the second quarter of 2020, and as a result real estate activity decreased significantly as consumers moved to the sidelines to assess the ongoing impact of COVID-19. However, real estate activity began to rebound in June 2020, with increases in purchase activity and a surge in refinance transactions as a result of historically low interest rates.</w:t>
      </w:r>
    </w:p>
    <w:p>
      <w:pPr>
        <w:spacing w:after="0" w:line="35" w:lineRule="exact"/>
        <w:rPr>
          <w:sz w:val="20"/>
          <w:szCs w:val="20"/>
          <w:color w:val="auto"/>
        </w:rPr>
      </w:pPr>
    </w:p>
    <w:p>
      <w:pPr>
        <w:jc w:val="both"/>
        <w:ind w:firstLine="265"/>
        <w:spacing w:after="0" w:line="255" w:lineRule="auto"/>
        <w:rPr>
          <w:sz w:val="20"/>
          <w:szCs w:val="20"/>
          <w:color w:val="auto"/>
        </w:rPr>
      </w:pPr>
      <w:r>
        <w:rPr>
          <w:rFonts w:ascii="Arial" w:cs="Arial" w:eastAsia="Arial" w:hAnsi="Arial"/>
          <w:sz w:val="15"/>
          <w:szCs w:val="15"/>
          <w:color w:val="auto"/>
        </w:rPr>
        <w:t>Residential purchase and refinance activity has remained strong in the first three quarters of 2021. However, with the surge in residential refinance transactions in 2020, residential refinance transactions began to slow in 2021 as the population of eligible refinance candidates declined. Mortgage interest rates averaged 2.9% in the third quarter of 2021. Despite the recent increase in interest rates and fluctuation in existing-home sales, the market is still outperforming pre-pandemic levels.</w:t>
      </w:r>
    </w:p>
    <w:p>
      <w:pPr>
        <w:spacing w:after="0" w:line="57" w:lineRule="exact"/>
        <w:rPr>
          <w:sz w:val="20"/>
          <w:szCs w:val="20"/>
          <w:color w:val="auto"/>
        </w:rPr>
      </w:pPr>
    </w:p>
    <w:p>
      <w:pPr>
        <w:jc w:val="both"/>
        <w:ind w:firstLine="265"/>
        <w:spacing w:after="0" w:line="271" w:lineRule="auto"/>
        <w:rPr>
          <w:sz w:val="20"/>
          <w:szCs w:val="20"/>
          <w:color w:val="auto"/>
        </w:rPr>
      </w:pPr>
      <w:r>
        <w:rPr>
          <w:rFonts w:ascii="Arial" w:cs="Arial" w:eastAsia="Arial" w:hAnsi="Arial"/>
          <w:sz w:val="14"/>
          <w:szCs w:val="14"/>
          <w:color w:val="auto"/>
        </w:rPr>
        <w:t>Other economic indicators used to measure the health of the U.S. economy, including the unemployment rate and consumer confidence, indicated that the United States was on strong footing prior to the outbreak of COVID-19. However, the impact of COVID-19 reduced the outlook related to these economic indicators in March 2020. According to the U.S. Department of Labor's Bureau of Labor, the unemployment rate was at a historically low 3.5% in February 2020 but subsequently rose to a record 14.8% in April 2020 before declining to a still-elevated level of 6.7% in December 2020. In 2021, the unemployment rate has continued to fall to 4.8% in September 2021. Additionally, the Conference Board's monthly Consumer Confidence Index remained at high levels through February 2020 before falling as a result of the COVID-19 outbreak. Consumer confidence has since rebounded, reaching its peak in June of 2021 before decreasing in the third quarter of 2021 due to concerns over inflation and the spread of the Delta variant.</w:t>
      </w:r>
    </w:p>
    <w:p>
      <w:pPr>
        <w:spacing w:after="0" w:line="46" w:lineRule="exact"/>
        <w:rPr>
          <w:sz w:val="20"/>
          <w:szCs w:val="20"/>
          <w:color w:val="auto"/>
        </w:rPr>
      </w:pPr>
    </w:p>
    <w:p>
      <w:pPr>
        <w:jc w:val="both"/>
        <w:ind w:firstLine="265"/>
        <w:spacing w:after="0" w:line="269" w:lineRule="auto"/>
        <w:rPr>
          <w:sz w:val="20"/>
          <w:szCs w:val="20"/>
          <w:color w:val="auto"/>
        </w:rPr>
      </w:pPr>
      <w:r>
        <w:rPr>
          <w:rFonts w:ascii="Arial" w:cs="Arial" w:eastAsia="Arial" w:hAnsi="Arial"/>
          <w:sz w:val="14"/>
          <w:szCs w:val="14"/>
          <w:color w:val="auto"/>
        </w:rPr>
        <w:t>Because commercial real estate transactions tend to be generally driven by supply and demand for commercial space and occupancy rates in a particular area rather than by interest rate fluctuations, we believe that our commercial real estate title insurance business is less dependent on the industry cycles discussed above than our residential real estate title business. Commercial real estate transaction volume is also often linked to the availability of financing. Factors including U.S. tax reform and a shift in U.S. monetary policy have had, or are expected to have, varying effects on availability of financing in the U.S. Lower corporate and individual tax rates and corporate tax-deductibility of capital expenditures have provided increased capacity and incentive for investments in commercial real estate. In recent years, we have experienced strong demand in commercial real estate markets and from 2015 through 2019, we experienced historically high volumes and fee-per-file in our commercial business. In 2020, we experienced decreases in commercial volumes and commercial fee-per-file as a result of the outbreak of COVID-19. In the second half of 2020 and the first three quarters of 2021, commercial volumes have continued to recover.</w:t>
      </w:r>
    </w:p>
    <w:p>
      <w:pPr>
        <w:spacing w:after="0" w:line="28" w:lineRule="exact"/>
        <w:rPr>
          <w:sz w:val="20"/>
          <w:szCs w:val="20"/>
          <w:color w:val="auto"/>
        </w:rPr>
      </w:pPr>
    </w:p>
    <w:p>
      <w:pPr>
        <w:jc w:val="both"/>
        <w:ind w:right="20" w:firstLine="265"/>
        <w:spacing w:after="0" w:line="237" w:lineRule="auto"/>
        <w:rPr>
          <w:sz w:val="20"/>
          <w:szCs w:val="20"/>
          <w:color w:val="auto"/>
        </w:rPr>
      </w:pPr>
      <w:r>
        <w:rPr>
          <w:rFonts w:ascii="Arial" w:cs="Arial" w:eastAsia="Arial" w:hAnsi="Arial"/>
          <w:sz w:val="15"/>
          <w:szCs w:val="15"/>
          <w:color w:val="auto"/>
        </w:rPr>
        <w:t>We continually monitor mortgage origination trends and believe that, based on our ability to produce industry leading operating margins through all economic cycles, we are well positioned to adjust our operations for adverse changes in real estate activity and to take advantage of increased volume when demand increases.</w:t>
      </w:r>
    </w:p>
    <w:p>
      <w:pPr>
        <w:spacing w:after="0" w:line="57" w:lineRule="exact"/>
        <w:rPr>
          <w:sz w:val="20"/>
          <w:szCs w:val="20"/>
          <w:color w:val="auto"/>
        </w:rPr>
      </w:pPr>
    </w:p>
    <w:p>
      <w:pPr>
        <w:jc w:val="both"/>
        <w:ind w:firstLine="265"/>
        <w:spacing w:after="0" w:line="249" w:lineRule="auto"/>
        <w:rPr>
          <w:sz w:val="20"/>
          <w:szCs w:val="20"/>
          <w:color w:val="auto"/>
        </w:rPr>
      </w:pPr>
      <w:r>
        <w:rPr>
          <w:rFonts w:ascii="Arial" w:cs="Arial" w:eastAsia="Arial" w:hAnsi="Arial"/>
          <w:sz w:val="15"/>
          <w:szCs w:val="15"/>
          <w:i w:val="1"/>
          <w:iCs w:val="1"/>
          <w:color w:val="auto"/>
        </w:rPr>
        <w:t xml:space="preserve">Seasonality. </w:t>
      </w:r>
      <w:r>
        <w:rPr>
          <w:rFonts w:ascii="Arial" w:cs="Arial" w:eastAsia="Arial" w:hAnsi="Arial"/>
          <w:sz w:val="15"/>
          <w:szCs w:val="15"/>
          <w:color w:val="auto"/>
        </w:rPr>
        <w:t>Historically, real estate transactions have produced seasonal revenue fluctuations in the real estate industry. The first calendar quarter is typically the weakest quarter in terms</w:t>
      </w:r>
      <w:r>
        <w:rPr>
          <w:rFonts w:ascii="Arial" w:cs="Arial" w:eastAsia="Arial" w:hAnsi="Arial"/>
          <w:sz w:val="15"/>
          <w:szCs w:val="15"/>
          <w:i w:val="1"/>
          <w:iCs w:val="1"/>
          <w:color w:val="auto"/>
        </w:rPr>
        <w:t xml:space="preserve"> </w:t>
      </w:r>
      <w:r>
        <w:rPr>
          <w:rFonts w:ascii="Arial" w:cs="Arial" w:eastAsia="Arial" w:hAnsi="Arial"/>
          <w:sz w:val="15"/>
          <w:szCs w:val="15"/>
          <w:color w:val="auto"/>
        </w:rPr>
        <w:t>of revenue due to the generally low volume of home sales during January and February. The second and third calendar quarters are typically the strongest quarters in terms of revenue, primarily due to a higher volume of residential transactions in the spring and summer months. The fourth quarter is typically strong due to the desire of commercial entities to complete transactions by year-end. We have noted short-term fluctuations through recent years in resale and refinance transactions as a result of changes in interest rates. Due to COVID-19 and the Federal Reserve's action to reduce the benchmark rate to near zero in response to the pandemic, seasonality deviated from historical patterns in 2020 and we continue to see deviations in 2021.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2" w:name="page63"/>
    <w:bookmarkEnd w:id="6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F&amp;G</w:t>
      </w:r>
    </w:p>
    <w:p>
      <w:pPr>
        <w:spacing w:after="0" w:line="92" w:lineRule="exact"/>
        <w:rPr>
          <w:sz w:val="20"/>
          <w:szCs w:val="20"/>
          <w:color w:val="auto"/>
        </w:rPr>
      </w:pPr>
    </w:p>
    <w:p>
      <w:pPr>
        <w:jc w:val="both"/>
        <w:ind w:firstLine="364"/>
        <w:spacing w:after="0" w:line="266" w:lineRule="auto"/>
        <w:rPr>
          <w:sz w:val="20"/>
          <w:szCs w:val="20"/>
          <w:color w:val="auto"/>
        </w:rPr>
      </w:pPr>
      <w:r>
        <w:rPr>
          <w:rFonts w:ascii="Arial" w:cs="Arial" w:eastAsia="Arial" w:hAnsi="Arial"/>
          <w:sz w:val="15"/>
          <w:szCs w:val="15"/>
          <w:color w:val="auto"/>
        </w:rPr>
        <w:t>The following factors represent some of the key trends and uncertainties that have influenced the development of our F&amp;G segment and its historical financial performance, and we believe these key trends and uncertainties will continue to influence the business and financial performance of our F&amp;G segment in the future.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COVID-19 Pandemic</w:t>
      </w:r>
    </w:p>
    <w:p>
      <w:pPr>
        <w:spacing w:after="0" w:line="5" w:lineRule="exact"/>
        <w:rPr>
          <w:sz w:val="20"/>
          <w:szCs w:val="20"/>
          <w:color w:val="auto"/>
        </w:rPr>
      </w:pPr>
    </w:p>
    <w:p>
      <w:pPr>
        <w:jc w:val="both"/>
        <w:ind w:firstLine="364"/>
        <w:spacing w:after="0" w:line="234" w:lineRule="auto"/>
        <w:rPr>
          <w:sz w:val="20"/>
          <w:szCs w:val="20"/>
          <w:color w:val="auto"/>
        </w:rPr>
      </w:pPr>
      <w:r>
        <w:rPr>
          <w:rFonts w:ascii="Arial" w:cs="Arial" w:eastAsia="Arial" w:hAnsi="Arial"/>
          <w:sz w:val="14"/>
          <w:szCs w:val="14"/>
          <w:color w:val="auto"/>
        </w:rPr>
        <w:t>While continuously evolving, the COVID-19 pandemic has caused significant economic and financial turmoil in the U.S. and around the world. These conditions may continue in the near term. At this time, it is not possible to estimate the longer term-effects the COVID-19 pandemic could have on our F&amp;G segment or our consolidated financial statements. Increased economic uncertainty and increased unemployment resulting from the economic impacts of the spread of COVID-19 may result in F&amp;G policyholders seeking sources of liquidity and withdrawing at rates greater than was previously expected. If policyholder lapse and surrender rates significantly exceed expectations, it could have an adverse effect on our F&amp;G segment's financial condition, results of operations, liquidity and cash flows. Such events or conditions could also have an adverse effect on its sales of new policies. F&amp;G is monitoring the impact of COVID-19 on its investment portfolio and the potential for ratings changes caused by the sudden slowdown of economic activity. The extent to which the COVID-19 pandemic impacts our F&amp;G segment's results of operations, financial condition, liquidity or prospects will depend on future developments which cannot be predicted.</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Market Conditions</w:t>
      </w:r>
    </w:p>
    <w:p>
      <w:pPr>
        <w:spacing w:after="0" w:line="70" w:lineRule="exact"/>
        <w:rPr>
          <w:sz w:val="20"/>
          <w:szCs w:val="20"/>
          <w:color w:val="auto"/>
        </w:rPr>
      </w:pPr>
    </w:p>
    <w:p>
      <w:pPr>
        <w:jc w:val="both"/>
        <w:ind w:firstLine="364"/>
        <w:spacing w:after="0" w:line="252" w:lineRule="auto"/>
        <w:rPr>
          <w:sz w:val="20"/>
          <w:szCs w:val="20"/>
          <w:color w:val="auto"/>
        </w:rPr>
      </w:pPr>
      <w:r>
        <w:rPr>
          <w:rFonts w:ascii="Arial" w:cs="Arial" w:eastAsia="Arial" w:hAnsi="Arial"/>
          <w:sz w:val="15"/>
          <w:szCs w:val="15"/>
          <w:color w:val="auto"/>
        </w:rPr>
        <w:t>Market volatility has affected, and may continue to affect, our business and financial performance in varying ways. Volatility can pressure sales and reduce demand as consumers hesitate to make financial decisions. To enhance the attractiveness and profitability of our products and services, we continually monitor the behavior of our customers, as evidenced by annuitization rates and lapse rates, which vary in response to changes in market conditions. See Item 1A of Part I of our Annual Report on Form 10-K for the year ended December 31, 2020 for further discussion of risk factors that could affect market conditions.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Interest Rate Environment</w:t>
      </w:r>
    </w:p>
    <w:p>
      <w:pPr>
        <w:spacing w:after="0" w:line="70" w:lineRule="exact"/>
        <w:rPr>
          <w:sz w:val="20"/>
          <w:szCs w:val="20"/>
          <w:color w:val="auto"/>
        </w:rPr>
      </w:pPr>
    </w:p>
    <w:p>
      <w:pPr>
        <w:jc w:val="both"/>
        <w:ind w:firstLine="364"/>
        <w:spacing w:after="0" w:line="249" w:lineRule="auto"/>
        <w:rPr>
          <w:sz w:val="20"/>
          <w:szCs w:val="20"/>
          <w:color w:val="auto"/>
        </w:rPr>
      </w:pPr>
      <w:r>
        <w:rPr>
          <w:rFonts w:ascii="Arial" w:cs="Arial" w:eastAsia="Arial" w:hAnsi="Arial"/>
          <w:sz w:val="15"/>
          <w:szCs w:val="15"/>
          <w:color w:val="auto"/>
        </w:rPr>
        <w:t>Some of our products include guaranteed minimum crediting rates, most notably our fixed rate annuities. As of September 30, 2021, the Company's reserves, net of reinsurance, and average crediting rate on our fixed rate annuities were $5.0 billion and 3%, respectively. We are required to pay the guaranteed minimum crediting rates even if earnings on our investment portfolio decline, which would negatively impact earnings. In addition, we expect more policyholders to hold policies with comparatively high guaranteed rates for a longer period in a low interest rate environment. Conversely, a rise in average yield on our investment portfolio would increase earnings if the average interest rate we pay on our products does not rise correspondingly. Similarly, we expect that policyholders would be less likely to hold policies with existing guarantees as interest rates rise and the relative value of other new business offerings are increased, which would negatively impact our earnings and cash flows.</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See Item 7A of Part II of our Annual Report on Form 10-K for the year ended December 31, 2020 for a more detailed discussion of interest rate risk.</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Aging of the U.S. Population</w:t>
      </w:r>
    </w:p>
    <w:p>
      <w:pPr>
        <w:spacing w:after="0" w:line="70"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5"/>
          <w:szCs w:val="15"/>
          <w:color w:val="auto"/>
        </w:rPr>
        <w:t>We believe that the aging of the U.S. population will increase the demand for our products. As the “baby boomer” generation prepares for retirement, we believe that demand for retirement savings, growth, and income products will grow. The impact of this growth may be offset to some extent by asset outflows as an increasing percentage of the population begins withdrawing assets to convert their savings into income.</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Industry Factors and Trends Affecting Our Results of Operations</w:t>
      </w:r>
    </w:p>
    <w:p>
      <w:pPr>
        <w:spacing w:after="0" w:line="70" w:lineRule="exact"/>
        <w:rPr>
          <w:sz w:val="20"/>
          <w:szCs w:val="20"/>
          <w:color w:val="auto"/>
        </w:rPr>
      </w:pPr>
    </w:p>
    <w:p>
      <w:pPr>
        <w:jc w:val="both"/>
        <w:ind w:firstLine="364"/>
        <w:spacing w:after="0" w:line="302" w:lineRule="auto"/>
        <w:rPr>
          <w:sz w:val="20"/>
          <w:szCs w:val="20"/>
          <w:color w:val="auto"/>
        </w:rPr>
      </w:pPr>
      <w:r>
        <w:rPr>
          <w:rFonts w:ascii="Arial" w:cs="Arial" w:eastAsia="Arial" w:hAnsi="Arial"/>
          <w:sz w:val="14"/>
          <w:szCs w:val="14"/>
          <w:color w:val="auto"/>
        </w:rPr>
        <w:t>Demographics and macroeconomic factors are increasing the demand for our FIA and IUL products. Over 10,000 people will turn 65 each day in the United States over the next 15 years, and according to the U.S. Census Bureau, the proportion of the U.S. population over the age of 65 is expected to grow from 17% in 2020 to 21% in 2035.</w:t>
      </w:r>
    </w:p>
    <w:p>
      <w:pPr>
        <w:spacing w:after="0" w:line="14" w:lineRule="exact"/>
        <w:rPr>
          <w:sz w:val="20"/>
          <w:szCs w:val="20"/>
          <w:color w:val="auto"/>
        </w:rPr>
      </w:pPr>
    </w:p>
    <w:p>
      <w:pPr>
        <w:jc w:val="both"/>
        <w:ind w:firstLine="364"/>
        <w:spacing w:after="0" w:line="266" w:lineRule="auto"/>
        <w:rPr>
          <w:sz w:val="20"/>
          <w:szCs w:val="20"/>
          <w:color w:val="auto"/>
        </w:rPr>
      </w:pPr>
      <w:r>
        <w:rPr>
          <w:rFonts w:ascii="Arial" w:cs="Arial" w:eastAsia="Arial" w:hAnsi="Arial"/>
          <w:sz w:val="15"/>
          <w:szCs w:val="15"/>
          <w:color w:val="auto"/>
        </w:rPr>
        <w:t>We operate in the sector of the insurance industry that focuses on the needs of middle-income Americans. The underserved middle-income market represents a major growth opportunity for the Company. As a tool for addressing the unmet need for retirement planning, we believe that many middle-income Americans have grown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3" w:name="page64"/>
    <w:bookmarkEnd w:id="63"/>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to appreciate the “sleep at night protection” that annuities such as our FIA products afford. See Item 7 of Part II of our Annual Report on Form 10-K for the year ended December 31, 2020 for a more detailed discussion of industry factors and trends affecting our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Consolidated Results of Operations</w:t>
      </w:r>
    </w:p>
    <w:p>
      <w:pPr>
        <w:spacing w:after="0" w:line="92"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Net Earnings. </w:t>
      </w:r>
      <w:r>
        <w:rPr>
          <w:rFonts w:ascii="Arial" w:cs="Arial" w:eastAsia="Arial" w:hAnsi="Arial"/>
          <w:sz w:val="15"/>
          <w:szCs w:val="15"/>
          <w:color w:val="auto"/>
        </w:rPr>
        <w:t>The following table presents certain financial data for the periods indicated: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60" w:type="dxa"/>
            <w:vAlign w:val="bottom"/>
          </w:tcPr>
          <w:p>
            <w:pPr>
              <w:spacing w:after="0"/>
              <w:rPr>
                <w:sz w:val="13"/>
                <w:szCs w:val="13"/>
                <w:color w:val="auto"/>
              </w:rPr>
            </w:pPr>
          </w:p>
        </w:tc>
        <w:tc>
          <w:tcPr>
            <w:tcW w:w="2360" w:type="dxa"/>
            <w:vAlign w:val="bottom"/>
            <w:gridSpan w:val="6"/>
          </w:tcPr>
          <w:p>
            <w:pPr>
              <w:ind w:left="260"/>
              <w:spacing w:after="0"/>
              <w:rPr>
                <w:sz w:val="20"/>
                <w:szCs w:val="20"/>
                <w:color w:val="auto"/>
              </w:rPr>
            </w:pPr>
            <w:r>
              <w:rPr>
                <w:rFonts w:ascii="Arial" w:cs="Arial" w:eastAsia="Arial" w:hAnsi="Arial"/>
                <w:sz w:val="12"/>
                <w:szCs w:val="12"/>
                <w:b w:val="1"/>
                <w:bCs w:val="1"/>
                <w:color w:val="auto"/>
              </w:rPr>
              <w:t>Three months ended September 30,</w:t>
            </w:r>
          </w:p>
        </w:tc>
        <w:tc>
          <w:tcPr>
            <w:tcW w:w="260" w:type="dxa"/>
            <w:vAlign w:val="bottom"/>
          </w:tcPr>
          <w:p>
            <w:pPr>
              <w:spacing w:after="0"/>
              <w:rPr>
                <w:sz w:val="13"/>
                <w:szCs w:val="13"/>
                <w:color w:val="auto"/>
              </w:rPr>
            </w:pPr>
          </w:p>
        </w:tc>
        <w:tc>
          <w:tcPr>
            <w:tcW w:w="2000" w:type="dxa"/>
            <w:vAlign w:val="bottom"/>
            <w:gridSpan w:val="4"/>
          </w:tcPr>
          <w:p>
            <w:pPr>
              <w:jc w:val="right"/>
              <w:ind w:right="207"/>
              <w:spacing w:after="0"/>
              <w:rPr>
                <w:sz w:val="20"/>
                <w:szCs w:val="20"/>
                <w:color w:val="auto"/>
              </w:rPr>
            </w:pPr>
            <w:r>
              <w:rPr>
                <w:rFonts w:ascii="Arial" w:cs="Arial" w:eastAsia="Arial" w:hAnsi="Arial"/>
                <w:sz w:val="12"/>
                <w:szCs w:val="12"/>
                <w:b w:val="1"/>
                <w:bCs w:val="1"/>
                <w:color w:val="auto"/>
                <w:w w:val="86"/>
              </w:rPr>
              <w:t>Nine months ended September 30,</w:t>
            </w:r>
          </w:p>
        </w:tc>
      </w:tr>
      <w:tr>
        <w:trPr>
          <w:trHeight w:val="149"/>
        </w:trPr>
        <w:tc>
          <w:tcPr>
            <w:tcW w:w="66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2"/>
                <w:szCs w:val="12"/>
                <w:b w:val="1"/>
                <w:bCs w:val="1"/>
                <w:color w:val="auto"/>
              </w:rPr>
              <w:t>2020</w:t>
            </w:r>
          </w:p>
        </w:tc>
      </w:tr>
      <w:tr>
        <w:trPr>
          <w:trHeight w:val="146"/>
        </w:trPr>
        <w:tc>
          <w:tcPr>
            <w:tcW w:w="6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3"/>
          </w:tcPr>
          <w:p>
            <w:pPr>
              <w:jc w:val="right"/>
              <w:spacing w:after="0"/>
              <w:rPr>
                <w:sz w:val="20"/>
                <w:szCs w:val="20"/>
                <w:color w:val="auto"/>
              </w:rPr>
            </w:pPr>
            <w:r>
              <w:rPr>
                <w:rFonts w:ascii="Arial" w:cs="Arial" w:eastAsia="Arial" w:hAnsi="Arial"/>
                <w:sz w:val="12"/>
                <w:szCs w:val="12"/>
                <w:b w:val="1"/>
                <w:bCs w:val="1"/>
                <w:color w:val="auto"/>
              </w:rPr>
              <w:t>(In millions)</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90"/>
        </w:trPr>
        <w:tc>
          <w:tcPr>
            <w:tcW w:w="6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8"/>
        </w:trPr>
        <w:tc>
          <w:tcPr>
            <w:tcW w:w="6660" w:type="dxa"/>
            <w:vAlign w:val="bottom"/>
          </w:tcPr>
          <w:p>
            <w:pPr>
              <w:ind w:left="180"/>
              <w:spacing w:after="0"/>
              <w:rPr>
                <w:sz w:val="20"/>
                <w:szCs w:val="20"/>
                <w:color w:val="auto"/>
              </w:rPr>
            </w:pPr>
            <w:r>
              <w:rPr>
                <w:rFonts w:ascii="Arial" w:cs="Arial" w:eastAsia="Arial" w:hAnsi="Arial"/>
                <w:sz w:val="15"/>
                <w:szCs w:val="15"/>
                <w:color w:val="auto"/>
              </w:rPr>
              <w:t>Direct title insurance premiums</w:t>
            </w:r>
          </w:p>
        </w:tc>
        <w:tc>
          <w:tcPr>
            <w:tcW w:w="680" w:type="dxa"/>
            <w:vAlign w:val="bottom"/>
          </w:tcPr>
          <w:p>
            <w:pPr>
              <w:jc w:val="right"/>
              <w:ind w:right="514"/>
              <w:spacing w:after="0"/>
              <w:rPr>
                <w:sz w:val="20"/>
                <w:szCs w:val="20"/>
                <w:color w:val="auto"/>
              </w:rPr>
            </w:pPr>
            <w:r>
              <w:rPr>
                <w:rFonts w:ascii="Arial" w:cs="Arial" w:eastAsia="Arial" w:hAnsi="Arial"/>
                <w:sz w:val="15"/>
                <w:szCs w:val="15"/>
                <w:color w:val="auto"/>
                <w:w w:val="95"/>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896</w:t>
            </w:r>
          </w:p>
        </w:tc>
        <w:tc>
          <w:tcPr>
            <w:tcW w:w="80" w:type="dxa"/>
            <w:vAlign w:val="bottom"/>
          </w:tcPr>
          <w:p>
            <w:pPr>
              <w:spacing w:after="0"/>
              <w:rPr>
                <w:sz w:val="16"/>
                <w:szCs w:val="16"/>
                <w:color w:val="auto"/>
              </w:rPr>
            </w:pP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733</w:t>
            </w:r>
          </w:p>
        </w:tc>
        <w:tc>
          <w:tcPr>
            <w:tcW w:w="80" w:type="dxa"/>
            <w:vAlign w:val="bottom"/>
          </w:tcPr>
          <w:p>
            <w:pPr>
              <w:spacing w:after="0"/>
              <w:rPr>
                <w:sz w:val="16"/>
                <w:szCs w:val="16"/>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2,546</w:t>
            </w:r>
          </w:p>
        </w:tc>
        <w:tc>
          <w:tcPr>
            <w:tcW w:w="80" w:type="dxa"/>
            <w:vAlign w:val="bottom"/>
          </w:tcPr>
          <w:p>
            <w:pPr>
              <w:spacing w:after="0"/>
              <w:rPr>
                <w:sz w:val="16"/>
                <w:szCs w:val="16"/>
                <w:color w:val="auto"/>
              </w:rPr>
            </w:pP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1,854</w:t>
            </w:r>
          </w:p>
        </w:tc>
      </w:tr>
      <w:tr>
        <w:trPr>
          <w:trHeight w:val="188"/>
        </w:trPr>
        <w:tc>
          <w:tcPr>
            <w:tcW w:w="66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Agency title insurance premiums</w:t>
            </w: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1,318</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3,632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2,497</w:t>
            </w:r>
          </w:p>
        </w:tc>
      </w:tr>
      <w:tr>
        <w:trPr>
          <w:trHeight w:val="188"/>
        </w:trPr>
        <w:tc>
          <w:tcPr>
            <w:tcW w:w="6660" w:type="dxa"/>
            <w:vAlign w:val="bottom"/>
          </w:tcPr>
          <w:p>
            <w:pPr>
              <w:ind w:left="180"/>
              <w:spacing w:after="0"/>
              <w:rPr>
                <w:sz w:val="20"/>
                <w:szCs w:val="20"/>
                <w:color w:val="auto"/>
              </w:rPr>
            </w:pPr>
            <w:r>
              <w:rPr>
                <w:rFonts w:ascii="Arial" w:cs="Arial" w:eastAsia="Arial" w:hAnsi="Arial"/>
                <w:sz w:val="15"/>
                <w:szCs w:val="15"/>
                <w:color w:val="auto"/>
              </w:rPr>
              <w:t>Escrow, title-related and other fees</w:t>
            </w:r>
          </w:p>
        </w:tc>
        <w:tc>
          <w:tcPr>
            <w:tcW w:w="6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w w:val="90"/>
              </w:rPr>
              <w:t>1,324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853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3,123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2,201</w:t>
            </w:r>
          </w:p>
        </w:tc>
      </w:tr>
      <w:tr>
        <w:trPr>
          <w:trHeight w:val="188"/>
        </w:trPr>
        <w:tc>
          <w:tcPr>
            <w:tcW w:w="66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Interest and investment income</w:t>
            </w: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508</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1,424</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541</w:t>
            </w:r>
          </w:p>
        </w:tc>
      </w:tr>
      <w:tr>
        <w:trPr>
          <w:trHeight w:val="188"/>
        </w:trPr>
        <w:tc>
          <w:tcPr>
            <w:tcW w:w="66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Recognized gains and losses, net</w:t>
            </w:r>
          </w:p>
        </w:tc>
        <w:tc>
          <w:tcPr>
            <w:tcW w:w="6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(154)</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w:t>
            </w:r>
          </w:p>
        </w:tc>
      </w:tr>
      <w:tr>
        <w:trPr>
          <w:trHeight w:val="179"/>
        </w:trPr>
        <w:tc>
          <w:tcPr>
            <w:tcW w:w="66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Total revenues</w:t>
            </w:r>
          </w:p>
        </w:tc>
        <w:tc>
          <w:tcPr>
            <w:tcW w:w="6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0"/>
              </w:rPr>
              <w:t>3,892</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2,976</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10,846</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7,008</w:t>
            </w:r>
          </w:p>
        </w:tc>
      </w:tr>
      <w:tr>
        <w:trPr>
          <w:trHeight w:val="179"/>
        </w:trPr>
        <w:tc>
          <w:tcPr>
            <w:tcW w:w="6660" w:type="dxa"/>
            <w:vAlign w:val="bottom"/>
          </w:tcPr>
          <w:p>
            <w:pPr>
              <w:ind w:left="20"/>
              <w:spacing w:after="0"/>
              <w:rPr>
                <w:sz w:val="20"/>
                <w:szCs w:val="20"/>
                <w:color w:val="auto"/>
              </w:rPr>
            </w:pPr>
            <w:r>
              <w:rPr>
                <w:rFonts w:ascii="Arial" w:cs="Arial" w:eastAsia="Arial" w:hAnsi="Arial"/>
                <w:sz w:val="15"/>
                <w:szCs w:val="15"/>
                <w:color w:val="auto"/>
              </w:rPr>
              <w:t>Expenses:</w:t>
            </w: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8"/>
        </w:trPr>
        <w:tc>
          <w:tcPr>
            <w:tcW w:w="66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Benefits and other changes in policy reserves</w:t>
            </w: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734</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406</w:t>
            </w:r>
          </w:p>
        </w:tc>
      </w:tr>
      <w:tr>
        <w:trPr>
          <w:trHeight w:val="188"/>
        </w:trPr>
        <w:tc>
          <w:tcPr>
            <w:tcW w:w="6660" w:type="dxa"/>
            <w:vAlign w:val="bottom"/>
          </w:tcPr>
          <w:p>
            <w:pPr>
              <w:ind w:left="180"/>
              <w:spacing w:after="0"/>
              <w:rPr>
                <w:sz w:val="20"/>
                <w:szCs w:val="20"/>
                <w:color w:val="auto"/>
              </w:rPr>
            </w:pPr>
            <w:r>
              <w:rPr>
                <w:rFonts w:ascii="Arial" w:cs="Arial" w:eastAsia="Arial" w:hAnsi="Arial"/>
                <w:sz w:val="15"/>
                <w:szCs w:val="15"/>
                <w:color w:val="auto"/>
              </w:rPr>
              <w:t>Personnel costs</w:t>
            </w:r>
          </w:p>
        </w:tc>
        <w:tc>
          <w:tcPr>
            <w:tcW w:w="6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894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782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2,596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2,088</w:t>
            </w:r>
          </w:p>
        </w:tc>
      </w:tr>
      <w:tr>
        <w:trPr>
          <w:trHeight w:val="188"/>
        </w:trPr>
        <w:tc>
          <w:tcPr>
            <w:tcW w:w="66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Agent commissions</w:t>
            </w: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1,010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1,907</w:t>
            </w:r>
          </w:p>
        </w:tc>
      </w:tr>
      <w:tr>
        <w:trPr>
          <w:trHeight w:val="188"/>
        </w:trPr>
        <w:tc>
          <w:tcPr>
            <w:tcW w:w="6660" w:type="dxa"/>
            <w:vAlign w:val="bottom"/>
          </w:tcPr>
          <w:p>
            <w:pPr>
              <w:ind w:left="180"/>
              <w:spacing w:after="0"/>
              <w:rPr>
                <w:sz w:val="20"/>
                <w:szCs w:val="20"/>
                <w:color w:val="auto"/>
              </w:rPr>
            </w:pPr>
            <w:r>
              <w:rPr>
                <w:rFonts w:ascii="Arial" w:cs="Arial" w:eastAsia="Arial" w:hAnsi="Arial"/>
                <w:sz w:val="15"/>
                <w:szCs w:val="15"/>
                <w:color w:val="auto"/>
              </w:rPr>
              <w:t>Other operating expenses</w:t>
            </w:r>
          </w:p>
        </w:tc>
        <w:tc>
          <w:tcPr>
            <w:tcW w:w="6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498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449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1,432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1,306</w:t>
            </w:r>
          </w:p>
        </w:tc>
      </w:tr>
      <w:tr>
        <w:trPr>
          <w:trHeight w:val="188"/>
        </w:trPr>
        <w:tc>
          <w:tcPr>
            <w:tcW w:w="66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Depreciation and amortization</w:t>
            </w: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w:t>
            </w:r>
          </w:p>
        </w:tc>
      </w:tr>
      <w:tr>
        <w:trPr>
          <w:trHeight w:val="188"/>
        </w:trPr>
        <w:tc>
          <w:tcPr>
            <w:tcW w:w="6660" w:type="dxa"/>
            <w:vAlign w:val="bottom"/>
          </w:tcPr>
          <w:p>
            <w:pPr>
              <w:ind w:left="180"/>
              <w:spacing w:after="0"/>
              <w:rPr>
                <w:sz w:val="20"/>
                <w:szCs w:val="20"/>
                <w:color w:val="auto"/>
              </w:rPr>
            </w:pPr>
            <w:r>
              <w:rPr>
                <w:rFonts w:ascii="Arial" w:cs="Arial" w:eastAsia="Arial" w:hAnsi="Arial"/>
                <w:sz w:val="15"/>
                <w:szCs w:val="15"/>
                <w:color w:val="auto"/>
              </w:rPr>
              <w:t>Provision for title claim losses</w:t>
            </w:r>
          </w:p>
        </w:tc>
        <w:tc>
          <w:tcPr>
            <w:tcW w:w="6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100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278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196</w:t>
            </w:r>
          </w:p>
        </w:tc>
      </w:tr>
      <w:tr>
        <w:trPr>
          <w:trHeight w:val="188"/>
        </w:trPr>
        <w:tc>
          <w:tcPr>
            <w:tcW w:w="66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Interest expense</w:t>
            </w:r>
          </w:p>
        </w:tc>
        <w:tc>
          <w:tcPr>
            <w:tcW w:w="68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w:t>
            </w:r>
          </w:p>
        </w:tc>
      </w:tr>
      <w:tr>
        <w:trPr>
          <w:trHeight w:val="179"/>
        </w:trPr>
        <w:tc>
          <w:tcPr>
            <w:tcW w:w="6660" w:type="dxa"/>
            <w:vAlign w:val="bottom"/>
            <w:tcBorders>
              <w:bottom w:val="single" w:sz="8" w:color="CCEEFF"/>
            </w:tcBorders>
          </w:tcPr>
          <w:p>
            <w:pPr>
              <w:ind w:left="420"/>
              <w:spacing w:after="0"/>
              <w:rPr>
                <w:sz w:val="20"/>
                <w:szCs w:val="20"/>
                <w:color w:val="auto"/>
              </w:rPr>
            </w:pPr>
            <w:r>
              <w:rPr>
                <w:rFonts w:ascii="Arial" w:cs="Arial" w:eastAsia="Arial" w:hAnsi="Arial"/>
                <w:sz w:val="15"/>
                <w:szCs w:val="15"/>
                <w:color w:val="auto"/>
              </w:rPr>
              <w:t>Total expenses</w:t>
            </w:r>
          </w:p>
        </w:tc>
        <w:tc>
          <w:tcPr>
            <w:tcW w:w="6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0"/>
              </w:rPr>
              <w:t>2,966</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2,437</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8,450</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6,154</w:t>
            </w:r>
          </w:p>
        </w:tc>
      </w:tr>
      <w:tr>
        <w:trPr>
          <w:trHeight w:val="179"/>
        </w:trPr>
        <w:tc>
          <w:tcPr>
            <w:tcW w:w="6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Earnings before income taxes and equity in earnings of unconsolidated affiliates</w:t>
            </w: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854</w:t>
            </w:r>
          </w:p>
        </w:tc>
      </w:tr>
      <w:tr>
        <w:trPr>
          <w:trHeight w:val="188"/>
        </w:trPr>
        <w:tc>
          <w:tcPr>
            <w:tcW w:w="6660" w:type="dxa"/>
            <w:vAlign w:val="bottom"/>
          </w:tcPr>
          <w:p>
            <w:pPr>
              <w:ind w:left="20"/>
              <w:spacing w:after="0"/>
              <w:rPr>
                <w:sz w:val="20"/>
                <w:szCs w:val="20"/>
                <w:color w:val="auto"/>
              </w:rPr>
            </w:pPr>
            <w:r>
              <w:rPr>
                <w:rFonts w:ascii="Arial" w:cs="Arial" w:eastAsia="Arial" w:hAnsi="Arial"/>
                <w:sz w:val="15"/>
                <w:szCs w:val="15"/>
                <w:color w:val="auto"/>
              </w:rPr>
              <w:t>Income tax expense</w:t>
            </w:r>
          </w:p>
        </w:tc>
        <w:tc>
          <w:tcPr>
            <w:tcW w:w="6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213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555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194</w:t>
            </w:r>
          </w:p>
        </w:tc>
      </w:tr>
      <w:tr>
        <w:trPr>
          <w:trHeight w:val="188"/>
        </w:trPr>
        <w:tc>
          <w:tcPr>
            <w:tcW w:w="6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Equity in earnings of unconsolidated affiliates</w:t>
            </w:r>
          </w:p>
        </w:tc>
        <w:tc>
          <w:tcPr>
            <w:tcW w:w="68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w:t>
            </w:r>
          </w:p>
        </w:tc>
      </w:tr>
      <w:tr>
        <w:trPr>
          <w:trHeight w:val="179"/>
        </w:trPr>
        <w:tc>
          <w:tcPr>
            <w:tcW w:w="6660" w:type="dxa"/>
            <w:vAlign w:val="bottom"/>
          </w:tcPr>
          <w:p>
            <w:pPr>
              <w:ind w:left="20"/>
              <w:spacing w:after="0"/>
              <w:rPr>
                <w:sz w:val="20"/>
                <w:szCs w:val="20"/>
                <w:color w:val="auto"/>
              </w:rPr>
            </w:pPr>
            <w:r>
              <w:rPr>
                <w:rFonts w:ascii="Arial" w:cs="Arial" w:eastAsia="Arial" w:hAnsi="Arial"/>
                <w:sz w:val="15"/>
                <w:szCs w:val="15"/>
                <w:color w:val="auto"/>
              </w:rPr>
              <w:t>Net earnings from continuing operations</w:t>
            </w:r>
          </w:p>
        </w:tc>
        <w:tc>
          <w:tcPr>
            <w:tcW w:w="680" w:type="dxa"/>
            <w:vAlign w:val="bottom"/>
            <w:tcBorders>
              <w:bottom w:val="single" w:sz="8" w:color="auto"/>
            </w:tcBorders>
          </w:tcPr>
          <w:p>
            <w:pPr>
              <w:jc w:val="right"/>
              <w:ind w:right="514"/>
              <w:spacing w:after="0"/>
              <w:rPr>
                <w:sz w:val="20"/>
                <w:szCs w:val="20"/>
                <w:color w:val="auto"/>
              </w:rPr>
            </w:pPr>
            <w:r>
              <w:rPr>
                <w:rFonts w:ascii="Arial" w:cs="Arial" w:eastAsia="Arial" w:hAnsi="Arial"/>
                <w:sz w:val="15"/>
                <w:szCs w:val="15"/>
                <w:color w:val="auto"/>
                <w:w w:val="95"/>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740</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413</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1,895</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669</w:t>
            </w:r>
          </w:p>
        </w:tc>
      </w:tr>
      <w:tr>
        <w:trPr>
          <w:trHeight w:val="20"/>
        </w:trPr>
        <w:tc>
          <w:tcPr>
            <w:tcW w:w="6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Revenues.</w:t>
      </w:r>
    </w:p>
    <w:p>
      <w:pPr>
        <w:spacing w:after="0" w:line="92" w:lineRule="exact"/>
        <w:rPr>
          <w:sz w:val="20"/>
          <w:szCs w:val="20"/>
          <w:color w:val="auto"/>
        </w:rPr>
      </w:pPr>
    </w:p>
    <w:p>
      <w:pPr>
        <w:jc w:val="both"/>
        <w:ind w:firstLine="265"/>
        <w:spacing w:after="0" w:line="266" w:lineRule="auto"/>
        <w:rPr>
          <w:sz w:val="20"/>
          <w:szCs w:val="20"/>
          <w:color w:val="auto"/>
        </w:rPr>
      </w:pPr>
      <w:r>
        <w:rPr>
          <w:rFonts w:ascii="Arial" w:cs="Arial" w:eastAsia="Arial" w:hAnsi="Arial"/>
          <w:sz w:val="15"/>
          <w:szCs w:val="15"/>
          <w:color w:val="auto"/>
        </w:rPr>
        <w:t>Total revenues increased by $916 million in the three months ended September 30, 2021 and increased by $3,838 million in the nine months ended September 30, 2021 compared to the corresponding periods in 2020.</w:t>
      </w:r>
    </w:p>
    <w:p>
      <w:pPr>
        <w:spacing w:after="0" w:line="59" w:lineRule="exact"/>
        <w:rPr>
          <w:sz w:val="20"/>
          <w:szCs w:val="20"/>
          <w:color w:val="auto"/>
        </w:rPr>
      </w:pPr>
    </w:p>
    <w:p>
      <w:pPr>
        <w:jc w:val="both"/>
        <w:ind w:firstLine="265"/>
        <w:spacing w:after="0" w:line="266" w:lineRule="auto"/>
        <w:rPr>
          <w:sz w:val="20"/>
          <w:szCs w:val="20"/>
          <w:color w:val="auto"/>
        </w:rPr>
      </w:pPr>
      <w:r>
        <w:rPr>
          <w:rFonts w:ascii="Arial" w:cs="Arial" w:eastAsia="Arial" w:hAnsi="Arial"/>
          <w:sz w:val="15"/>
          <w:szCs w:val="15"/>
          <w:color w:val="auto"/>
        </w:rPr>
        <w:t>Net earnings increased by $327 million in the three months ended September 30, 2021 and increased by $1,226 million in the nine months ended September 30, 2021 compared to the corresponding periods in 2020.</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change in revenue and net earnings from our reportable segments is discussed in further detail at the segment level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Expenses.</w:t>
      </w:r>
    </w:p>
    <w:p>
      <w:pPr>
        <w:spacing w:after="0" w:line="15" w:lineRule="exact"/>
        <w:rPr>
          <w:sz w:val="20"/>
          <w:szCs w:val="20"/>
          <w:color w:val="auto"/>
        </w:rPr>
      </w:pPr>
    </w:p>
    <w:p>
      <w:pPr>
        <w:jc w:val="both"/>
        <w:ind w:firstLine="265"/>
        <w:spacing w:after="0" w:line="248" w:lineRule="auto"/>
        <w:rPr>
          <w:sz w:val="20"/>
          <w:szCs w:val="20"/>
          <w:color w:val="auto"/>
        </w:rPr>
      </w:pPr>
      <w:r>
        <w:rPr>
          <w:rFonts w:ascii="Arial" w:cs="Arial" w:eastAsia="Arial" w:hAnsi="Arial"/>
          <w:sz w:val="15"/>
          <w:szCs w:val="15"/>
          <w:color w:val="auto"/>
        </w:rPr>
        <w:t>Our operating expenses consist primarily of Personnel costs; Other operating expenses, which in our title business are incurred as orders are received and processed; Agent commissions, which are incurred as title agency revenue is recognized; and Benefits and other changes in policy reserves, which in our F&amp;G segment are charged to earnings in the period they are earned by the policyholder based on their selected strategy. For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4" w:name="page65"/>
    <w:bookmarkEnd w:id="64"/>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jc w:val="both"/>
        <w:spacing w:after="0" w:line="298" w:lineRule="auto"/>
        <w:rPr>
          <w:sz w:val="20"/>
          <w:szCs w:val="20"/>
          <w:color w:val="auto"/>
        </w:rPr>
      </w:pPr>
      <w:r>
        <w:rPr>
          <w:rFonts w:ascii="Arial" w:cs="Arial" w:eastAsia="Arial" w:hAnsi="Arial"/>
          <w:sz w:val="13"/>
          <w:szCs w:val="13"/>
          <w:color w:val="auto"/>
        </w:rPr>
        <w:t>traditional life and immediate annuities, policy benefit claims are charged to expense in the period that the claims are incurred, net of reinsurance recoveries. Title insurance premiums, escrow and title-related fees are generally recognized as income at the time the underlying transaction closes or other service is provided. 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 streams. However, a short-term lag exists in reducing controllable fixed costs and certain fixed costs are incurred regardless of revenue levels.</w:t>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Personnel costs include base salaries, commissions, benefits, stock-based compensation and bonuses paid to employees, and are one of our most significant operating expenses.</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Agent commissions represent the portion of premiums retained by our third-party agents pursuant to the terms of their respective agency contracts.</w:t>
      </w:r>
    </w:p>
    <w:p>
      <w:pPr>
        <w:spacing w:after="0" w:line="92" w:lineRule="exact"/>
        <w:rPr>
          <w:sz w:val="20"/>
          <w:szCs w:val="20"/>
          <w:color w:val="auto"/>
        </w:rPr>
      </w:pPr>
    </w:p>
    <w:p>
      <w:pPr>
        <w:jc w:val="both"/>
        <w:ind w:firstLine="265"/>
        <w:spacing w:after="0" w:line="255" w:lineRule="auto"/>
        <w:rPr>
          <w:sz w:val="20"/>
          <w:szCs w:val="20"/>
          <w:color w:val="auto"/>
        </w:rPr>
      </w:pPr>
      <w:r>
        <w:rPr>
          <w:rFonts w:ascii="Arial" w:cs="Arial" w:eastAsia="Arial" w:hAnsi="Arial"/>
          <w:sz w:val="15"/>
          <w:szCs w:val="15"/>
          <w:color w:val="auto"/>
        </w:rPr>
        <w:t>Benefit expenses for deferred annuity, FIA and IUL policies include index credits and interest credited to contractholder account balances and benefit claims in excess of contract account balances, net of reinsurance recoveries. Other changes in policy reserves include the change in the fair value of the FIA embedded derivative and the change in the reserve for secondary guarantee benefit payments. Other changes in policy reserves also include the change in reserves for life insurance products.</w:t>
      </w:r>
    </w:p>
    <w:p>
      <w:pPr>
        <w:spacing w:after="0" w:line="68" w:lineRule="exact"/>
        <w:rPr>
          <w:sz w:val="20"/>
          <w:szCs w:val="20"/>
          <w:color w:val="auto"/>
        </w:rPr>
      </w:pPr>
    </w:p>
    <w:p>
      <w:pPr>
        <w:jc w:val="both"/>
        <w:ind w:firstLine="265"/>
        <w:spacing w:after="0" w:line="255" w:lineRule="auto"/>
        <w:rPr>
          <w:sz w:val="20"/>
          <w:szCs w:val="20"/>
          <w:color w:val="auto"/>
        </w:rPr>
      </w:pPr>
      <w:r>
        <w:rPr>
          <w:rFonts w:ascii="Arial" w:cs="Arial" w:eastAsia="Arial" w:hAnsi="Arial"/>
          <w:sz w:val="15"/>
          <w:szCs w:val="15"/>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title-related products, postage and courier services, computer services, professional services, travel expenses, general insurance and bad debt expense on our trade and notes receivable.</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Provision for title claim losses includes an estimate of anticipated title and title-related claims, and escrow losses.</w:t>
      </w:r>
    </w:p>
    <w:p>
      <w:pPr>
        <w:spacing w:after="0" w:line="9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change in expenses attributable to our reportable segments is discussed in further detail at the segment level below.</w:t>
      </w:r>
    </w:p>
    <w:p>
      <w:pPr>
        <w:spacing w:after="0" w:line="92" w:lineRule="exact"/>
        <w:rPr>
          <w:sz w:val="20"/>
          <w:szCs w:val="20"/>
          <w:color w:val="auto"/>
        </w:rPr>
      </w:pPr>
    </w:p>
    <w:p>
      <w:pPr>
        <w:jc w:val="both"/>
        <w:ind w:firstLine="265"/>
        <w:spacing w:after="0" w:line="236" w:lineRule="auto"/>
        <w:rPr>
          <w:sz w:val="20"/>
          <w:szCs w:val="20"/>
          <w:color w:val="auto"/>
        </w:rPr>
      </w:pPr>
      <w:r>
        <w:rPr>
          <w:rFonts w:ascii="Arial" w:cs="Arial" w:eastAsia="Arial" w:hAnsi="Arial"/>
          <w:sz w:val="15"/>
          <w:szCs w:val="15"/>
          <w:color w:val="auto"/>
        </w:rPr>
        <w:t>Income tax expense was $213 million and $133 million in the three-month periods ended September 30, 2021 and 2020, respectively, and $555 million and $194 million in the nine-month periods ended September 30, 2021 and 2020, respectively. Income tax expense as a percentage of earnings before income taxes was 23% and 25% in the three months ended September 30, 2021 and 2020, respectively and 23% and 23% in the nine-month periods ended September 30, 2021 and 2020, respectively. The decrease in income tax expense as a percentage of earnings before taxes in the three-month period in 2021 compared to the 2020 period is primarily attributable to discrete unfavorable tax adjustments associated with our acquisition of F&amp;G in the 2020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5" w:name="page66"/>
    <w:bookmarkEnd w:id="65"/>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Title</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presents the results from operations of our Title segment: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60" w:type="dxa"/>
            <w:vAlign w:val="bottom"/>
          </w:tcPr>
          <w:p>
            <w:pPr>
              <w:spacing w:after="0"/>
              <w:rPr>
                <w:sz w:val="13"/>
                <w:szCs w:val="13"/>
                <w:color w:val="auto"/>
              </w:rPr>
            </w:pPr>
          </w:p>
        </w:tc>
        <w:tc>
          <w:tcPr>
            <w:tcW w:w="2360" w:type="dxa"/>
            <w:vAlign w:val="bottom"/>
            <w:gridSpan w:val="6"/>
          </w:tcPr>
          <w:p>
            <w:pPr>
              <w:ind w:left="260"/>
              <w:spacing w:after="0"/>
              <w:rPr>
                <w:sz w:val="20"/>
                <w:szCs w:val="20"/>
                <w:color w:val="auto"/>
              </w:rPr>
            </w:pPr>
            <w:r>
              <w:rPr>
                <w:rFonts w:ascii="Arial" w:cs="Arial" w:eastAsia="Arial" w:hAnsi="Arial"/>
                <w:sz w:val="12"/>
                <w:szCs w:val="12"/>
                <w:b w:val="1"/>
                <w:bCs w:val="1"/>
                <w:color w:val="auto"/>
              </w:rPr>
              <w:t>Three months ended September 30,</w:t>
            </w:r>
          </w:p>
        </w:tc>
        <w:tc>
          <w:tcPr>
            <w:tcW w:w="260" w:type="dxa"/>
            <w:vAlign w:val="bottom"/>
          </w:tcPr>
          <w:p>
            <w:pPr>
              <w:spacing w:after="0"/>
              <w:rPr>
                <w:sz w:val="13"/>
                <w:szCs w:val="13"/>
                <w:color w:val="auto"/>
              </w:rPr>
            </w:pPr>
          </w:p>
        </w:tc>
        <w:tc>
          <w:tcPr>
            <w:tcW w:w="2000" w:type="dxa"/>
            <w:vAlign w:val="bottom"/>
            <w:gridSpan w:val="4"/>
          </w:tcPr>
          <w:p>
            <w:pPr>
              <w:jc w:val="right"/>
              <w:ind w:right="207"/>
              <w:spacing w:after="0"/>
              <w:rPr>
                <w:sz w:val="20"/>
                <w:szCs w:val="20"/>
                <w:color w:val="auto"/>
              </w:rPr>
            </w:pPr>
            <w:r>
              <w:rPr>
                <w:rFonts w:ascii="Arial" w:cs="Arial" w:eastAsia="Arial" w:hAnsi="Arial"/>
                <w:sz w:val="12"/>
                <w:szCs w:val="12"/>
                <w:b w:val="1"/>
                <w:bCs w:val="1"/>
                <w:color w:val="auto"/>
                <w:w w:val="86"/>
              </w:rPr>
              <w:t>Nine months ended September 30,</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44"/>
        </w:trPr>
        <w:tc>
          <w:tcPr>
            <w:tcW w:w="6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3"/>
          </w:tcPr>
          <w:p>
            <w:pPr>
              <w:jc w:val="right"/>
              <w:spacing w:after="0"/>
              <w:rPr>
                <w:sz w:val="20"/>
                <w:szCs w:val="20"/>
                <w:color w:val="auto"/>
              </w:rPr>
            </w:pPr>
            <w:r>
              <w:rPr>
                <w:rFonts w:ascii="Arial" w:cs="Arial" w:eastAsia="Arial" w:hAnsi="Arial"/>
                <w:sz w:val="12"/>
                <w:szCs w:val="12"/>
                <w:b w:val="1"/>
                <w:bCs w:val="1"/>
                <w:color w:val="auto"/>
              </w:rPr>
              <w:t>(In millions)</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6660" w:type="dxa"/>
            <w:vAlign w:val="bottom"/>
          </w:tcPr>
          <w:p>
            <w:pPr>
              <w:ind w:left="20"/>
              <w:spacing w:after="0"/>
              <w:rPr>
                <w:sz w:val="20"/>
                <w:szCs w:val="20"/>
                <w:color w:val="auto"/>
              </w:rPr>
            </w:pPr>
            <w:r>
              <w:rPr>
                <w:rFonts w:ascii="Arial" w:cs="Arial" w:eastAsia="Arial" w:hAnsi="Arial"/>
                <w:sz w:val="15"/>
                <w:szCs w:val="15"/>
                <w:color w:val="auto"/>
              </w:rPr>
              <w:t>Revenues:</w:t>
            </w: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Direct title insurance premiums</w:t>
            </w:r>
          </w:p>
        </w:tc>
        <w:tc>
          <w:tcPr>
            <w:tcW w:w="680" w:type="dxa"/>
            <w:vAlign w:val="bottom"/>
            <w:shd w:val="clear" w:color="auto" w:fill="CCEEFF"/>
          </w:tcPr>
          <w:p>
            <w:pPr>
              <w:jc w:val="right"/>
              <w:ind w:right="512"/>
              <w:spacing w:after="0"/>
              <w:rPr>
                <w:sz w:val="20"/>
                <w:szCs w:val="20"/>
                <w:color w:val="auto"/>
              </w:rPr>
            </w:pPr>
            <w:r>
              <w:rPr>
                <w:rFonts w:ascii="Arial" w:cs="Arial" w:eastAsia="Arial" w:hAnsi="Arial"/>
                <w:sz w:val="15"/>
                <w:szCs w:val="15"/>
                <w:color w:val="auto"/>
                <w:w w:val="9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896</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2,546</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1,854</w:t>
            </w:r>
          </w:p>
        </w:tc>
        <w:tc>
          <w:tcPr>
            <w:tcW w:w="0" w:type="dxa"/>
            <w:vAlign w:val="bottom"/>
          </w:tcPr>
          <w:p>
            <w:pPr>
              <w:spacing w:after="0"/>
              <w:rPr>
                <w:sz w:val="1"/>
                <w:szCs w:val="1"/>
                <w:color w:val="auto"/>
              </w:rPr>
            </w:pPr>
          </w:p>
        </w:tc>
      </w:tr>
      <w:tr>
        <w:trPr>
          <w:trHeight w:val="188"/>
        </w:trPr>
        <w:tc>
          <w:tcPr>
            <w:tcW w:w="6660" w:type="dxa"/>
            <w:vAlign w:val="bottom"/>
          </w:tcPr>
          <w:p>
            <w:pPr>
              <w:ind w:left="180"/>
              <w:spacing w:after="0"/>
              <w:rPr>
                <w:sz w:val="20"/>
                <w:szCs w:val="20"/>
                <w:color w:val="auto"/>
              </w:rPr>
            </w:pPr>
            <w:r>
              <w:rPr>
                <w:rFonts w:ascii="Arial" w:cs="Arial" w:eastAsia="Arial" w:hAnsi="Arial"/>
                <w:sz w:val="15"/>
                <w:szCs w:val="15"/>
                <w:color w:val="auto"/>
              </w:rPr>
              <w:t>Agency title insurance premiums</w:t>
            </w:r>
          </w:p>
        </w:tc>
        <w:tc>
          <w:tcPr>
            <w:tcW w:w="6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w w:val="90"/>
              </w:rPr>
              <w:t>1,318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981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3,632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2,497</w:t>
            </w:r>
          </w:p>
        </w:tc>
        <w:tc>
          <w:tcPr>
            <w:tcW w:w="0" w:type="dxa"/>
            <w:vAlign w:val="bottom"/>
          </w:tcPr>
          <w:p>
            <w:pPr>
              <w:spacing w:after="0"/>
              <w:rPr>
                <w:sz w:val="1"/>
                <w:szCs w:val="1"/>
                <w:color w:val="auto"/>
              </w:rPr>
            </w:pPr>
          </w:p>
        </w:tc>
      </w:tr>
      <w:tr>
        <w:trPr>
          <w:trHeight w:val="188"/>
        </w:trPr>
        <w:tc>
          <w:tcPr>
            <w:tcW w:w="66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Escrow, title-related and other fees</w:t>
            </w: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2,007</w:t>
            </w:r>
          </w:p>
        </w:tc>
        <w:tc>
          <w:tcPr>
            <w:tcW w:w="0" w:type="dxa"/>
            <w:vAlign w:val="bottom"/>
          </w:tcPr>
          <w:p>
            <w:pPr>
              <w:spacing w:after="0"/>
              <w:rPr>
                <w:sz w:val="1"/>
                <w:szCs w:val="1"/>
                <w:color w:val="auto"/>
              </w:rPr>
            </w:pPr>
          </w:p>
        </w:tc>
      </w:tr>
      <w:tr>
        <w:trPr>
          <w:trHeight w:val="188"/>
        </w:trPr>
        <w:tc>
          <w:tcPr>
            <w:tcW w:w="6660" w:type="dxa"/>
            <w:vAlign w:val="bottom"/>
          </w:tcPr>
          <w:p>
            <w:pPr>
              <w:ind w:left="180"/>
              <w:spacing w:after="0"/>
              <w:rPr>
                <w:sz w:val="20"/>
                <w:szCs w:val="20"/>
                <w:color w:val="auto"/>
              </w:rPr>
            </w:pPr>
            <w:r>
              <w:rPr>
                <w:rFonts w:ascii="Arial" w:cs="Arial" w:eastAsia="Arial" w:hAnsi="Arial"/>
                <w:sz w:val="15"/>
                <w:szCs w:val="15"/>
                <w:color w:val="auto"/>
              </w:rPr>
              <w:t>Interest and investment income</w:t>
            </w:r>
          </w:p>
        </w:tc>
        <w:tc>
          <w:tcPr>
            <w:tcW w:w="6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120</w:t>
            </w:r>
          </w:p>
        </w:tc>
        <w:tc>
          <w:tcPr>
            <w:tcW w:w="0" w:type="dxa"/>
            <w:vAlign w:val="bottom"/>
          </w:tcPr>
          <w:p>
            <w:pPr>
              <w:spacing w:after="0"/>
              <w:rPr>
                <w:sz w:val="1"/>
                <w:szCs w:val="1"/>
                <w:color w:val="auto"/>
              </w:rPr>
            </w:pPr>
          </w:p>
        </w:tc>
      </w:tr>
      <w:tr>
        <w:trPr>
          <w:trHeight w:val="188"/>
        </w:trPr>
        <w:tc>
          <w:tcPr>
            <w:tcW w:w="66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Recognized gains and losses, net</w:t>
            </w:r>
          </w:p>
        </w:tc>
        <w:tc>
          <w:tcPr>
            <w:tcW w:w="68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(258)</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w:t>
            </w:r>
          </w:p>
        </w:tc>
        <w:tc>
          <w:tcPr>
            <w:tcW w:w="0" w:type="dxa"/>
            <w:vAlign w:val="bottom"/>
          </w:tcPr>
          <w:p>
            <w:pPr>
              <w:spacing w:after="0"/>
              <w:rPr>
                <w:sz w:val="1"/>
                <w:szCs w:val="1"/>
                <w:color w:val="auto"/>
              </w:rPr>
            </w:pPr>
          </w:p>
        </w:tc>
      </w:tr>
      <w:tr>
        <w:trPr>
          <w:trHeight w:val="179"/>
        </w:trPr>
        <w:tc>
          <w:tcPr>
            <w:tcW w:w="6660" w:type="dxa"/>
            <w:vAlign w:val="bottom"/>
          </w:tcPr>
          <w:p>
            <w:pPr>
              <w:ind w:left="420"/>
              <w:spacing w:after="0"/>
              <w:rPr>
                <w:sz w:val="20"/>
                <w:szCs w:val="20"/>
                <w:color w:val="auto"/>
              </w:rPr>
            </w:pPr>
            <w:r>
              <w:rPr>
                <w:rFonts w:ascii="Arial" w:cs="Arial" w:eastAsia="Arial" w:hAnsi="Arial"/>
                <w:sz w:val="15"/>
                <w:szCs w:val="15"/>
                <w:color w:val="auto"/>
              </w:rPr>
              <w:t>Total revenues</w:t>
            </w:r>
          </w:p>
        </w:tc>
        <w:tc>
          <w:tcPr>
            <w:tcW w:w="6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w w:val="90"/>
              </w:rPr>
              <w:t>2,921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2,484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8,436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6,331</w:t>
            </w:r>
          </w:p>
        </w:tc>
        <w:tc>
          <w:tcPr>
            <w:tcW w:w="0" w:type="dxa"/>
            <w:vAlign w:val="bottom"/>
          </w:tcPr>
          <w:p>
            <w:pPr>
              <w:spacing w:after="0"/>
              <w:rPr>
                <w:sz w:val="1"/>
                <w:szCs w:val="1"/>
                <w:color w:val="auto"/>
              </w:rPr>
            </w:pPr>
          </w:p>
        </w:tc>
      </w:tr>
      <w:tr>
        <w:trPr>
          <w:trHeight w:val="188"/>
        </w:trPr>
        <w:tc>
          <w:tcPr>
            <w:tcW w:w="6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Expenses:</w:t>
            </w: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60" w:type="dxa"/>
            <w:vAlign w:val="bottom"/>
          </w:tcPr>
          <w:p>
            <w:pPr>
              <w:ind w:left="180"/>
              <w:spacing w:after="0"/>
              <w:rPr>
                <w:sz w:val="20"/>
                <w:szCs w:val="20"/>
                <w:color w:val="auto"/>
              </w:rPr>
            </w:pPr>
            <w:r>
              <w:rPr>
                <w:rFonts w:ascii="Arial" w:cs="Arial" w:eastAsia="Arial" w:hAnsi="Arial"/>
                <w:sz w:val="15"/>
                <w:szCs w:val="15"/>
                <w:color w:val="auto"/>
              </w:rPr>
              <w:t>Personnel costs</w:t>
            </w:r>
          </w:p>
        </w:tc>
        <w:tc>
          <w:tcPr>
            <w:tcW w:w="6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838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726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2,418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1,992</w:t>
            </w:r>
          </w:p>
        </w:tc>
        <w:tc>
          <w:tcPr>
            <w:tcW w:w="0" w:type="dxa"/>
            <w:vAlign w:val="bottom"/>
          </w:tcPr>
          <w:p>
            <w:pPr>
              <w:spacing w:after="0"/>
              <w:rPr>
                <w:sz w:val="1"/>
                <w:szCs w:val="1"/>
                <w:color w:val="auto"/>
              </w:rPr>
            </w:pPr>
          </w:p>
        </w:tc>
      </w:tr>
      <w:tr>
        <w:trPr>
          <w:trHeight w:val="188"/>
        </w:trPr>
        <w:tc>
          <w:tcPr>
            <w:tcW w:w="66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Agent commissions</w:t>
            </w: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1,010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1,907</w:t>
            </w:r>
          </w:p>
        </w:tc>
        <w:tc>
          <w:tcPr>
            <w:tcW w:w="0" w:type="dxa"/>
            <w:vAlign w:val="bottom"/>
          </w:tcPr>
          <w:p>
            <w:pPr>
              <w:spacing w:after="0"/>
              <w:rPr>
                <w:sz w:val="1"/>
                <w:szCs w:val="1"/>
                <w:color w:val="auto"/>
              </w:rPr>
            </w:pPr>
          </w:p>
        </w:tc>
      </w:tr>
      <w:tr>
        <w:trPr>
          <w:trHeight w:val="188"/>
        </w:trPr>
        <w:tc>
          <w:tcPr>
            <w:tcW w:w="6660" w:type="dxa"/>
            <w:vAlign w:val="bottom"/>
          </w:tcPr>
          <w:p>
            <w:pPr>
              <w:ind w:left="180"/>
              <w:spacing w:after="0"/>
              <w:rPr>
                <w:sz w:val="20"/>
                <w:szCs w:val="20"/>
                <w:color w:val="auto"/>
              </w:rPr>
            </w:pPr>
            <w:r>
              <w:rPr>
                <w:rFonts w:ascii="Arial" w:cs="Arial" w:eastAsia="Arial" w:hAnsi="Arial"/>
                <w:sz w:val="15"/>
                <w:szCs w:val="15"/>
                <w:color w:val="auto"/>
              </w:rPr>
              <w:t>Other operating expenses</w:t>
            </w:r>
          </w:p>
        </w:tc>
        <w:tc>
          <w:tcPr>
            <w:tcW w:w="6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451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386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1,281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1,140</w:t>
            </w:r>
          </w:p>
        </w:tc>
        <w:tc>
          <w:tcPr>
            <w:tcW w:w="0" w:type="dxa"/>
            <w:vAlign w:val="bottom"/>
          </w:tcPr>
          <w:p>
            <w:pPr>
              <w:spacing w:after="0"/>
              <w:rPr>
                <w:sz w:val="1"/>
                <w:szCs w:val="1"/>
                <w:color w:val="auto"/>
              </w:rPr>
            </w:pPr>
          </w:p>
        </w:tc>
      </w:tr>
      <w:tr>
        <w:trPr>
          <w:trHeight w:val="188"/>
        </w:trPr>
        <w:tc>
          <w:tcPr>
            <w:tcW w:w="66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Depreciation and amortization</w:t>
            </w: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188"/>
        </w:trPr>
        <w:tc>
          <w:tcPr>
            <w:tcW w:w="6660" w:type="dxa"/>
            <w:vAlign w:val="bottom"/>
          </w:tcPr>
          <w:p>
            <w:pPr>
              <w:ind w:left="180"/>
              <w:spacing w:after="0"/>
              <w:rPr>
                <w:sz w:val="20"/>
                <w:szCs w:val="20"/>
                <w:color w:val="auto"/>
              </w:rPr>
            </w:pPr>
            <w:r>
              <w:rPr>
                <w:rFonts w:ascii="Arial" w:cs="Arial" w:eastAsia="Arial" w:hAnsi="Arial"/>
                <w:sz w:val="15"/>
                <w:szCs w:val="15"/>
                <w:color w:val="auto"/>
              </w:rPr>
              <w:t>Provision for title claim losses</w:t>
            </w:r>
          </w:p>
        </w:tc>
        <w:tc>
          <w:tcPr>
            <w:tcW w:w="6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100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278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196</w:t>
            </w:r>
          </w:p>
        </w:tc>
        <w:tc>
          <w:tcPr>
            <w:tcW w:w="0" w:type="dxa"/>
            <w:vAlign w:val="bottom"/>
          </w:tcPr>
          <w:p>
            <w:pPr>
              <w:spacing w:after="0"/>
              <w:rPr>
                <w:sz w:val="1"/>
                <w:szCs w:val="1"/>
                <w:color w:val="auto"/>
              </w:rPr>
            </w:pPr>
          </w:p>
        </w:tc>
      </w:tr>
      <w:tr>
        <w:trPr>
          <w:trHeight w:val="188"/>
        </w:trPr>
        <w:tc>
          <w:tcPr>
            <w:tcW w:w="66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Interest expense</w:t>
            </w:r>
          </w:p>
        </w:tc>
        <w:tc>
          <w:tcPr>
            <w:tcW w:w="6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9"/>
        </w:trPr>
        <w:tc>
          <w:tcPr>
            <w:tcW w:w="6660" w:type="dxa"/>
            <w:vAlign w:val="bottom"/>
            <w:tcBorders>
              <w:bottom w:val="single" w:sz="8" w:color="CCEEFF"/>
            </w:tcBorders>
          </w:tcPr>
          <w:p>
            <w:pPr>
              <w:ind w:left="420"/>
              <w:spacing w:after="0"/>
              <w:rPr>
                <w:sz w:val="20"/>
                <w:szCs w:val="20"/>
                <w:color w:val="auto"/>
              </w:rPr>
            </w:pPr>
            <w:r>
              <w:rPr>
                <w:rFonts w:ascii="Arial" w:cs="Arial" w:eastAsia="Arial" w:hAnsi="Arial"/>
                <w:sz w:val="15"/>
                <w:szCs w:val="15"/>
                <w:color w:val="auto"/>
              </w:rPr>
              <w:t>Total expenses</w:t>
            </w:r>
          </w:p>
        </w:tc>
        <w:tc>
          <w:tcPr>
            <w:tcW w:w="68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0"/>
              </w:rPr>
              <w:t>2,435</w:t>
            </w:r>
          </w:p>
        </w:tc>
        <w:tc>
          <w:tcPr>
            <w:tcW w:w="8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1,977</w:t>
            </w:r>
          </w:p>
        </w:tc>
        <w:tc>
          <w:tcPr>
            <w:tcW w:w="8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6,867</w:t>
            </w:r>
          </w:p>
        </w:tc>
        <w:tc>
          <w:tcPr>
            <w:tcW w:w="8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5,349</w:t>
            </w:r>
          </w:p>
        </w:tc>
        <w:tc>
          <w:tcPr>
            <w:tcW w:w="0" w:type="dxa"/>
            <w:vAlign w:val="bottom"/>
          </w:tcPr>
          <w:p>
            <w:pPr>
              <w:spacing w:after="0"/>
              <w:rPr>
                <w:sz w:val="1"/>
                <w:szCs w:val="1"/>
                <w:color w:val="auto"/>
              </w:rPr>
            </w:pPr>
          </w:p>
        </w:tc>
      </w:tr>
      <w:tr>
        <w:trPr>
          <w:trHeight w:val="124"/>
        </w:trPr>
        <w:tc>
          <w:tcPr>
            <w:tcW w:w="6660" w:type="dxa"/>
            <w:vAlign w:val="bottom"/>
            <w:shd w:val="clear" w:color="auto" w:fill="CCEEFF"/>
          </w:tcPr>
          <w:p>
            <w:pPr>
              <w:ind w:left="20"/>
              <w:spacing w:after="0" w:line="124" w:lineRule="exact"/>
              <w:rPr>
                <w:sz w:val="20"/>
                <w:szCs w:val="20"/>
                <w:color w:val="auto"/>
              </w:rPr>
            </w:pPr>
            <w:r>
              <w:rPr>
                <w:rFonts w:ascii="Arial" w:cs="Arial" w:eastAsia="Arial" w:hAnsi="Arial"/>
                <w:sz w:val="14"/>
                <w:szCs w:val="14"/>
                <w:color w:val="auto"/>
              </w:rPr>
              <w:t>Earnings (loss) from continuing operations, before income taxes and equity in earnings of unconsolidated</w:t>
            </w:r>
          </w:p>
        </w:tc>
        <w:tc>
          <w:tcPr>
            <w:tcW w:w="680" w:type="dxa"/>
            <w:vAlign w:val="bottom"/>
            <w:vMerge w:val="restart"/>
            <w:shd w:val="clear" w:color="auto" w:fill="CCEEFF"/>
          </w:tcPr>
          <w:p>
            <w:pPr>
              <w:jc w:val="right"/>
              <w:ind w:right="512"/>
              <w:spacing w:after="0"/>
              <w:rPr>
                <w:sz w:val="20"/>
                <w:szCs w:val="20"/>
                <w:color w:val="auto"/>
              </w:rPr>
            </w:pPr>
            <w:r>
              <w:rPr>
                <w:rFonts w:ascii="Arial" w:cs="Arial" w:eastAsia="Arial" w:hAnsi="Arial"/>
                <w:sz w:val="15"/>
                <w:szCs w:val="15"/>
                <w:color w:val="auto"/>
                <w:w w:val="95"/>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486</w:t>
            </w:r>
          </w:p>
        </w:tc>
        <w:tc>
          <w:tcPr>
            <w:tcW w:w="8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507</w:t>
            </w:r>
          </w:p>
        </w:tc>
        <w:tc>
          <w:tcPr>
            <w:tcW w:w="8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1,569</w:t>
            </w:r>
          </w:p>
        </w:tc>
        <w:tc>
          <w:tcPr>
            <w:tcW w:w="8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982</w:t>
            </w:r>
          </w:p>
        </w:tc>
        <w:tc>
          <w:tcPr>
            <w:tcW w:w="0" w:type="dxa"/>
            <w:vAlign w:val="bottom"/>
          </w:tcPr>
          <w:p>
            <w:pPr>
              <w:spacing w:after="0"/>
              <w:rPr>
                <w:sz w:val="1"/>
                <w:szCs w:val="1"/>
                <w:color w:val="auto"/>
              </w:rPr>
            </w:pPr>
          </w:p>
        </w:tc>
      </w:tr>
      <w:tr>
        <w:trPr>
          <w:trHeight w:val="185"/>
        </w:trPr>
        <w:tc>
          <w:tcPr>
            <w:tcW w:w="6660" w:type="dxa"/>
            <w:vAlign w:val="bottom"/>
            <w:tcBorders>
              <w:bottom w:val="single" w:sz="8" w:color="CCEEFF"/>
            </w:tcBorders>
            <w:shd w:val="clear" w:color="auto" w:fill="CCEEFF"/>
          </w:tcPr>
          <w:p>
            <w:pPr>
              <w:ind w:left="20"/>
              <w:spacing w:after="0" w:line="165" w:lineRule="exact"/>
              <w:rPr>
                <w:sz w:val="20"/>
                <w:szCs w:val="20"/>
                <w:color w:val="auto"/>
              </w:rPr>
            </w:pPr>
            <w:r>
              <w:rPr>
                <w:rFonts w:ascii="Arial" w:cs="Arial" w:eastAsia="Arial" w:hAnsi="Arial"/>
                <w:sz w:val="15"/>
                <w:szCs w:val="15"/>
                <w:color w:val="auto"/>
              </w:rPr>
              <w:t>affiliates</w:t>
            </w: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4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Orders opened by direct title operations (in thousands)</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66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jc w:val="right"/>
              <w:spacing w:after="0" w:line="152" w:lineRule="exact"/>
              <w:rPr>
                <w:sz w:val="20"/>
                <w:szCs w:val="20"/>
                <w:color w:val="auto"/>
              </w:rPr>
            </w:pPr>
            <w:r>
              <w:rPr>
                <w:rFonts w:ascii="Arial" w:cs="Arial" w:eastAsia="Arial" w:hAnsi="Arial"/>
                <w:sz w:val="15"/>
                <w:szCs w:val="15"/>
                <w:color w:val="auto"/>
              </w:rPr>
              <w:t>688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line="152" w:lineRule="exact"/>
              <w:rPr>
                <w:sz w:val="20"/>
                <w:szCs w:val="20"/>
                <w:color w:val="auto"/>
              </w:rPr>
            </w:pPr>
            <w:r>
              <w:rPr>
                <w:rFonts w:ascii="Arial" w:cs="Arial" w:eastAsia="Arial" w:hAnsi="Arial"/>
                <w:sz w:val="15"/>
                <w:szCs w:val="15"/>
                <w:color w:val="auto"/>
              </w:rPr>
              <w:t>847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spacing w:after="0" w:line="152" w:lineRule="exact"/>
              <w:rPr>
                <w:sz w:val="20"/>
                <w:szCs w:val="20"/>
                <w:color w:val="auto"/>
              </w:rPr>
            </w:pPr>
            <w:r>
              <w:rPr>
                <w:rFonts w:ascii="Arial" w:cs="Arial" w:eastAsia="Arial" w:hAnsi="Arial"/>
                <w:sz w:val="15"/>
                <w:szCs w:val="15"/>
                <w:color w:val="auto"/>
              </w:rPr>
              <w:t>2,153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line="152" w:lineRule="exact"/>
              <w:rPr>
                <w:sz w:val="20"/>
                <w:szCs w:val="20"/>
                <w:color w:val="auto"/>
              </w:rPr>
            </w:pPr>
            <w:r>
              <w:rPr>
                <w:rFonts w:ascii="Arial" w:cs="Arial" w:eastAsia="Arial" w:hAnsi="Arial"/>
                <w:sz w:val="15"/>
                <w:szCs w:val="15"/>
                <w:color w:val="auto"/>
              </w:rPr>
              <w:t>2,222</w:t>
            </w:r>
          </w:p>
        </w:tc>
        <w:tc>
          <w:tcPr>
            <w:tcW w:w="0" w:type="dxa"/>
            <w:vAlign w:val="bottom"/>
          </w:tcPr>
          <w:p>
            <w:pPr>
              <w:spacing w:after="0"/>
              <w:rPr>
                <w:sz w:val="1"/>
                <w:szCs w:val="1"/>
                <w:color w:val="auto"/>
              </w:rPr>
            </w:pPr>
          </w:p>
        </w:tc>
      </w:tr>
      <w:tr>
        <w:trPr>
          <w:trHeight w:val="188"/>
        </w:trPr>
        <w:tc>
          <w:tcPr>
            <w:tcW w:w="6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Orders closed by direct title operations (in thousands)</w:t>
            </w: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1,435</w:t>
            </w:r>
          </w:p>
        </w:tc>
        <w:tc>
          <w:tcPr>
            <w:tcW w:w="0" w:type="dxa"/>
            <w:vAlign w:val="bottom"/>
          </w:tcPr>
          <w:p>
            <w:pPr>
              <w:spacing w:after="0"/>
              <w:rPr>
                <w:sz w:val="1"/>
                <w:szCs w:val="1"/>
                <w:color w:val="auto"/>
              </w:rPr>
            </w:pPr>
          </w:p>
        </w:tc>
      </w:tr>
      <w:tr>
        <w:trPr>
          <w:trHeight w:val="188"/>
        </w:trPr>
        <w:tc>
          <w:tcPr>
            <w:tcW w:w="6660" w:type="dxa"/>
            <w:vAlign w:val="bottom"/>
          </w:tcPr>
          <w:p>
            <w:pPr>
              <w:ind w:left="20"/>
              <w:spacing w:after="0"/>
              <w:rPr>
                <w:sz w:val="20"/>
                <w:szCs w:val="20"/>
                <w:color w:val="auto"/>
              </w:rPr>
            </w:pPr>
            <w:r>
              <w:rPr>
                <w:rFonts w:ascii="Arial" w:cs="Arial" w:eastAsia="Arial" w:hAnsi="Arial"/>
                <w:sz w:val="15"/>
                <w:szCs w:val="15"/>
                <w:color w:val="auto"/>
              </w:rPr>
              <w:t>Fee per file (in dollars)</w:t>
            </w:r>
          </w:p>
        </w:tc>
        <w:tc>
          <w:tcPr>
            <w:tcW w:w="680" w:type="dxa"/>
            <w:vAlign w:val="bottom"/>
          </w:tcPr>
          <w:p>
            <w:pPr>
              <w:jc w:val="right"/>
              <w:ind w:right="512"/>
              <w:spacing w:after="0"/>
              <w:rPr>
                <w:sz w:val="20"/>
                <w:szCs w:val="20"/>
                <w:color w:val="auto"/>
              </w:rPr>
            </w:pPr>
            <w:r>
              <w:rPr>
                <w:rFonts w:ascii="Arial" w:cs="Arial" w:eastAsia="Arial" w:hAnsi="Arial"/>
                <w:sz w:val="15"/>
                <w:szCs w:val="15"/>
                <w:color w:val="auto"/>
                <w:w w:val="95"/>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90"/>
              </w:rPr>
              <w:t>2,581</w:t>
            </w:r>
          </w:p>
        </w:tc>
        <w:tc>
          <w:tcPr>
            <w:tcW w:w="80" w:type="dxa"/>
            <w:vAlign w:val="bottom"/>
          </w:tcPr>
          <w:p>
            <w:pPr>
              <w:spacing w:after="0"/>
              <w:rPr>
                <w:sz w:val="16"/>
                <w:szCs w:val="16"/>
                <w:color w:val="auto"/>
              </w:rPr>
            </w:pP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2,063</w:t>
            </w:r>
          </w:p>
        </w:tc>
        <w:tc>
          <w:tcPr>
            <w:tcW w:w="80" w:type="dxa"/>
            <w:vAlign w:val="bottom"/>
          </w:tcPr>
          <w:p>
            <w:pPr>
              <w:spacing w:after="0"/>
              <w:rPr>
                <w:sz w:val="16"/>
                <w:szCs w:val="16"/>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2,310</w:t>
            </w:r>
          </w:p>
        </w:tc>
        <w:tc>
          <w:tcPr>
            <w:tcW w:w="80" w:type="dxa"/>
            <w:vAlign w:val="bottom"/>
          </w:tcPr>
          <w:p>
            <w:pPr>
              <w:spacing w:after="0"/>
              <w:rPr>
                <w:sz w:val="16"/>
                <w:szCs w:val="16"/>
                <w:color w:val="auto"/>
              </w:rPr>
            </w:pP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2,046</w:t>
            </w: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ind w:firstLine="265"/>
        <w:spacing w:after="0" w:line="266" w:lineRule="auto"/>
        <w:rPr>
          <w:sz w:val="20"/>
          <w:szCs w:val="20"/>
          <w:color w:val="auto"/>
        </w:rPr>
      </w:pPr>
      <w:r>
        <w:rPr>
          <w:rFonts w:ascii="Arial" w:cs="Arial" w:eastAsia="Arial" w:hAnsi="Arial"/>
          <w:sz w:val="15"/>
          <w:szCs w:val="15"/>
          <w:color w:val="auto"/>
        </w:rPr>
        <w:t>Total revenues for the Title segment increased by $437 million, or 18%, in the three months ended September 30, 2021 and increased by $2,105 million, or 33%, in the nine months ended September 30, 2021 from the corresponding periods in 2020.</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presents the percentages of title insurance premiums generated by our direct and agency operations: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6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5"/>
          </w:tcPr>
          <w:p>
            <w:pPr>
              <w:ind w:left="80"/>
              <w:spacing w:after="0"/>
              <w:rPr>
                <w:sz w:val="20"/>
                <w:szCs w:val="20"/>
                <w:color w:val="auto"/>
              </w:rPr>
            </w:pPr>
            <w:r>
              <w:rPr>
                <w:rFonts w:ascii="Arial" w:cs="Arial" w:eastAsia="Arial" w:hAnsi="Arial"/>
                <w:sz w:val="12"/>
                <w:szCs w:val="12"/>
                <w:b w:val="1"/>
                <w:bCs w:val="1"/>
                <w:color w:val="auto"/>
                <w:w w:val="90"/>
              </w:rPr>
              <w:t>Three months ended September 30,</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5"/>
          </w:tcPr>
          <w:p>
            <w:pPr>
              <w:ind w:left="120"/>
              <w:spacing w:after="0"/>
              <w:rPr>
                <w:sz w:val="20"/>
                <w:szCs w:val="20"/>
                <w:color w:val="auto"/>
              </w:rPr>
            </w:pPr>
            <w:r>
              <w:rPr>
                <w:rFonts w:ascii="Arial" w:cs="Arial" w:eastAsia="Arial" w:hAnsi="Arial"/>
                <w:sz w:val="12"/>
                <w:szCs w:val="12"/>
                <w:b w:val="1"/>
                <w:bCs w:val="1"/>
                <w:color w:val="auto"/>
                <w:w w:val="92"/>
              </w:rPr>
              <w:t>Nine months ended September 30,</w:t>
            </w:r>
          </w:p>
        </w:tc>
        <w:tc>
          <w:tcPr>
            <w:tcW w:w="920" w:type="dxa"/>
            <w:vAlign w:val="bottom"/>
            <w:tcBorders>
              <w:bottom w:val="single" w:sz="8" w:color="auto"/>
            </w:tcBorders>
          </w:tcPr>
          <w:p>
            <w:pPr>
              <w:spacing w:after="0"/>
              <w:rPr>
                <w:sz w:val="13"/>
                <w:szCs w:val="13"/>
                <w:color w:val="auto"/>
              </w:rPr>
            </w:pPr>
          </w:p>
        </w:tc>
      </w:tr>
      <w:tr>
        <w:trPr>
          <w:trHeight w:val="144"/>
        </w:trPr>
        <w:tc>
          <w:tcPr>
            <w:tcW w:w="3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ind w:left="340"/>
              <w:spacing w:after="0"/>
              <w:rPr>
                <w:sz w:val="20"/>
                <w:szCs w:val="20"/>
                <w:color w:val="auto"/>
              </w:rPr>
            </w:pPr>
            <w:r>
              <w:rPr>
                <w:rFonts w:ascii="Arial" w:cs="Arial" w:eastAsia="Arial" w:hAnsi="Arial"/>
                <w:sz w:val="12"/>
                <w:szCs w:val="12"/>
                <w:b w:val="1"/>
                <w:bCs w:val="1"/>
                <w:color w:val="auto"/>
              </w:rPr>
              <w:t>% of</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274"/>
              <w:spacing w:after="0"/>
              <w:rPr>
                <w:sz w:val="20"/>
                <w:szCs w:val="20"/>
                <w:color w:val="auto"/>
              </w:rPr>
            </w:pPr>
            <w:r>
              <w:rPr>
                <w:rFonts w:ascii="Arial" w:cs="Arial" w:eastAsia="Arial" w:hAnsi="Arial"/>
                <w:sz w:val="12"/>
                <w:szCs w:val="12"/>
                <w:b w:val="1"/>
                <w:bCs w:val="1"/>
                <w:color w:val="auto"/>
              </w:rPr>
              <w:t>%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ind w:left="340"/>
              <w:spacing w:after="0"/>
              <w:rPr>
                <w:sz w:val="20"/>
                <w:szCs w:val="20"/>
                <w:color w:val="auto"/>
              </w:rPr>
            </w:pPr>
            <w:r>
              <w:rPr>
                <w:rFonts w:ascii="Arial" w:cs="Arial" w:eastAsia="Arial" w:hAnsi="Arial"/>
                <w:sz w:val="12"/>
                <w:szCs w:val="12"/>
                <w:b w:val="1"/>
                <w:bCs w:val="1"/>
                <w:color w:val="auto"/>
              </w:rPr>
              <w:t>% of</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272"/>
              <w:spacing w:after="0"/>
              <w:rPr>
                <w:sz w:val="20"/>
                <w:szCs w:val="20"/>
                <w:color w:val="auto"/>
              </w:rPr>
            </w:pPr>
            <w:r>
              <w:rPr>
                <w:rFonts w:ascii="Arial" w:cs="Arial" w:eastAsia="Arial" w:hAnsi="Arial"/>
                <w:sz w:val="12"/>
                <w:szCs w:val="12"/>
                <w:b w:val="1"/>
                <w:bCs w:val="1"/>
                <w:color w:val="auto"/>
              </w:rPr>
              <w:t>% of</w:t>
            </w:r>
          </w:p>
        </w:tc>
      </w:tr>
      <w:tr>
        <w:trPr>
          <w:trHeight w:val="156"/>
        </w:trPr>
        <w:tc>
          <w:tcPr>
            <w:tcW w:w="36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0"/>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320"/>
              <w:spacing w:after="0"/>
              <w:rPr>
                <w:sz w:val="20"/>
                <w:szCs w:val="20"/>
                <w:color w:val="auto"/>
              </w:rPr>
            </w:pPr>
            <w:r>
              <w:rPr>
                <w:rFonts w:ascii="Arial" w:cs="Arial" w:eastAsia="Arial" w:hAnsi="Arial"/>
                <w:sz w:val="12"/>
                <w:szCs w:val="12"/>
                <w:b w:val="1"/>
                <w:bCs w:val="1"/>
                <w:color w:val="auto"/>
              </w:rPr>
              <w:t>Total</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0"/>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2"/>
                <w:szCs w:val="12"/>
                <w:b w:val="1"/>
                <w:bCs w:val="1"/>
                <w:color w:val="auto"/>
              </w:rPr>
              <w:t>Total</w:t>
            </w: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30"/>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340"/>
              <w:spacing w:after="0"/>
              <w:rPr>
                <w:sz w:val="20"/>
                <w:szCs w:val="20"/>
                <w:color w:val="auto"/>
              </w:rPr>
            </w:pPr>
            <w:r>
              <w:rPr>
                <w:rFonts w:ascii="Arial" w:cs="Arial" w:eastAsia="Arial" w:hAnsi="Arial"/>
                <w:sz w:val="12"/>
                <w:szCs w:val="12"/>
                <w:b w:val="1"/>
                <w:bCs w:val="1"/>
                <w:color w:val="auto"/>
              </w:rPr>
              <w:t>Total</w:t>
            </w: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0"/>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2"/>
                <w:szCs w:val="12"/>
                <w:b w:val="1"/>
                <w:bCs w:val="1"/>
                <w:color w:val="auto"/>
              </w:rPr>
              <w:t>Total</w:t>
            </w:r>
          </w:p>
        </w:tc>
      </w:tr>
      <w:tr>
        <w:trPr>
          <w:trHeight w:val="149"/>
        </w:trPr>
        <w:tc>
          <w:tcPr>
            <w:tcW w:w="3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5"/>
          </w:tcPr>
          <w:p>
            <w:pPr>
              <w:ind w:left="480"/>
              <w:spacing w:after="0"/>
              <w:rPr>
                <w:sz w:val="20"/>
                <w:szCs w:val="20"/>
                <w:color w:val="auto"/>
              </w:rPr>
            </w:pPr>
            <w:r>
              <w:rPr>
                <w:rFonts w:ascii="Arial" w:cs="Arial" w:eastAsia="Arial" w:hAnsi="Arial"/>
                <w:sz w:val="12"/>
                <w:szCs w:val="12"/>
                <w:b w:val="1"/>
                <w:bCs w:val="1"/>
                <w:color w:val="auto"/>
              </w:rPr>
              <w:t>(Dollars in millions)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90"/>
        </w:trPr>
        <w:tc>
          <w:tcPr>
            <w:tcW w:w="3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Title premiums from direct operations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896</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733</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43 %</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2,546</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41 %</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1,854</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43 %</w:t>
            </w:r>
          </w:p>
        </w:tc>
      </w:tr>
      <w:tr>
        <w:trPr>
          <w:trHeight w:val="188"/>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Title premiums from agency operations</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1,318</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114"/>
              <w:spacing w:after="0"/>
              <w:rPr>
                <w:sz w:val="20"/>
                <w:szCs w:val="20"/>
                <w:color w:val="auto"/>
              </w:rPr>
            </w:pPr>
            <w:r>
              <w:rPr>
                <w:rFonts w:ascii="Arial" w:cs="Arial" w:eastAsia="Arial" w:hAnsi="Arial"/>
                <w:sz w:val="15"/>
                <w:szCs w:val="15"/>
                <w:color w:val="auto"/>
              </w:rPr>
              <w:t>60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981</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114"/>
              <w:spacing w:after="0"/>
              <w:rPr>
                <w:sz w:val="20"/>
                <w:szCs w:val="20"/>
                <w:color w:val="auto"/>
              </w:rPr>
            </w:pPr>
            <w:r>
              <w:rPr>
                <w:rFonts w:ascii="Arial" w:cs="Arial" w:eastAsia="Arial" w:hAnsi="Arial"/>
                <w:sz w:val="15"/>
                <w:szCs w:val="15"/>
                <w:color w:val="auto"/>
              </w:rPr>
              <w:t>57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3,632</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114"/>
              <w:spacing w:after="0"/>
              <w:rPr>
                <w:sz w:val="20"/>
                <w:szCs w:val="20"/>
                <w:color w:val="auto"/>
              </w:rPr>
            </w:pPr>
            <w:r>
              <w:rPr>
                <w:rFonts w:ascii="Arial" w:cs="Arial" w:eastAsia="Arial" w:hAnsi="Arial"/>
                <w:sz w:val="15"/>
                <w:szCs w:val="15"/>
                <w:color w:val="auto"/>
              </w:rPr>
              <w:t>59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2,497</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5"/>
                <w:szCs w:val="15"/>
                <w:color w:val="auto"/>
              </w:rPr>
              <w:t>57</w:t>
            </w:r>
          </w:p>
        </w:tc>
      </w:tr>
      <w:tr>
        <w:trPr>
          <w:trHeight w:val="204"/>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Total title premiums</w:t>
            </w: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2,214</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1,714</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6,178</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4,351</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both"/>
        <w:ind w:firstLine="265"/>
        <w:spacing w:after="0" w:line="302" w:lineRule="auto"/>
        <w:rPr>
          <w:sz w:val="20"/>
          <w:szCs w:val="20"/>
          <w:color w:val="auto"/>
        </w:rPr>
      </w:pPr>
      <w:r>
        <w:rPr>
          <w:rFonts w:ascii="Arial" w:cs="Arial" w:eastAsia="Arial" w:hAnsi="Arial"/>
          <w:sz w:val="14"/>
          <w:szCs w:val="14"/>
          <w:color w:val="auto"/>
        </w:rPr>
        <w:t>Title premiums increased by $500 million, or 29% in the three months ended September 30, 2021 as compared to the corresponding period in 2020. The increase is comprised of an increase in Title premiums from direct operations of $163 million, or 22%, and an increase in Title premiums from agency operations of $337 million, or 34%.</w:t>
      </w:r>
    </w:p>
    <w:p>
      <w:pPr>
        <w:spacing w:after="0" w:line="36" w:lineRule="exact"/>
        <w:rPr>
          <w:sz w:val="20"/>
          <w:szCs w:val="20"/>
          <w:color w:val="auto"/>
        </w:rPr>
      </w:pPr>
    </w:p>
    <w:p>
      <w:pPr>
        <w:jc w:val="both"/>
        <w:ind w:firstLine="265"/>
        <w:spacing w:after="0" w:line="266" w:lineRule="auto"/>
        <w:rPr>
          <w:sz w:val="20"/>
          <w:szCs w:val="20"/>
          <w:color w:val="auto"/>
        </w:rPr>
      </w:pPr>
      <w:r>
        <w:rPr>
          <w:rFonts w:ascii="Arial" w:cs="Arial" w:eastAsia="Arial" w:hAnsi="Arial"/>
          <w:sz w:val="15"/>
          <w:szCs w:val="15"/>
          <w:color w:val="auto"/>
        </w:rPr>
        <w:t>Title premiums increased by $1,827 million, or 42% in the nine months ended September 30, 2021 as compared to the corresponding period in 2020. The increase is comprised of an increase in Title premiums from</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6" w:name="page67"/>
    <w:bookmarkEnd w:id="66"/>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color w:val="auto"/>
        </w:rPr>
        <w:t>direct operations of $692 million, or 37%, and an increase in Title premiums from agency operations of $1,135 million, or 45%.</w:t>
      </w:r>
    </w:p>
    <w:p>
      <w:pPr>
        <w:spacing w:after="0" w:line="9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presents the percentages of opened and closed title insurance orders generated by purchase and refinance transactions by our direct operations: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220" w:type="dxa"/>
            <w:vAlign w:val="bottom"/>
          </w:tcPr>
          <w:p>
            <w:pPr>
              <w:spacing w:after="0"/>
              <w:rPr>
                <w:sz w:val="13"/>
                <w:szCs w:val="13"/>
                <w:color w:val="auto"/>
              </w:rPr>
            </w:pPr>
          </w:p>
        </w:tc>
        <w:tc>
          <w:tcPr>
            <w:tcW w:w="2580" w:type="dxa"/>
            <w:vAlign w:val="bottom"/>
            <w:gridSpan w:val="4"/>
          </w:tcPr>
          <w:p>
            <w:pPr>
              <w:ind w:left="360"/>
              <w:spacing w:after="0"/>
              <w:rPr>
                <w:sz w:val="20"/>
                <w:szCs w:val="20"/>
                <w:color w:val="auto"/>
              </w:rPr>
            </w:pPr>
            <w:r>
              <w:rPr>
                <w:rFonts w:ascii="Arial" w:cs="Arial" w:eastAsia="Arial" w:hAnsi="Arial"/>
                <w:sz w:val="12"/>
                <w:szCs w:val="12"/>
                <w:b w:val="1"/>
                <w:bCs w:val="1"/>
                <w:color w:val="auto"/>
              </w:rPr>
              <w:t>Three months ended September 30,</w:t>
            </w:r>
          </w:p>
        </w:tc>
        <w:tc>
          <w:tcPr>
            <w:tcW w:w="2480" w:type="dxa"/>
            <w:vAlign w:val="bottom"/>
            <w:gridSpan w:val="3"/>
          </w:tcPr>
          <w:p>
            <w:pPr>
              <w:jc w:val="right"/>
              <w:ind w:right="309"/>
              <w:spacing w:after="0"/>
              <w:rPr>
                <w:sz w:val="20"/>
                <w:szCs w:val="20"/>
                <w:color w:val="auto"/>
              </w:rPr>
            </w:pPr>
            <w:r>
              <w:rPr>
                <w:rFonts w:ascii="Arial" w:cs="Arial" w:eastAsia="Arial" w:hAnsi="Arial"/>
                <w:sz w:val="12"/>
                <w:szCs w:val="12"/>
                <w:b w:val="1"/>
                <w:bCs w:val="1"/>
                <w:color w:val="auto"/>
              </w:rPr>
              <w:t>Nine months ended September 30,</w:t>
            </w:r>
          </w:p>
        </w:tc>
      </w:tr>
      <w:tr>
        <w:trPr>
          <w:trHeight w:val="147"/>
        </w:trPr>
        <w:tc>
          <w:tcPr>
            <w:tcW w:w="622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409"/>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409"/>
              <w:spacing w:after="0"/>
              <w:rPr>
                <w:sz w:val="20"/>
                <w:szCs w:val="20"/>
                <w:color w:val="auto"/>
              </w:rPr>
            </w:pPr>
            <w:r>
              <w:rPr>
                <w:rFonts w:ascii="Arial" w:cs="Arial" w:eastAsia="Arial" w:hAnsi="Arial"/>
                <w:sz w:val="12"/>
                <w:szCs w:val="12"/>
                <w:b w:val="1"/>
                <w:bCs w:val="1"/>
                <w:color w:val="auto"/>
              </w:rPr>
              <w:t>2020</w:t>
            </w:r>
          </w:p>
        </w:tc>
      </w:tr>
      <w:tr>
        <w:trPr>
          <w:trHeight w:val="182"/>
        </w:trPr>
        <w:tc>
          <w:tcPr>
            <w:tcW w:w="6220" w:type="dxa"/>
            <w:vAlign w:val="bottom"/>
          </w:tcPr>
          <w:p>
            <w:pPr>
              <w:ind w:left="20"/>
              <w:spacing w:after="0"/>
              <w:rPr>
                <w:sz w:val="20"/>
                <w:szCs w:val="20"/>
                <w:color w:val="auto"/>
              </w:rPr>
            </w:pPr>
            <w:r>
              <w:rPr>
                <w:rFonts w:ascii="Arial" w:cs="Arial" w:eastAsia="Arial" w:hAnsi="Arial"/>
                <w:sz w:val="15"/>
                <w:szCs w:val="15"/>
                <w:color w:val="auto"/>
              </w:rPr>
              <w:t>Opened title insurance orders from purchase transactions (1)</w:t>
            </w:r>
          </w:p>
        </w:tc>
        <w:tc>
          <w:tcPr>
            <w:tcW w:w="1200" w:type="dxa"/>
            <w:vAlign w:val="bottom"/>
          </w:tcPr>
          <w:p>
            <w:pPr>
              <w:jc w:val="right"/>
              <w:spacing w:after="0"/>
              <w:rPr>
                <w:sz w:val="20"/>
                <w:szCs w:val="20"/>
                <w:color w:val="auto"/>
              </w:rPr>
            </w:pPr>
            <w:r>
              <w:rPr>
                <w:rFonts w:ascii="Arial" w:cs="Arial" w:eastAsia="Arial" w:hAnsi="Arial"/>
                <w:sz w:val="15"/>
                <w:szCs w:val="15"/>
                <w:color w:val="auto"/>
              </w:rPr>
              <w:t>50 %</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40 %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48 %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39 %</w:t>
            </w:r>
          </w:p>
        </w:tc>
      </w:tr>
      <w:tr>
        <w:trPr>
          <w:trHeight w:val="188"/>
        </w:trPr>
        <w:tc>
          <w:tcPr>
            <w:tcW w:w="6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Opened title insurance orders from refinance transactions (1)</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5"/>
                <w:szCs w:val="15"/>
                <w:color w:val="auto"/>
              </w:rPr>
              <w:t>50</w:t>
            </w:r>
          </w:p>
        </w:tc>
        <w:tc>
          <w:tcPr>
            <w:tcW w:w="10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5"/>
                <w:szCs w:val="15"/>
                <w:color w:val="auto"/>
              </w:rPr>
              <w:t>60</w:t>
            </w:r>
          </w:p>
        </w:tc>
        <w:tc>
          <w:tcPr>
            <w:tcW w:w="8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5"/>
                <w:szCs w:val="15"/>
                <w:color w:val="auto"/>
              </w:rPr>
              <w:t>52</w:t>
            </w:r>
          </w:p>
        </w:tc>
        <w:tc>
          <w:tcPr>
            <w:tcW w:w="8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5"/>
                <w:szCs w:val="15"/>
                <w:color w:val="auto"/>
              </w:rPr>
              <w:t>61</w:t>
            </w:r>
          </w:p>
        </w:tc>
      </w:tr>
      <w:tr>
        <w:trPr>
          <w:trHeight w:val="179"/>
        </w:trPr>
        <w:tc>
          <w:tcPr>
            <w:tcW w:w="622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100 %</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100 %</w:t>
            </w:r>
          </w:p>
        </w:tc>
        <w:tc>
          <w:tcPr>
            <w:tcW w:w="8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100 %</w:t>
            </w:r>
          </w:p>
        </w:tc>
        <w:tc>
          <w:tcPr>
            <w:tcW w:w="8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100 %</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6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8"/>
        </w:trPr>
        <w:tc>
          <w:tcPr>
            <w:tcW w:w="6220" w:type="dxa"/>
            <w:vAlign w:val="bottom"/>
          </w:tcPr>
          <w:p>
            <w:pPr>
              <w:ind w:left="20"/>
              <w:spacing w:after="0"/>
              <w:rPr>
                <w:sz w:val="20"/>
                <w:szCs w:val="20"/>
                <w:color w:val="auto"/>
              </w:rPr>
            </w:pPr>
            <w:r>
              <w:rPr>
                <w:rFonts w:ascii="Arial" w:cs="Arial" w:eastAsia="Arial" w:hAnsi="Arial"/>
                <w:sz w:val="15"/>
                <w:szCs w:val="15"/>
                <w:color w:val="auto"/>
              </w:rPr>
              <w:t>Closed title insurance orders from purchase transactions (1)</w:t>
            </w:r>
          </w:p>
        </w:tc>
        <w:tc>
          <w:tcPr>
            <w:tcW w:w="1200" w:type="dxa"/>
            <w:vAlign w:val="bottom"/>
          </w:tcPr>
          <w:p>
            <w:pPr>
              <w:jc w:val="right"/>
              <w:spacing w:after="0"/>
              <w:rPr>
                <w:sz w:val="20"/>
                <w:szCs w:val="20"/>
                <w:color w:val="auto"/>
              </w:rPr>
            </w:pPr>
            <w:r>
              <w:rPr>
                <w:rFonts w:ascii="Arial" w:cs="Arial" w:eastAsia="Arial" w:hAnsi="Arial"/>
                <w:sz w:val="15"/>
                <w:szCs w:val="15"/>
                <w:color w:val="auto"/>
              </w:rPr>
              <w:t>50 %</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42 %</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43 %</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41 %</w:t>
            </w:r>
          </w:p>
        </w:tc>
      </w:tr>
      <w:tr>
        <w:trPr>
          <w:trHeight w:val="188"/>
        </w:trPr>
        <w:tc>
          <w:tcPr>
            <w:tcW w:w="6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Closed title insurance orders from refinance transactions (1)</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5"/>
                <w:szCs w:val="15"/>
                <w:color w:val="auto"/>
              </w:rPr>
              <w:t>50</w:t>
            </w:r>
          </w:p>
        </w:tc>
        <w:tc>
          <w:tcPr>
            <w:tcW w:w="10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5"/>
                <w:szCs w:val="15"/>
                <w:color w:val="auto"/>
              </w:rPr>
              <w:t>58</w:t>
            </w:r>
          </w:p>
        </w:tc>
        <w:tc>
          <w:tcPr>
            <w:tcW w:w="8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5"/>
                <w:szCs w:val="15"/>
                <w:color w:val="auto"/>
              </w:rPr>
              <w:t>57</w:t>
            </w:r>
          </w:p>
        </w:tc>
        <w:tc>
          <w:tcPr>
            <w:tcW w:w="8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5"/>
                <w:szCs w:val="15"/>
                <w:color w:val="auto"/>
              </w:rPr>
              <w:t>59</w:t>
            </w:r>
          </w:p>
        </w:tc>
      </w:tr>
      <w:tr>
        <w:trPr>
          <w:trHeight w:val="179"/>
        </w:trPr>
        <w:tc>
          <w:tcPr>
            <w:tcW w:w="622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100 %</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100 %</w:t>
            </w:r>
          </w:p>
        </w:tc>
        <w:tc>
          <w:tcPr>
            <w:tcW w:w="8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100 %</w:t>
            </w:r>
          </w:p>
        </w:tc>
        <w:tc>
          <w:tcPr>
            <w:tcW w:w="8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100 %</w:t>
            </w:r>
          </w:p>
        </w:tc>
      </w:tr>
      <w:tr>
        <w:trPr>
          <w:trHeight w:val="20"/>
        </w:trPr>
        <w:tc>
          <w:tcPr>
            <w:tcW w:w="6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w:t>
      </w:r>
    </w:p>
    <w:p>
      <w:pPr>
        <w:spacing w:after="0" w:line="48"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Percentages exclude consideration of an immaterial number of non-purchase and non-refinance orders.</w:t>
      </w:r>
    </w:p>
    <w:p>
      <w:pPr>
        <w:spacing w:after="0" w:line="92" w:lineRule="exact"/>
        <w:rPr>
          <w:sz w:val="20"/>
          <w:szCs w:val="20"/>
          <w:color w:val="auto"/>
        </w:rPr>
      </w:pPr>
    </w:p>
    <w:p>
      <w:pPr>
        <w:jc w:val="both"/>
        <w:ind w:firstLine="265"/>
        <w:spacing w:after="0" w:line="303" w:lineRule="auto"/>
        <w:rPr>
          <w:sz w:val="20"/>
          <w:szCs w:val="20"/>
          <w:color w:val="auto"/>
        </w:rPr>
      </w:pPr>
      <w:r>
        <w:rPr>
          <w:rFonts w:ascii="Arial" w:cs="Arial" w:eastAsia="Arial" w:hAnsi="Arial"/>
          <w:sz w:val="13"/>
          <w:szCs w:val="13"/>
          <w:color w:val="auto"/>
        </w:rPr>
        <w:t>Title premiums from direct operations increased in the three and nine-month periods ended September 30, 2021 as compared to the corresponding periods in 2020. The increase in the three-month period is primarily attributable to an increase in the average fee per file, which was driven by increases in the residential purchase and commercial markets when compared to the corresponding period in 2020, partially offset by a decrease in closed order volume in the 2021 period. The increase in the nine-month period is primarily attributable to an increase in total closed order volume, driven by increases in both residential purchase and refinance order volume, as well as increases in both residential and commercial fee per file.</w:t>
      </w:r>
    </w:p>
    <w:p>
      <w:pPr>
        <w:spacing w:after="0" w:line="40" w:lineRule="exact"/>
        <w:rPr>
          <w:sz w:val="20"/>
          <w:szCs w:val="20"/>
          <w:color w:val="auto"/>
        </w:rPr>
      </w:pPr>
    </w:p>
    <w:p>
      <w:pPr>
        <w:jc w:val="both"/>
        <w:ind w:firstLine="265"/>
        <w:spacing w:after="0" w:line="268" w:lineRule="auto"/>
        <w:rPr>
          <w:sz w:val="20"/>
          <w:szCs w:val="20"/>
          <w:color w:val="auto"/>
        </w:rPr>
      </w:pPr>
      <w:r>
        <w:rPr>
          <w:rFonts w:ascii="Arial" w:cs="Arial" w:eastAsia="Arial" w:hAnsi="Arial"/>
          <w:sz w:val="14"/>
          <w:szCs w:val="14"/>
          <w:color w:val="auto"/>
        </w:rPr>
        <w:t>We experienced an increase in closed title insurance order volumes from purchase transactions in the three month period ended September 30, 3021 and an increase in closed title insurance order volumes from purchase and refinance transactions in the nine-month period ended September 30, 2021 as compared to the corresponding periods in 2020. Total closed order volumes were 527,000 in the three months ended September 30, 2021 compared to 571,000 in the three months ended September 30, 2020 and 1,692,000 in the nine months ended September 30, 2021 compared to 1,435,000 in the nine months ended September 30, 2020. This represented an overall decrease of 8% and an increase of 18% in the three and nine-month periods ended September 30, 2021, respectively, from the corresponding periods in 2020. The decrease in the three-month period in 2021 is primarily attributable to the surge in residential refinance transactions in 2020 and the first half of 2021, resulting in a decline in the population of eligible refinance candidates by the three months ended September 30, 2021. Additionally, continued economic uncertainty in certain markets has created some volatility in the residential real estate market. The increase in the nine-month period in 2021 is primarily attributable to lower average interest rates and higher consumer confidence when compared to the corresponding period in 2020.</w:t>
      </w:r>
    </w:p>
    <w:p>
      <w:pPr>
        <w:spacing w:after="0" w:line="63" w:lineRule="exact"/>
        <w:rPr>
          <w:sz w:val="20"/>
          <w:szCs w:val="20"/>
          <w:color w:val="auto"/>
        </w:rPr>
      </w:pPr>
    </w:p>
    <w:p>
      <w:pPr>
        <w:jc w:val="both"/>
        <w:ind w:right="20" w:firstLine="265"/>
        <w:spacing w:after="0" w:line="302" w:lineRule="auto"/>
        <w:rPr>
          <w:sz w:val="20"/>
          <w:szCs w:val="20"/>
          <w:color w:val="auto"/>
        </w:rPr>
      </w:pPr>
      <w:r>
        <w:rPr>
          <w:rFonts w:ascii="Arial" w:cs="Arial" w:eastAsia="Arial" w:hAnsi="Arial"/>
          <w:sz w:val="14"/>
          <w:szCs w:val="14"/>
          <w:color w:val="auto"/>
        </w:rPr>
        <w:t>Total opened title insurance order volumes decreased in the three and nine-month periods ended September 30, 2021, as compared to the corresponding periods in 2020. The decreases are attributable to decreased opened title orders from refinance transactions, partially offset by increased open title orders from purchase transactions.</w:t>
      </w:r>
    </w:p>
    <w:p>
      <w:pPr>
        <w:spacing w:after="0" w:line="36" w:lineRule="exact"/>
        <w:rPr>
          <w:sz w:val="20"/>
          <w:szCs w:val="20"/>
          <w:color w:val="auto"/>
        </w:rPr>
      </w:pPr>
    </w:p>
    <w:p>
      <w:pPr>
        <w:jc w:val="both"/>
        <w:ind w:firstLine="265"/>
        <w:spacing w:after="0" w:line="250" w:lineRule="auto"/>
        <w:rPr>
          <w:sz w:val="20"/>
          <w:szCs w:val="20"/>
          <w:color w:val="auto"/>
        </w:rPr>
      </w:pPr>
      <w:r>
        <w:rPr>
          <w:rFonts w:ascii="Arial" w:cs="Arial" w:eastAsia="Arial" w:hAnsi="Arial"/>
          <w:sz w:val="15"/>
          <w:szCs w:val="15"/>
          <w:color w:val="auto"/>
        </w:rPr>
        <w:t>The average fee per file in our direct operations was $2,581 and $2,310 in the three and nine-month periods ended September 30, 2021, respectively, compared to $2,063 and $2,046 in the three and nine-month periods ended September 30, 2020, respectively. The increase in average fee per file reflects an increased proportion of purchase transactions relative to total closed orders and an increased commercial market compared to the corresponding prior year periods.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7" w:name="page68"/>
    <w:bookmarkEnd w:id="67"/>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265"/>
        <w:spacing w:after="0" w:line="250" w:lineRule="auto"/>
        <w:rPr>
          <w:sz w:val="20"/>
          <w:szCs w:val="20"/>
          <w:color w:val="auto"/>
        </w:rPr>
      </w:pPr>
      <w:r>
        <w:rPr>
          <w:rFonts w:ascii="Arial" w:cs="Arial" w:eastAsia="Arial" w:hAnsi="Arial"/>
          <w:sz w:val="15"/>
          <w:szCs w:val="15"/>
          <w:color w:val="auto"/>
        </w:rPr>
        <w:t>Title premiums from agency operations increased $337 million, or 34%, in the three months ended September 30, 2021 and increased $1,135 million, or 45%, in the nine months ended September 30, 2021 from the corresponding periods in 2020. The current trends in the agency business reflect a strong residential purchase environment in many markets throughout the country and a concerted effort by management to increase remittances with existing agents as well as cultivate new relationships with potential new agents. In addition, lower mortgage rates have resulted in a surge in refinance business with agents, which is further impacted by changes in underlying real estate activity in the geographic regions in which the independent agents operate.</w:t>
      </w:r>
    </w:p>
    <w:p>
      <w:pPr>
        <w:spacing w:after="0" w:line="73" w:lineRule="exact"/>
        <w:rPr>
          <w:sz w:val="20"/>
          <w:szCs w:val="20"/>
          <w:color w:val="auto"/>
        </w:rPr>
      </w:pPr>
    </w:p>
    <w:p>
      <w:pPr>
        <w:jc w:val="both"/>
        <w:ind w:firstLine="265"/>
        <w:spacing w:after="0" w:line="249" w:lineRule="auto"/>
        <w:rPr>
          <w:sz w:val="20"/>
          <w:szCs w:val="20"/>
          <w:color w:val="auto"/>
        </w:rPr>
      </w:pPr>
      <w:r>
        <w:rPr>
          <w:rFonts w:ascii="Arial" w:cs="Arial" w:eastAsia="Arial" w:hAnsi="Arial"/>
          <w:sz w:val="15"/>
          <w:szCs w:val="15"/>
          <w:color w:val="auto"/>
        </w:rPr>
        <w:t>Escrow, title-related and other fees increased by $107 million, or 14%, in the three months ended September 30, 2021 and increased $426 million or 21% in the nine months ended September 30, 2021 from the corresponding periods in 2020. Escrow fees, which are more closely related to our direct operations, increased by $24 million, or 7%, in the three months ended September 30, 2021 and $242 million, or 30%, in the nine months ended September 30, 2021 as compared to the corresponding periods in 2020. The increases are primarily driven by the related increase in direct title premiums. Other fees in the Title segment, excluding escrow fees, increased by $83 million, or 20%, in the three months ended September 30, 2021 and increased by $184 million, or 15%, in the nine months ended September 30, 2021 compared to the corresponding periods in 2020. The increases in Other fees was primarily driven by increases in various individually immaterial items.</w:t>
      </w:r>
    </w:p>
    <w:p>
      <w:pPr>
        <w:spacing w:after="0" w:line="74" w:lineRule="exact"/>
        <w:rPr>
          <w:sz w:val="20"/>
          <w:szCs w:val="20"/>
          <w:color w:val="auto"/>
        </w:rPr>
      </w:pPr>
    </w:p>
    <w:p>
      <w:pPr>
        <w:jc w:val="both"/>
        <w:ind w:firstLine="265"/>
        <w:spacing w:after="0" w:line="249" w:lineRule="auto"/>
        <w:rPr>
          <w:sz w:val="20"/>
          <w:szCs w:val="20"/>
          <w:color w:val="auto"/>
        </w:rPr>
      </w:pPr>
      <w:r>
        <w:rPr>
          <w:rFonts w:ascii="Arial" w:cs="Arial" w:eastAsia="Arial" w:hAnsi="Arial"/>
          <w:sz w:val="15"/>
          <w:szCs w:val="15"/>
          <w:color w:val="auto"/>
        </w:rPr>
        <w:t>Interest and investment income levels are primarily a function of securities markets, interest rates and the amount of cash available for investment. Interest and investment income decreased $4 million, or 13%, in the three months ended September 30, 2021 and decreased $37 million, or 31%, in the nine months ended September 30, 2021 as compared to the corresponding period in 2020. The decrease in the three-month period is primarily attributable to decreased average fixed maturity portfolio balances and decreased dividends on preferred stocks in the 2021 period as compared to the corresponding period in 2020, and various other individually immaterial items. The decrease in the nine-month period is primarily attributable to a decline in interest rates on our cash and short-term investments and the aforementioned decreases in dividends on common and preferred stocks in the 2021 period as compared to the corresponding period in 2020.</w:t>
      </w:r>
    </w:p>
    <w:p>
      <w:pPr>
        <w:spacing w:after="0" w:line="74" w:lineRule="exact"/>
        <w:rPr>
          <w:sz w:val="20"/>
          <w:szCs w:val="20"/>
          <w:color w:val="auto"/>
        </w:rPr>
      </w:pPr>
    </w:p>
    <w:p>
      <w:pPr>
        <w:jc w:val="both"/>
        <w:ind w:firstLine="265"/>
        <w:spacing w:after="0" w:line="255" w:lineRule="auto"/>
        <w:rPr>
          <w:sz w:val="20"/>
          <w:szCs w:val="20"/>
          <w:color w:val="auto"/>
        </w:rPr>
      </w:pPr>
      <w:r>
        <w:rPr>
          <w:rFonts w:ascii="Arial" w:cs="Arial" w:eastAsia="Arial" w:hAnsi="Arial"/>
          <w:sz w:val="15"/>
          <w:szCs w:val="15"/>
          <w:color w:val="auto"/>
        </w:rPr>
        <w:t>Net recognized losses were $169 million and $3 million in the three months ended September 30, 2021 and 2020, respectively. Net recognized losses were $258 million and $147 million in the nine months ended September 30, 2021 and 2020, respectively. The variability in recognized gains and losses, net is primarily attributable to fluctuations in non-cash valuation changes on our equity and preferred security holdings in addition to various other individually immaterial items.</w:t>
      </w:r>
    </w:p>
    <w:p>
      <w:pPr>
        <w:spacing w:after="0" w:line="68" w:lineRule="exact"/>
        <w:rPr>
          <w:sz w:val="20"/>
          <w:szCs w:val="20"/>
          <w:color w:val="auto"/>
        </w:rPr>
      </w:pPr>
    </w:p>
    <w:p>
      <w:pPr>
        <w:jc w:val="both"/>
        <w:ind w:firstLine="265"/>
        <w:spacing w:after="0" w:line="269" w:lineRule="auto"/>
        <w:rPr>
          <w:sz w:val="20"/>
          <w:szCs w:val="20"/>
          <w:color w:val="auto"/>
        </w:rPr>
      </w:pPr>
      <w:r>
        <w:rPr>
          <w:rFonts w:ascii="Arial" w:cs="Arial" w:eastAsia="Arial" w:hAnsi="Arial"/>
          <w:sz w:val="14"/>
          <w:szCs w:val="14"/>
          <w:color w:val="auto"/>
        </w:rPr>
        <w:t>Personnel costs include base salaries, commissions, benefits, stock-based compensation and bonuses paid to employees, and are one of our most significant operating expenses. Personnel costs increased $112 million, or 15%, in the three months ended September 30, 2021 and increased $426 million, or 21% in the nine months ended September 30, 2021compared to the corresponding periods in 2020. The increase is primarily attributable to increased salaries, bonuses, and commissions in the 2021 period associated with increased headcount to manage the surge in refinance and strong purchase orders compared to the prior year period. Personnel costs as a percentage of total revenues from direct title premiums and escrow, title-related and other fees were 48% and 49% for the three-month periods ended September 30, 2021 and 2020, respectively and 49% and 52%, respectively, for the nine-month periods ended September 30, 2021 and 2020. Average employee count in the Title segment was 27,799 and 24,874 in the three-month periods ended September 30, 2021 and 2020, respectively, and 27,164 and 24,225 in the nine-month periods ended September 30, 2021 and 2020, respectively.</w:t>
      </w:r>
    </w:p>
    <w:p>
      <w:pPr>
        <w:spacing w:after="0" w:line="62" w:lineRule="exact"/>
        <w:rPr>
          <w:sz w:val="20"/>
          <w:szCs w:val="20"/>
          <w:color w:val="auto"/>
        </w:rPr>
      </w:pPr>
    </w:p>
    <w:p>
      <w:pPr>
        <w:jc w:val="both"/>
        <w:ind w:firstLine="265"/>
        <w:spacing w:after="0" w:line="252" w:lineRule="auto"/>
        <w:rPr>
          <w:sz w:val="20"/>
          <w:szCs w:val="20"/>
          <w:color w:val="auto"/>
        </w:rPr>
      </w:pPr>
      <w:r>
        <w:rPr>
          <w:rFonts w:ascii="Arial" w:cs="Arial" w:eastAsia="Arial" w:hAnsi="Arial"/>
          <w:sz w:val="15"/>
          <w:szCs w:val="15"/>
          <w:color w:val="auto"/>
        </w:rPr>
        <w:t>Other operating expenses increased by $65 million, or 17%, in the three months ended September 30, 2021 and increased by $141 million, or 12% in the nine months ended September 30, 2021 from the corresponding periods in 2020. Other operating expenses as a percentage of total revenue excluding agency premiums, interest and investment income, and recognized gains and losses were 26% and 26% in the three months ended September 30, 2021 and 2020, respectively and 26% and 30% in the nine months ended September 30, 2021 and 2020, respectively.</w:t>
      </w:r>
    </w:p>
    <w:p>
      <w:pPr>
        <w:spacing w:after="0" w:line="70" w:lineRule="exact"/>
        <w:rPr>
          <w:sz w:val="20"/>
          <w:szCs w:val="20"/>
          <w:color w:val="auto"/>
        </w:rPr>
      </w:pPr>
    </w:p>
    <w:p>
      <w:pPr>
        <w:jc w:val="both"/>
        <w:ind w:firstLine="265"/>
        <w:spacing w:after="0" w:line="266" w:lineRule="auto"/>
        <w:rPr>
          <w:sz w:val="20"/>
          <w:szCs w:val="20"/>
          <w:color w:val="auto"/>
        </w:rPr>
      </w:pPr>
      <w:r>
        <w:rPr>
          <w:rFonts w:ascii="Arial" w:cs="Arial" w:eastAsia="Arial" w:hAnsi="Arial"/>
          <w:sz w:val="15"/>
          <w:szCs w:val="15"/>
          <w:color w:val="auto"/>
        </w:rPr>
        <w:t>Agent commissions represent the portion of premiums retained by agents pursuant to the terms of their respective agency contracts. Agent commissions and the resulting percentage of agent premiums that we retain vary according to regional differences in real estate closing practices and state regulations.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8" w:name="page69"/>
    <w:bookmarkEnd w:id="68"/>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illustrates the relationship of agent premiums and agent commissions, which has remained relatively consistent since 2020:</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0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5"/>
          </w:tcPr>
          <w:p>
            <w:pPr>
              <w:ind w:left="100"/>
              <w:spacing w:after="0"/>
              <w:rPr>
                <w:sz w:val="20"/>
                <w:szCs w:val="20"/>
                <w:color w:val="auto"/>
              </w:rPr>
            </w:pPr>
            <w:r>
              <w:rPr>
                <w:rFonts w:ascii="Arial" w:cs="Arial" w:eastAsia="Arial" w:hAnsi="Arial"/>
                <w:sz w:val="12"/>
                <w:szCs w:val="12"/>
                <w:b w:val="1"/>
                <w:bCs w:val="1"/>
                <w:color w:val="auto"/>
                <w:w w:val="96"/>
              </w:rPr>
              <w:t>Three months ended September 30,</w:t>
            </w: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5"/>
          </w:tcPr>
          <w:p>
            <w:pPr>
              <w:ind w:left="140"/>
              <w:spacing w:after="0"/>
              <w:rPr>
                <w:sz w:val="20"/>
                <w:szCs w:val="20"/>
                <w:color w:val="auto"/>
              </w:rPr>
            </w:pPr>
            <w:r>
              <w:rPr>
                <w:rFonts w:ascii="Arial" w:cs="Arial" w:eastAsia="Arial" w:hAnsi="Arial"/>
                <w:sz w:val="12"/>
                <w:szCs w:val="12"/>
                <w:b w:val="1"/>
                <w:bCs w:val="1"/>
                <w:color w:val="auto"/>
                <w:w w:val="99"/>
              </w:rPr>
              <w:t>Nine months ended September 30,</w:t>
            </w:r>
          </w:p>
        </w:tc>
        <w:tc>
          <w:tcPr>
            <w:tcW w:w="940" w:type="dxa"/>
            <w:vAlign w:val="bottom"/>
            <w:tcBorders>
              <w:bottom w:val="single" w:sz="8" w:color="auto"/>
            </w:tcBorders>
          </w:tcPr>
          <w:p>
            <w:pPr>
              <w:spacing w:after="0"/>
              <w:rPr>
                <w:sz w:val="13"/>
                <w:szCs w:val="13"/>
                <w:color w:val="auto"/>
              </w:rPr>
            </w:pPr>
          </w:p>
        </w:tc>
      </w:tr>
      <w:tr>
        <w:trPr>
          <w:trHeight w:val="149"/>
        </w:trPr>
        <w:tc>
          <w:tcPr>
            <w:tcW w:w="30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0"/>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2"/>
                <w:szCs w:val="12"/>
                <w:b w:val="1"/>
                <w:bCs w:val="1"/>
                <w:color w:val="auto"/>
              </w:rPr>
              <w:t>%</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0"/>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2"/>
                <w:szCs w:val="12"/>
                <w:b w:val="1"/>
                <w:bCs w:val="1"/>
                <w:color w:val="auto"/>
              </w:rPr>
              <w:t>%</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0"/>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2"/>
                <w:szCs w:val="12"/>
                <w:b w:val="1"/>
                <w:bCs w:val="1"/>
                <w:color w:val="auto"/>
              </w:rPr>
              <w:t>%</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0"/>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2"/>
                <w:szCs w:val="12"/>
                <w:b w:val="1"/>
                <w:bCs w:val="1"/>
                <w:color w:val="auto"/>
              </w:rPr>
              <w:t>%</w:t>
            </w:r>
          </w:p>
        </w:tc>
      </w:tr>
      <w:tr>
        <w:trPr>
          <w:trHeight w:val="146"/>
        </w:trPr>
        <w:tc>
          <w:tcPr>
            <w:tcW w:w="3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5"/>
          </w:tcPr>
          <w:p>
            <w:pPr>
              <w:ind w:left="500"/>
              <w:spacing w:after="0"/>
              <w:rPr>
                <w:sz w:val="20"/>
                <w:szCs w:val="20"/>
                <w:color w:val="auto"/>
              </w:rPr>
            </w:pPr>
            <w:r>
              <w:rPr>
                <w:rFonts w:ascii="Arial" w:cs="Arial" w:eastAsia="Arial" w:hAnsi="Arial"/>
                <w:sz w:val="12"/>
                <w:szCs w:val="12"/>
                <w:b w:val="1"/>
                <w:bCs w:val="1"/>
                <w:color w:val="auto"/>
              </w:rPr>
              <w:t>(Dollars in millions)</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90"/>
        </w:trPr>
        <w:tc>
          <w:tcPr>
            <w:tcW w:w="3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Agent premiums</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1,318</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981</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3,632</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2,497</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100 %</w:t>
            </w:r>
          </w:p>
        </w:tc>
      </w:tr>
      <w:tr>
        <w:trPr>
          <w:trHeight w:val="188"/>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Agent commissions</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1,010</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77 %</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749</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76 %</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2,787</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77 %</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1,907</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76 %</w:t>
            </w:r>
          </w:p>
        </w:tc>
      </w:tr>
      <w:tr>
        <w:trPr>
          <w:trHeight w:val="204"/>
        </w:trPr>
        <w:tc>
          <w:tcPr>
            <w:tcW w:w="3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Net retained agent premiums</w:t>
            </w: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308</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23 %</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232</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24 %</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845</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23 %</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590</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24 %</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jc w:val="both"/>
        <w:ind w:firstLine="265"/>
        <w:spacing w:after="0" w:line="303" w:lineRule="auto"/>
        <w:rPr>
          <w:sz w:val="20"/>
          <w:szCs w:val="20"/>
          <w:color w:val="auto"/>
        </w:rPr>
      </w:pPr>
      <w:r>
        <w:rPr>
          <w:rFonts w:ascii="Arial" w:cs="Arial" w:eastAsia="Arial" w:hAnsi="Arial"/>
          <w:sz w:val="13"/>
          <w:szCs w:val="13"/>
          <w:color w:val="auto"/>
        </w:rPr>
        <w:t>The claim loss provision for title insurance was $100 million and $77 million for the three-month periods ended September 30, 2021 and 2020, respectively, and $278 million and $196 million for the nine-month periods ended September 30, 2021 and 2020, respectively. The provision reflects an average provision rate of 4.5% of title premiums in all periods. We continually monitor and evaluate our loss provision level, actual claims paid, and the loss reserve position each quarter. This loss provision rate is set to provide for losses on current year policies, but due to development of prior years and our long claim duration, it periodically includes amounts of estimated adverse or positive development on prior years' policies.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F&amp;G</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Segment Overview</w:t>
      </w:r>
    </w:p>
    <w:p>
      <w:pPr>
        <w:spacing w:after="0" w:line="141" w:lineRule="exact"/>
        <w:rPr>
          <w:sz w:val="20"/>
          <w:szCs w:val="20"/>
          <w:color w:val="auto"/>
        </w:rPr>
      </w:pPr>
    </w:p>
    <w:p>
      <w:pPr>
        <w:jc w:val="both"/>
        <w:ind w:firstLine="331"/>
        <w:spacing w:after="0" w:line="273" w:lineRule="auto"/>
        <w:rPr>
          <w:sz w:val="20"/>
          <w:szCs w:val="20"/>
          <w:color w:val="auto"/>
        </w:rPr>
      </w:pPr>
      <w:r>
        <w:rPr>
          <w:rFonts w:ascii="Arial" w:cs="Arial" w:eastAsia="Arial" w:hAnsi="Arial"/>
          <w:sz w:val="14"/>
          <w:szCs w:val="14"/>
          <w:color w:val="auto"/>
        </w:rPr>
        <w:t>Through our wholly owned F&amp;G subsidiary, which we acquired on June 1, 2020, we provide our principal life and annuity products through the insurance subsidiaries composing our F&amp;G segment, FGL Insurance and FGL NY Insurance. Our customers range across a variety of age groups and are concentrated in the middle-income market. Our FIAs provide for pre-retirement wealth accumulation and post-retirement income management. Our IUL products provide wealth protection and transfer opportunities. Life and annuity products are primarily distributed through Independent Marketing Organizations ("IMOs") and independent insurance agents, and beginning in 2020, independent broker dealers and banks. Additionally, we provide funding agreements and pension risk transfer ("PRT") solutions to various institutions through consultants and brokers.</w:t>
      </w:r>
    </w:p>
    <w:p>
      <w:pPr>
        <w:spacing w:after="0" w:line="34" w:lineRule="exact"/>
        <w:rPr>
          <w:sz w:val="20"/>
          <w:szCs w:val="20"/>
          <w:color w:val="auto"/>
        </w:rPr>
      </w:pPr>
    </w:p>
    <w:p>
      <w:pPr>
        <w:jc w:val="both"/>
        <w:ind w:firstLine="364"/>
        <w:spacing w:after="0" w:line="252" w:lineRule="auto"/>
        <w:rPr>
          <w:sz w:val="20"/>
          <w:szCs w:val="20"/>
          <w:color w:val="auto"/>
        </w:rPr>
      </w:pPr>
      <w:r>
        <w:rPr>
          <w:rFonts w:ascii="Arial" w:cs="Arial" w:eastAsia="Arial" w:hAnsi="Arial"/>
          <w:sz w:val="15"/>
          <w:szCs w:val="15"/>
          <w:color w:val="auto"/>
        </w:rPr>
        <w:t>In setting the features and pricing of new FIA products relative to our targeted net margin, we take into account our expectations regarding (1) net investment spread (see Non-GAAP Financial Measures section), which is the difference between the net investment income we earn and the sum of the interest credited to policyholders and the cost of hedging our risk on the policies; (2) fees, including surrender charges and rider fees, partly offset by vesting bonuses that we pay our policyholders; and (3) a number of related expenses, including benefits and changes in reserves, acquisition costs, and general and administrative expenses.</w:t>
      </w:r>
    </w:p>
    <w:p>
      <w:pPr>
        <w:spacing w:after="0" w:line="48" w:lineRule="exact"/>
        <w:rPr>
          <w:sz w:val="20"/>
          <w:szCs w:val="20"/>
          <w:color w:val="auto"/>
        </w:rPr>
      </w:pPr>
    </w:p>
    <w:p>
      <w:pPr>
        <w:ind w:left="380"/>
        <w:spacing w:after="0"/>
        <w:rPr>
          <w:sz w:val="20"/>
          <w:szCs w:val="20"/>
          <w:color w:val="auto"/>
        </w:rPr>
      </w:pPr>
      <w:r>
        <w:rPr>
          <w:rFonts w:ascii="Arial" w:cs="Arial" w:eastAsia="Arial" w:hAnsi="Arial"/>
          <w:sz w:val="15"/>
          <w:szCs w:val="15"/>
          <w:b w:val="1"/>
          <w:bCs w:val="1"/>
          <w:i w:val="1"/>
          <w:iCs w:val="1"/>
          <w:color w:val="auto"/>
        </w:rPr>
        <w:t>Sales</w:t>
      </w:r>
    </w:p>
    <w:p>
      <w:pPr>
        <w:spacing w:after="0" w:line="70" w:lineRule="exact"/>
        <w:rPr>
          <w:sz w:val="20"/>
          <w:szCs w:val="20"/>
          <w:color w:val="auto"/>
        </w:rPr>
      </w:pPr>
    </w:p>
    <w:p>
      <w:pPr>
        <w:jc w:val="both"/>
        <w:ind w:firstLine="364"/>
        <w:spacing w:after="0" w:line="252" w:lineRule="auto"/>
        <w:rPr>
          <w:sz w:val="20"/>
          <w:szCs w:val="20"/>
          <w:color w:val="auto"/>
        </w:rPr>
      </w:pPr>
      <w:r>
        <w:rPr>
          <w:rFonts w:ascii="Arial" w:cs="Arial" w:eastAsia="Arial" w:hAnsi="Arial"/>
          <w:sz w:val="15"/>
          <w:szCs w:val="15"/>
          <w:color w:val="auto"/>
        </w:rPr>
        <w:t>We regularly monitor and report the production volume metric titled “Sales”. Sales are not derived from any specific GAAP income statement accounts or line items and should not be viewed as a substitute for any financial measure determined in accordance with GAAP. Sales are measured as the gross volume sold during a given period. Management believes that presentation of sales, as measured for management purposes, enhances the understanding of our business and helps depict longer term trends that may not be apparent in the results of operations due to the timing of sales and revenue recognition.</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Components of Our Historical Results of Operations</w:t>
      </w:r>
    </w:p>
    <w:p>
      <w:pPr>
        <w:spacing w:after="0" w:line="108" w:lineRule="exact"/>
        <w:rPr>
          <w:sz w:val="20"/>
          <w:szCs w:val="20"/>
          <w:color w:val="auto"/>
        </w:rPr>
      </w:pPr>
    </w:p>
    <w:p>
      <w:pPr>
        <w:jc w:val="both"/>
        <w:ind w:firstLine="364"/>
        <w:spacing w:after="0" w:line="295" w:lineRule="auto"/>
        <w:rPr>
          <w:sz w:val="20"/>
          <w:szCs w:val="20"/>
          <w:color w:val="auto"/>
        </w:rPr>
      </w:pPr>
      <w:r>
        <w:rPr>
          <w:rFonts w:ascii="Arial" w:cs="Arial" w:eastAsia="Arial" w:hAnsi="Arial"/>
          <w:sz w:val="13"/>
          <w:szCs w:val="13"/>
          <w:color w:val="auto"/>
        </w:rPr>
        <w:t>Under U.S. GAAP, premium collections for fixed indexed annuities, fixed rate annuities, and immediate annuities without life contingency, and deposits received for funding agreements are reported in the financial statements as deposit liabilities (i.e., contractholder funds) within the Company's unaudited Condensed Consolidated Financial Statements included in Item 1 of Part 1 of this Report, instead of as sales or revenues. Similarly, cash payments to customers are reported as decreases in the liability for contractholder funds and not as expenses. Sources of revenues for products accounted for as deposit liabilities are net investment income, surrender, cost of insurance and other charges deducted from contractholder funds, and net realized gains (losses) on investments. Components of expenses for products accounted for as deposit liabilities are interest-sensitive and index product benefits (primarily interest credited to account balances or the hedging cost of providing index credits to the policyholder), amortization of DAC, DSI, and VOBA, other operating costs and expenses, and income taxes.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9" w:name="page70"/>
    <w:bookmarkEnd w:id="69"/>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31"/>
        <w:spacing w:after="0" w:line="252" w:lineRule="auto"/>
        <w:rPr>
          <w:sz w:val="20"/>
          <w:szCs w:val="20"/>
          <w:color w:val="auto"/>
        </w:rPr>
      </w:pPr>
      <w:r>
        <w:rPr>
          <w:rFonts w:ascii="Arial" w:cs="Arial" w:eastAsia="Arial" w:hAnsi="Arial"/>
          <w:sz w:val="15"/>
          <w:szCs w:val="15"/>
          <w:color w:val="auto"/>
        </w:rPr>
        <w:t>Through our insurance subsidiaries, we issue a broad portfolio of deferred annuities (fixed indexed and fixed rate annuities), indexed universal life insurance, immediate annuities, and funding agreements. A deferred annuity is a type of contract that accumulates value on a tax deferred basis and typically begins making specified periodic or lump sum payments a certain number of years after the contract has been issued. An immediate annuity is a type of contract that begins making specified payments within one annuity period (e.g., one month or one year) and typically makes payments of principal and interest earnings over a period of time.</w:t>
      </w:r>
    </w:p>
    <w:p>
      <w:pPr>
        <w:spacing w:after="0" w:line="48" w:lineRule="exact"/>
        <w:rPr>
          <w:sz w:val="20"/>
          <w:szCs w:val="20"/>
          <w:color w:val="auto"/>
        </w:rPr>
      </w:pPr>
    </w:p>
    <w:p>
      <w:pPr>
        <w:jc w:val="both"/>
        <w:ind w:firstLine="331"/>
        <w:spacing w:after="0" w:line="255" w:lineRule="auto"/>
        <w:rPr>
          <w:sz w:val="20"/>
          <w:szCs w:val="20"/>
          <w:color w:val="auto"/>
        </w:rPr>
      </w:pPr>
      <w:r>
        <w:rPr>
          <w:rFonts w:ascii="Arial" w:cs="Arial" w:eastAsia="Arial" w:hAnsi="Arial"/>
          <w:sz w:val="15"/>
          <w:szCs w:val="15"/>
          <w:color w:val="auto"/>
        </w:rPr>
        <w:t>In June 2021, we established a funding agreement-backed notes program (the “FABN Program”), pursuant to which FGL Insurance may issue funding agreements to a special purpose statutory trust (the “Trust”) for spread lending purposes. The maximum aggregate principal amount permitted to be outstanding at any one time under the FABN Program is $5.0 billion. We also issue funding agreements through the Federal Home Loan Bank of Atlanta ("FHLB").</w:t>
      </w:r>
    </w:p>
    <w:p>
      <w:pPr>
        <w:spacing w:after="0" w:line="46" w:lineRule="exact"/>
        <w:rPr>
          <w:sz w:val="20"/>
          <w:szCs w:val="20"/>
          <w:color w:val="auto"/>
        </w:rPr>
      </w:pPr>
    </w:p>
    <w:p>
      <w:pPr>
        <w:jc w:val="both"/>
        <w:ind w:firstLine="331"/>
        <w:spacing w:after="0" w:line="266" w:lineRule="auto"/>
        <w:rPr>
          <w:sz w:val="20"/>
          <w:szCs w:val="20"/>
          <w:color w:val="auto"/>
        </w:rPr>
      </w:pPr>
      <w:r>
        <w:rPr>
          <w:rFonts w:ascii="Arial" w:cs="Arial" w:eastAsia="Arial" w:hAnsi="Arial"/>
          <w:sz w:val="15"/>
          <w:szCs w:val="15"/>
          <w:color w:val="auto"/>
        </w:rPr>
        <w:t>In July 2021, we entered the PRT market, pursuant to which FGL Insurance and FGL NY Insurance may issue group annuity contracts to discharge pension plan liabilities from a pension plan sponsor.</w:t>
      </w:r>
    </w:p>
    <w:p>
      <w:pPr>
        <w:spacing w:after="0" w:line="37" w:lineRule="exact"/>
        <w:rPr>
          <w:sz w:val="20"/>
          <w:szCs w:val="20"/>
          <w:color w:val="auto"/>
        </w:rPr>
      </w:pPr>
    </w:p>
    <w:p>
      <w:pPr>
        <w:jc w:val="both"/>
        <w:ind w:firstLine="331"/>
        <w:spacing w:after="0" w:line="269" w:lineRule="auto"/>
        <w:rPr>
          <w:sz w:val="20"/>
          <w:szCs w:val="20"/>
          <w:color w:val="auto"/>
        </w:rPr>
      </w:pPr>
      <w:r>
        <w:rPr>
          <w:rFonts w:ascii="Arial" w:cs="Arial" w:eastAsia="Arial" w:hAnsi="Arial"/>
          <w:sz w:val="14"/>
          <w:szCs w:val="14"/>
          <w:color w:val="auto"/>
        </w:rPr>
        <w:t>F&amp;G hedges certain portions of its exposure to product related equity market risk by entering into derivative transactions. We purchase derivatives consisting predominantly of call options and, to a lesser degree, futures contracts on the equity indices underlying the applicable policy. These derivatives are used to offset the statutory reserve impact of the index credits due to policyholders under the FIA contracts. The majority of all such call options are one-year options purchased to match the funding requirements underlying the FIA contracts. We attempt to manage the cost of these purchases through the terms of our FIA contracts, which permit us to change caps, spread, or participation rates on each policy's annual anniversary, subject to certain guaranteed minimums that must be maintained. The call options and futures contracts are marked to fair value with the change in fair value included as a component of net investment gains (losses). The change in fair value of the call options and futures contracts includes the gains and losses recognized at the expiration of the instruments’ terms or upon early termination and the changes in fair value of open positions.</w:t>
      </w:r>
    </w:p>
    <w:p>
      <w:pPr>
        <w:spacing w:after="0" w:line="40" w:lineRule="exact"/>
        <w:rPr>
          <w:sz w:val="20"/>
          <w:szCs w:val="20"/>
          <w:color w:val="auto"/>
        </w:rPr>
      </w:pPr>
    </w:p>
    <w:p>
      <w:pPr>
        <w:jc w:val="both"/>
        <w:ind w:firstLine="331"/>
        <w:spacing w:after="0" w:line="252" w:lineRule="auto"/>
        <w:rPr>
          <w:sz w:val="20"/>
          <w:szCs w:val="20"/>
          <w:color w:val="auto"/>
        </w:rPr>
      </w:pPr>
      <w:r>
        <w:rPr>
          <w:rFonts w:ascii="Arial" w:cs="Arial" w:eastAsia="Arial" w:hAnsi="Arial"/>
          <w:sz w:val="15"/>
          <w:szCs w:val="15"/>
          <w:color w:val="auto"/>
        </w:rPr>
        <w:t>Earnings from products accounted for as deposit liabilities are primarily generated from the excess of net investment income earned over the sum of interest credited to policyholders and the cost of hedging our risk on FIA policies, known as the net investment spread. With respect to FIAs, the cost of hedging our risk includes the expenses incurred to fund the index credits. Proceeds received upon expiration or early termination of call options purchased to fund annual index credits are recorded as part of the change in fair value of derivatives, and are largely offset by an expense for index credits earned on annuity contractholder fund balances.</w:t>
      </w:r>
    </w:p>
    <w:p>
      <w:pPr>
        <w:spacing w:after="0" w:line="48" w:lineRule="exact"/>
        <w:rPr>
          <w:sz w:val="20"/>
          <w:szCs w:val="20"/>
          <w:color w:val="auto"/>
        </w:rPr>
      </w:pPr>
    </w:p>
    <w:p>
      <w:pPr>
        <w:jc w:val="both"/>
        <w:ind w:firstLine="331"/>
        <w:spacing w:after="0" w:line="271" w:lineRule="auto"/>
        <w:rPr>
          <w:sz w:val="20"/>
          <w:szCs w:val="20"/>
          <w:color w:val="auto"/>
        </w:rPr>
      </w:pPr>
      <w:r>
        <w:rPr>
          <w:rFonts w:ascii="Arial" w:cs="Arial" w:eastAsia="Arial" w:hAnsi="Arial"/>
          <w:sz w:val="14"/>
          <w:szCs w:val="14"/>
          <w:color w:val="auto"/>
        </w:rPr>
        <w:t>Our profitability depends in large part upon the amount of assets under management (“AUM”), the net investment spreads earned on our AUM, our ability to manage our operating expenses and the costs of acquiring new business (principally commissions to agents and bonuses credited to policyholders). As we grow AUM, earnings generally increase. AUM increases when cash inflows, which include sales, exceed cash outflows. Managing net investment spreads involves the ability to maximize returns on our AUM and minimize risks such as interest rate changes and defaults or impairment of investments. It also includes our ability to manage interest rates credited to policyholders and costs of the options and futures purchased to fund the annual index credits on the FIAs or IULs. We analyze returns on average assets under management ("AAUM" - see Non-GAAP Financial Measures section) pre- and post-DAC, DSI and VOBA as well as pre- and post-tax to measure our profitability in terms of growth and improved earnings.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Non-GAAP Financial Measures</w:t>
      </w:r>
    </w:p>
    <w:p>
      <w:pPr>
        <w:spacing w:after="0" w:line="141" w:lineRule="exact"/>
        <w:rPr>
          <w:sz w:val="20"/>
          <w:szCs w:val="20"/>
          <w:color w:val="auto"/>
        </w:rPr>
      </w:pPr>
    </w:p>
    <w:p>
      <w:pPr>
        <w:jc w:val="both"/>
        <w:ind w:firstLine="331"/>
        <w:spacing w:after="0" w:line="282" w:lineRule="auto"/>
        <w:rPr>
          <w:sz w:val="20"/>
          <w:szCs w:val="20"/>
          <w:color w:val="auto"/>
        </w:rPr>
      </w:pPr>
      <w:r>
        <w:rPr>
          <w:rFonts w:ascii="Arial" w:cs="Arial" w:eastAsia="Arial" w:hAnsi="Arial"/>
          <w:sz w:val="14"/>
          <w:szCs w:val="14"/>
          <w:color w:val="auto"/>
        </w:rPr>
        <w:t>Management believes that certain non-GAAP financial measures may be useful in certain instances to provide additional meaningful comparisons between current results and results in prior operating periods. Our non-GAAP measures may not be comparable to similarly titled measures of other organizations because other organizations may not calculate such non-GAAP measures in the same manner as we do. Reconciliations of such measures to the most comparable GAAP measures are included herein.</w:t>
      </w:r>
    </w:p>
    <w:p>
      <w:pPr>
        <w:spacing w:after="0" w:line="29" w:lineRule="exact"/>
        <w:rPr>
          <w:sz w:val="20"/>
          <w:szCs w:val="20"/>
          <w:color w:val="auto"/>
        </w:rPr>
      </w:pPr>
    </w:p>
    <w:p>
      <w:pPr>
        <w:jc w:val="both"/>
        <w:ind w:firstLine="331"/>
        <w:spacing w:after="0" w:line="266" w:lineRule="auto"/>
        <w:rPr>
          <w:sz w:val="20"/>
          <w:szCs w:val="20"/>
          <w:color w:val="auto"/>
        </w:rPr>
      </w:pPr>
      <w:r>
        <w:rPr>
          <w:rFonts w:ascii="Arial" w:cs="Arial" w:eastAsia="Arial" w:hAnsi="Arial"/>
          <w:sz w:val="15"/>
          <w:szCs w:val="15"/>
          <w:color w:val="auto"/>
        </w:rPr>
        <w:t>Adjusted net earnings is a non-GAAP economic measure we use to evaluate financial performance each period. Adjusted net earnings is calculated by adjusting net earnings (loss) from continuing operations to eliminate:</w:t>
      </w:r>
    </w:p>
    <w:p>
      <w:pPr>
        <w:spacing w:after="0" w:line="37" w:lineRule="exact"/>
        <w:rPr>
          <w:sz w:val="20"/>
          <w:szCs w:val="20"/>
          <w:color w:val="auto"/>
        </w:rPr>
      </w:pPr>
    </w:p>
    <w:p>
      <w:pPr>
        <w:ind w:left="200" w:firstLine="7"/>
        <w:spacing w:after="0" w:line="266" w:lineRule="auto"/>
        <w:tabs>
          <w:tab w:leader="none" w:pos="381"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Recognized (gains) and losses, net: the impact of net investment gains/losses, including changes in allowance for expected credit losses recognized in operations; the impact of market volatility on the alternative asset portfolio; and the effect of changes in fair value of the reinsurance related embedded derivative;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0" w:name="page71"/>
    <w:bookmarkEnd w:id="70"/>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ind w:left="180" w:firstLine="5"/>
        <w:spacing w:after="0" w:line="253" w:lineRule="auto"/>
        <w:tabs>
          <w:tab w:leader="none" w:pos="406"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Indexed product related derivatives: the impacts related to changes in the fair value, including both realized and unrealized gains and losses, of index product related derivatives and embedded derivatives, net of hedging cost;</w:t>
      </w:r>
    </w:p>
    <w:p>
      <w:pPr>
        <w:ind w:left="180" w:right="20" w:firstLine="5"/>
        <w:spacing w:after="0" w:line="245" w:lineRule="auto"/>
        <w:tabs>
          <w:tab w:leader="none" w:pos="464" w:val="left"/>
        </w:tabs>
        <w:numPr>
          <w:ilvl w:val="0"/>
          <w:numId w:val="13"/>
        </w:numPr>
        <w:rPr>
          <w:rFonts w:ascii="Arial" w:cs="Arial" w:eastAsia="Arial" w:hAnsi="Arial"/>
          <w:sz w:val="15"/>
          <w:szCs w:val="15"/>
          <w:color w:val="auto"/>
        </w:rPr>
      </w:pPr>
      <w:r>
        <w:rPr>
          <w:rFonts w:ascii="Arial" w:cs="Arial" w:eastAsia="Arial" w:hAnsi="Arial"/>
          <w:sz w:val="15"/>
          <w:szCs w:val="15"/>
          <w:color w:val="auto"/>
        </w:rPr>
        <w:t>Purchase price amortization: the impacts related to the amortization of certain intangibles (internally developed software, trademarks and value of distribution asset (VODA)) recognized as a result of acquisition activities;</w:t>
      </w:r>
    </w:p>
    <w:p>
      <w:pPr>
        <w:spacing w:after="0" w:line="1" w:lineRule="exact"/>
        <w:rPr>
          <w:rFonts w:ascii="Arial" w:cs="Arial" w:eastAsia="Arial" w:hAnsi="Arial"/>
          <w:sz w:val="15"/>
          <w:szCs w:val="15"/>
          <w:color w:val="auto"/>
        </w:rPr>
      </w:pPr>
    </w:p>
    <w:p>
      <w:pPr>
        <w:ind w:left="440" w:hanging="255"/>
        <w:spacing w:after="0"/>
        <w:tabs>
          <w:tab w:leader="none" w:pos="4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Transaction costs: the impacts related to acquisition, integration and merger related items; and</w:t>
      </w:r>
    </w:p>
    <w:p>
      <w:pPr>
        <w:spacing w:after="0" w:line="4" w:lineRule="exact"/>
        <w:rPr>
          <w:rFonts w:ascii="Arial" w:cs="Arial" w:eastAsia="Arial" w:hAnsi="Arial"/>
          <w:sz w:val="15"/>
          <w:szCs w:val="15"/>
          <w:color w:val="auto"/>
        </w:rPr>
      </w:pPr>
    </w:p>
    <w:p>
      <w:pPr>
        <w:jc w:val="both"/>
        <w:ind w:left="180" w:firstLine="5"/>
        <w:spacing w:after="0" w:line="248" w:lineRule="auto"/>
        <w:tabs>
          <w:tab w:leader="none" w:pos="401" w:val="left"/>
        </w:tabs>
        <w:numPr>
          <w:ilvl w:val="0"/>
          <w:numId w:val="13"/>
        </w:numPr>
        <w:rPr>
          <w:rFonts w:ascii="Arial" w:cs="Arial" w:eastAsia="Arial" w:hAnsi="Arial"/>
          <w:sz w:val="15"/>
          <w:szCs w:val="15"/>
          <w:color w:val="auto"/>
        </w:rPr>
      </w:pPr>
      <w:r>
        <w:rPr>
          <w:rFonts w:ascii="Arial" w:cs="Arial" w:eastAsia="Arial" w:hAnsi="Arial"/>
          <w:sz w:val="15"/>
          <w:szCs w:val="15"/>
          <w:color w:val="auto"/>
        </w:rPr>
        <w:t>Other "non-recurring", "infrequent" or "unusual items": Management excludes certain items determined to be “non-recurring”, “infrequent” or “unusual” from adjusted net earnings when incurred if it is determined these expenses are not a reflection of the core business and when the nature of the item is such that it is not reasonably likely to recur within two years and/or there was not a similar item in the preceding two years.</w:t>
      </w:r>
    </w:p>
    <w:p>
      <w:pPr>
        <w:spacing w:after="0" w:line="51" w:lineRule="exact"/>
        <w:rPr>
          <w:sz w:val="20"/>
          <w:szCs w:val="20"/>
          <w:color w:val="auto"/>
        </w:rPr>
      </w:pPr>
    </w:p>
    <w:p>
      <w:pPr>
        <w:jc w:val="both"/>
        <w:ind w:firstLine="331"/>
        <w:spacing w:after="0" w:line="252" w:lineRule="auto"/>
        <w:rPr>
          <w:sz w:val="20"/>
          <w:szCs w:val="20"/>
          <w:color w:val="auto"/>
        </w:rPr>
      </w:pPr>
      <w:r>
        <w:rPr>
          <w:rFonts w:ascii="Arial" w:cs="Arial" w:eastAsia="Arial" w:hAnsi="Arial"/>
          <w:sz w:val="15"/>
          <w:szCs w:val="15"/>
          <w:color w:val="auto"/>
        </w:rPr>
        <w:t>Adjustments to Adjusted net earnings are net of the corresponding impact on amortization of intangibles, as appropriate. The income tax impact related to these adjustments is measured using an effective tax rate, as appropriate by tax jurisdiction. While these adjustments are an integral part of the overall performance of F&amp;G, market conditions and/or the non-operating nature of these items can overshadow the underlying performance of the core business. Accordingly, management considers this to be a useful measure internally and to investors and analysts in analyzing the trends of our operations.</w:t>
      </w:r>
    </w:p>
    <w:p>
      <w:pPr>
        <w:spacing w:after="0" w:line="48" w:lineRule="exact"/>
        <w:rPr>
          <w:sz w:val="20"/>
          <w:szCs w:val="20"/>
          <w:color w:val="auto"/>
        </w:rPr>
      </w:pPr>
    </w:p>
    <w:p>
      <w:pPr>
        <w:jc w:val="both"/>
        <w:ind w:firstLine="331"/>
        <w:spacing w:after="0" w:line="291" w:lineRule="auto"/>
        <w:rPr>
          <w:sz w:val="20"/>
          <w:szCs w:val="20"/>
          <w:color w:val="auto"/>
        </w:rPr>
      </w:pPr>
      <w:r>
        <w:rPr>
          <w:rFonts w:ascii="Arial" w:cs="Arial" w:eastAsia="Arial" w:hAnsi="Arial"/>
          <w:sz w:val="13"/>
          <w:szCs w:val="13"/>
          <w:color w:val="auto"/>
        </w:rPr>
        <w:t>Adjusted net earnings should not be used as a substitute for net earnings (loss). However, we believe the adjustments made to net earnings (loss) in order to derive adjusted net earnings provide an understanding of our overall results of operations. For example, we could have strong operating results in a given period, yet report net income that is materially less, if during such period the fair value of our derivative assets hedging the FIA and IUL index credit obligations decreased due to general equity market conditions but the embedded derivative liability related to the index credit obligation did not decrease in the same proportion as the derivative assets because of non-equity market factors such as interest rate and non-performance credit spread movements. Similarly, we could also have poor operating results in a given period yet show net earnings (loss) that is materially greater, if during such period the fair value of the derivative assets increases but the embedded derivative liability did not increase in the same proportion as the derivative assets. We hedge our index credits with a combination of static and dynamic strategies, which can result in earnings volatility, the effects of which are generally likely to reverse over time. Our management and board of directors review Adjusted Net Earnings and net earnings (loss) as part of their examination of our overall financial results. However, these examples illustrate the significant impact derivative and embedded derivative movements can have on our net earnings (loss). Accordingly, our management performs a review and analysis of these items, as part of their review of our hedging results each period.</w:t>
      </w:r>
    </w:p>
    <w:p>
      <w:pPr>
        <w:spacing w:after="0" w:line="25" w:lineRule="exact"/>
        <w:rPr>
          <w:sz w:val="20"/>
          <w:szCs w:val="20"/>
          <w:color w:val="auto"/>
        </w:rPr>
      </w:pPr>
    </w:p>
    <w:p>
      <w:pPr>
        <w:jc w:val="both"/>
        <w:ind w:firstLine="331"/>
        <w:spacing w:after="0" w:line="298" w:lineRule="auto"/>
        <w:rPr>
          <w:sz w:val="20"/>
          <w:szCs w:val="20"/>
          <w:color w:val="auto"/>
        </w:rPr>
      </w:pPr>
      <w:r>
        <w:rPr>
          <w:rFonts w:ascii="Arial" w:cs="Arial" w:eastAsia="Arial" w:hAnsi="Arial"/>
          <w:sz w:val="13"/>
          <w:szCs w:val="13"/>
          <w:color w:val="auto"/>
        </w:rPr>
        <w:t>Amounts attributable to the fair value accounting for derivatives hedging the FIA and IUL index credits and the related embedded derivative liability fluctuate from period to period based upon changes in the fair values of call options purchased to fund the annual index credits, changes in the interest rates and non-performance credit spreads used to discount the embedded derivative liability, and the fair value assumptions reflected in the embedded derivative liability. The accounting standards for fair value measurement require the discount rates used in the calculation of the embedded derivative liability to be based on risk-free interest rates adjusted for our non-performance as of the reporting date. The impact of the change in fair values of FIA-related derivatives, embedded derivatives and hedging costs has been removed from net earnings (loss) in calculating adjusted net earnings.</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AAUM is a non-GAAP measure we use to assess the rate of return on assets available for reinvestment. AAUM is calculated as the sum of:</w:t>
      </w:r>
    </w:p>
    <w:p>
      <w:pPr>
        <w:spacing w:after="0" w:line="70" w:lineRule="exact"/>
        <w:rPr>
          <w:sz w:val="20"/>
          <w:szCs w:val="20"/>
          <w:color w:val="auto"/>
        </w:rPr>
      </w:pPr>
    </w:p>
    <w:p>
      <w:pPr>
        <w:ind w:left="440" w:hanging="167"/>
        <w:spacing w:after="0"/>
        <w:tabs>
          <w:tab w:leader="none" w:pos="4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total invested assets at amortized cost, excluding derivatives;</w:t>
      </w:r>
    </w:p>
    <w:p>
      <w:pPr>
        <w:spacing w:after="0" w:line="70" w:lineRule="exact"/>
        <w:rPr>
          <w:rFonts w:ascii="Arial" w:cs="Arial" w:eastAsia="Arial" w:hAnsi="Arial"/>
          <w:sz w:val="15"/>
          <w:szCs w:val="15"/>
          <w:color w:val="auto"/>
        </w:rPr>
      </w:pPr>
    </w:p>
    <w:p>
      <w:pPr>
        <w:ind w:left="480" w:hanging="207"/>
        <w:spacing w:after="0"/>
        <w:tabs>
          <w:tab w:leader="none" w:pos="4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related party loans and investments;</w:t>
      </w:r>
    </w:p>
    <w:p>
      <w:pPr>
        <w:spacing w:after="0" w:line="70" w:lineRule="exact"/>
        <w:rPr>
          <w:rFonts w:ascii="Arial" w:cs="Arial" w:eastAsia="Arial" w:hAnsi="Arial"/>
          <w:sz w:val="15"/>
          <w:szCs w:val="15"/>
          <w:color w:val="auto"/>
        </w:rPr>
      </w:pPr>
    </w:p>
    <w:p>
      <w:pPr>
        <w:ind w:left="540" w:hanging="267"/>
        <w:spacing w:after="0"/>
        <w:tabs>
          <w:tab w:leader="none" w:pos="5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accrued investment income;</w:t>
      </w:r>
    </w:p>
    <w:p>
      <w:pPr>
        <w:spacing w:after="0" w:line="70" w:lineRule="exact"/>
        <w:rPr>
          <w:rFonts w:ascii="Arial" w:cs="Arial" w:eastAsia="Arial" w:hAnsi="Arial"/>
          <w:sz w:val="15"/>
          <w:szCs w:val="15"/>
          <w:color w:val="auto"/>
        </w:rPr>
      </w:pPr>
    </w:p>
    <w:p>
      <w:pPr>
        <w:ind w:left="520" w:hanging="247"/>
        <w:spacing w:after="0"/>
        <w:tabs>
          <w:tab w:leader="none" w:pos="5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net payable/receivable for the purchase/sale of investments, and</w:t>
      </w:r>
    </w:p>
    <w:p>
      <w:pPr>
        <w:spacing w:after="0" w:line="70" w:lineRule="exact"/>
        <w:rPr>
          <w:rFonts w:ascii="Arial" w:cs="Arial" w:eastAsia="Arial" w:hAnsi="Arial"/>
          <w:sz w:val="15"/>
          <w:szCs w:val="15"/>
          <w:color w:val="auto"/>
        </w:rPr>
      </w:pPr>
    </w:p>
    <w:p>
      <w:pPr>
        <w:ind w:left="480" w:hanging="207"/>
        <w:spacing w:after="0"/>
        <w:tabs>
          <w:tab w:leader="none" w:pos="4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cash and cash equivalents, excluding derivative collateral,</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at the beginning of the period and the end of each month in the period, divided by the total number of months in the period plus one.</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Management considers this non-GAAP financial measure to be useful internally and to investors and analysts when assessing the rate of return on assets available for reinvestment.</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1" w:name="page72"/>
    <w:bookmarkEnd w:id="7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31"/>
        <w:spacing w:after="0" w:line="266" w:lineRule="auto"/>
        <w:rPr>
          <w:sz w:val="20"/>
          <w:szCs w:val="20"/>
          <w:color w:val="auto"/>
        </w:rPr>
      </w:pPr>
      <w:r>
        <w:rPr>
          <w:rFonts w:ascii="Arial" w:cs="Arial" w:eastAsia="Arial" w:hAnsi="Arial"/>
          <w:sz w:val="15"/>
          <w:szCs w:val="15"/>
          <w:color w:val="auto"/>
        </w:rPr>
        <w:t>Yield on AAUM is calculated by dividing annualized net investment income by AAUM. Management considers this non-GAAP financial measure to be useful internally and to investors and analysts when assessing the level of return earned on AAUM.</w:t>
      </w:r>
    </w:p>
    <w:p>
      <w:pPr>
        <w:spacing w:after="0" w:line="37" w:lineRule="exact"/>
        <w:rPr>
          <w:sz w:val="20"/>
          <w:szCs w:val="20"/>
          <w:color w:val="auto"/>
        </w:rPr>
      </w:pPr>
    </w:p>
    <w:p>
      <w:pPr>
        <w:jc w:val="both"/>
        <w:ind w:firstLine="331"/>
        <w:spacing w:after="0" w:line="266" w:lineRule="auto"/>
        <w:rPr>
          <w:sz w:val="20"/>
          <w:szCs w:val="20"/>
          <w:color w:val="auto"/>
        </w:rPr>
      </w:pPr>
      <w:r>
        <w:rPr>
          <w:rFonts w:ascii="Arial" w:cs="Arial" w:eastAsia="Arial" w:hAnsi="Arial"/>
          <w:sz w:val="15"/>
          <w:szCs w:val="15"/>
          <w:color w:val="auto"/>
        </w:rPr>
        <w:t>Alternative investment yield adjustment is the current period yield impact of market volatility on the alternative investment portfolio. Management considers this non-GAAP financial measure to be useful internally and to investors and analysts when assessing the level of return earned on AAUM.</w:t>
      </w:r>
    </w:p>
    <w:p>
      <w:pPr>
        <w:spacing w:after="0" w:line="37" w:lineRule="exact"/>
        <w:rPr>
          <w:sz w:val="20"/>
          <w:szCs w:val="20"/>
          <w:color w:val="auto"/>
        </w:rPr>
      </w:pPr>
    </w:p>
    <w:p>
      <w:pPr>
        <w:jc w:val="both"/>
        <w:ind w:firstLine="331"/>
        <w:spacing w:after="0" w:line="266" w:lineRule="auto"/>
        <w:rPr>
          <w:sz w:val="20"/>
          <w:szCs w:val="20"/>
          <w:color w:val="auto"/>
        </w:rPr>
      </w:pPr>
      <w:r>
        <w:rPr>
          <w:rFonts w:ascii="Arial" w:cs="Arial" w:eastAsia="Arial" w:hAnsi="Arial"/>
          <w:sz w:val="15"/>
          <w:szCs w:val="15"/>
          <w:color w:val="auto"/>
        </w:rPr>
        <w:t>Adjusted Yield on AAUM is calculated by dividing annualized net investment income by AAUM, plus or minus the alternative investment yield adjustment. Management considers this non-GAAP financial measure to be useful internally and to investors and analysts when assessing the level of return earned on AAUM.</w:t>
      </w:r>
    </w:p>
    <w:p>
      <w:pPr>
        <w:spacing w:after="0" w:line="37" w:lineRule="exact"/>
        <w:rPr>
          <w:sz w:val="20"/>
          <w:szCs w:val="20"/>
          <w:color w:val="auto"/>
        </w:rPr>
      </w:pPr>
    </w:p>
    <w:p>
      <w:pPr>
        <w:jc w:val="both"/>
        <w:ind w:firstLine="331"/>
        <w:spacing w:after="0" w:line="282" w:lineRule="auto"/>
        <w:rPr>
          <w:sz w:val="20"/>
          <w:szCs w:val="20"/>
          <w:color w:val="auto"/>
        </w:rPr>
      </w:pPr>
      <w:r>
        <w:rPr>
          <w:rFonts w:ascii="Arial" w:cs="Arial" w:eastAsia="Arial" w:hAnsi="Arial"/>
          <w:sz w:val="14"/>
          <w:szCs w:val="14"/>
          <w:color w:val="auto"/>
        </w:rPr>
        <w:t>Net investment spread is the excess of net investment income, adjusted for market volatility on the alternative asset investment portfolio, earned over the sum of interest credited to policyholders and the cost of hedging our risk on indexed product policies. Management considers this non-GAAP financial measure to be useful internally and to investors and analysts when assessing the performance of the Company’s invested assets against the level of investment return provided to policyholders, inclusive of hedging costs.</w:t>
      </w:r>
    </w:p>
    <w:p>
      <w:pPr>
        <w:spacing w:after="0" w:line="29"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F&amp;G Results of Operations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results of operations of our F&amp;G segment for the three and nine months ended September 30, 2021 and the three and four months ended September 30, 2020 (following our June 1,</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2020 acquisition of F&amp;G) were as follows (in millions):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5280" w:type="dxa"/>
            <w:vAlign w:val="bottom"/>
          </w:tcPr>
          <w:p>
            <w:pPr>
              <w:spacing w:after="0"/>
              <w:rPr>
                <w:sz w:val="12"/>
                <w:szCs w:val="12"/>
                <w:color w:val="auto"/>
              </w:rPr>
            </w:pPr>
          </w:p>
        </w:tc>
        <w:tc>
          <w:tcPr>
            <w:tcW w:w="266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0"/>
                <w:szCs w:val="10"/>
                <w:b w:val="1"/>
                <w:bCs w:val="1"/>
                <w:color w:val="auto"/>
              </w:rPr>
              <w:t>Three months ended</w:t>
            </w:r>
          </w:p>
        </w:tc>
        <w:tc>
          <w:tcPr>
            <w:tcW w:w="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Nine months ended</w:t>
            </w: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222"/>
              <w:spacing w:after="0"/>
              <w:rPr>
                <w:sz w:val="20"/>
                <w:szCs w:val="20"/>
                <w:color w:val="auto"/>
              </w:rPr>
            </w:pPr>
            <w:r>
              <w:rPr>
                <w:rFonts w:ascii="Arial" w:cs="Arial" w:eastAsia="Arial" w:hAnsi="Arial"/>
                <w:sz w:val="10"/>
                <w:szCs w:val="10"/>
                <w:b w:val="1"/>
                <w:bCs w:val="1"/>
                <w:color w:val="auto"/>
              </w:rPr>
              <w:t>Four months ended</w:t>
            </w:r>
          </w:p>
        </w:tc>
        <w:tc>
          <w:tcPr>
            <w:tcW w:w="0" w:type="dxa"/>
            <w:vAlign w:val="bottom"/>
          </w:tcPr>
          <w:p>
            <w:pPr>
              <w:spacing w:after="0"/>
              <w:rPr>
                <w:sz w:val="1"/>
                <w:szCs w:val="1"/>
                <w:color w:val="auto"/>
              </w:rPr>
            </w:pPr>
          </w:p>
        </w:tc>
      </w:tr>
      <w:tr>
        <w:trPr>
          <w:trHeight w:val="137"/>
        </w:trPr>
        <w:tc>
          <w:tcPr>
            <w:tcW w:w="528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b w:val="1"/>
                <w:bCs w:val="1"/>
                <w:color w:val="auto"/>
              </w:rPr>
              <w:t>September 30, 2021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b w:val="1"/>
                <w:bCs w:val="1"/>
                <w:color w:val="auto"/>
              </w:rPr>
              <w:t>September 30, 2020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ind w:left="100"/>
              <w:spacing w:after="0"/>
              <w:rPr>
                <w:sz w:val="20"/>
                <w:szCs w:val="20"/>
                <w:color w:val="auto"/>
              </w:rPr>
            </w:pPr>
            <w:r>
              <w:rPr>
                <w:rFonts w:ascii="Arial" w:cs="Arial" w:eastAsia="Arial" w:hAnsi="Arial"/>
                <w:sz w:val="10"/>
                <w:szCs w:val="10"/>
                <w:b w:val="1"/>
                <w:bCs w:val="1"/>
                <w:color w:val="auto"/>
              </w:rPr>
              <w:t>September 30, 2021</w:t>
            </w:r>
          </w:p>
        </w:tc>
        <w:tc>
          <w:tcPr>
            <w:tcW w:w="180" w:type="dxa"/>
            <w:vAlign w:val="bottom"/>
          </w:tcPr>
          <w:p>
            <w:pPr>
              <w:spacing w:after="0"/>
              <w:rPr>
                <w:sz w:val="11"/>
                <w:szCs w:val="11"/>
                <w:color w:val="auto"/>
              </w:rPr>
            </w:pPr>
          </w:p>
        </w:tc>
        <w:tc>
          <w:tcPr>
            <w:tcW w:w="1240" w:type="dxa"/>
            <w:vAlign w:val="bottom"/>
          </w:tcPr>
          <w:p>
            <w:pPr>
              <w:jc w:val="right"/>
              <w:ind w:right="222"/>
              <w:spacing w:after="0"/>
              <w:rPr>
                <w:sz w:val="20"/>
                <w:szCs w:val="20"/>
                <w:color w:val="auto"/>
              </w:rPr>
            </w:pPr>
            <w:r>
              <w:rPr>
                <w:rFonts w:ascii="Arial" w:cs="Arial" w:eastAsia="Arial" w:hAnsi="Arial"/>
                <w:sz w:val="10"/>
                <w:szCs w:val="10"/>
                <w:b w:val="1"/>
                <w:bCs w:val="1"/>
                <w:color w:val="auto"/>
              </w:rPr>
              <w:t>September 30, 2020</w:t>
            </w:r>
          </w:p>
        </w:tc>
        <w:tc>
          <w:tcPr>
            <w:tcW w:w="0" w:type="dxa"/>
            <w:vAlign w:val="bottom"/>
          </w:tcPr>
          <w:p>
            <w:pPr>
              <w:spacing w:after="0"/>
              <w:rPr>
                <w:sz w:val="1"/>
                <w:szCs w:val="1"/>
                <w:color w:val="auto"/>
              </w:rPr>
            </w:pPr>
          </w:p>
        </w:tc>
      </w:tr>
      <w:tr>
        <w:trPr>
          <w:trHeight w:val="139"/>
        </w:trPr>
        <w:tc>
          <w:tcPr>
            <w:tcW w:w="5280" w:type="dxa"/>
            <w:vAlign w:val="bottom"/>
            <w:tcBorders>
              <w:top w:val="single" w:sz="8" w:color="CCEEFF"/>
            </w:tcBorders>
            <w:shd w:val="clear" w:color="auto" w:fill="CCEEFF"/>
          </w:tcPr>
          <w:p>
            <w:pPr>
              <w:ind w:left="20"/>
              <w:spacing w:after="0" w:line="136" w:lineRule="exact"/>
              <w:rPr>
                <w:sz w:val="20"/>
                <w:szCs w:val="20"/>
                <w:color w:val="auto"/>
              </w:rPr>
            </w:pPr>
            <w:r>
              <w:rPr>
                <w:rFonts w:ascii="Arial" w:cs="Arial" w:eastAsia="Arial" w:hAnsi="Arial"/>
                <w:sz w:val="12"/>
                <w:szCs w:val="12"/>
                <w:b w:val="1"/>
                <w:bCs w:val="1"/>
                <w:color w:val="auto"/>
              </w:rPr>
              <w:t>Revenues:</w:t>
            </w:r>
          </w:p>
        </w:tc>
        <w:tc>
          <w:tcPr>
            <w:tcW w:w="11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280" w:type="dxa"/>
            <w:vAlign w:val="bottom"/>
          </w:tcPr>
          <w:p>
            <w:pPr>
              <w:ind w:left="20"/>
              <w:spacing w:after="0"/>
              <w:rPr>
                <w:sz w:val="20"/>
                <w:szCs w:val="20"/>
                <w:color w:val="auto"/>
              </w:rPr>
            </w:pPr>
            <w:r>
              <w:rPr>
                <w:rFonts w:ascii="Arial" w:cs="Arial" w:eastAsia="Arial" w:hAnsi="Arial"/>
                <w:sz w:val="12"/>
                <w:szCs w:val="12"/>
                <w:color w:val="auto"/>
              </w:rPr>
              <w:t>Life insurance premiums and other fees (a)</w:t>
            </w:r>
          </w:p>
        </w:tc>
        <w:tc>
          <w:tcPr>
            <w:tcW w:w="1160" w:type="dxa"/>
            <w:vAlign w:val="bottom"/>
          </w:tcPr>
          <w:p>
            <w:pPr>
              <w:jc w:val="right"/>
              <w:ind w:right="1051"/>
              <w:spacing w:after="0"/>
              <w:rPr>
                <w:sz w:val="20"/>
                <w:szCs w:val="20"/>
                <w:color w:val="auto"/>
              </w:rPr>
            </w:pPr>
            <w:r>
              <w:rPr>
                <w:rFonts w:ascii="Arial" w:cs="Arial" w:eastAsia="Arial" w:hAnsi="Arial"/>
                <w:sz w:val="9"/>
                <w:szCs w:val="9"/>
                <w:color w:val="auto"/>
                <w:w w:val="78"/>
              </w:rPr>
              <w:t>$</w:t>
            </w:r>
          </w:p>
        </w:tc>
        <w:tc>
          <w:tcPr>
            <w:tcW w:w="240" w:type="dxa"/>
            <w:vAlign w:val="bottom"/>
          </w:tcPr>
          <w:p>
            <w:pPr>
              <w:jc w:val="right"/>
              <w:spacing w:after="0"/>
              <w:rPr>
                <w:sz w:val="20"/>
                <w:szCs w:val="20"/>
                <w:color w:val="auto"/>
              </w:rPr>
            </w:pPr>
            <w:r>
              <w:rPr>
                <w:rFonts w:ascii="Arial" w:cs="Arial" w:eastAsia="Arial" w:hAnsi="Arial"/>
                <w:sz w:val="12"/>
                <w:szCs w:val="12"/>
                <w:color w:val="auto"/>
                <w:w w:val="89"/>
              </w:rPr>
              <w:t>431</w:t>
            </w:r>
          </w:p>
        </w:tc>
        <w:tc>
          <w:tcPr>
            <w:tcW w:w="100" w:type="dxa"/>
            <w:vAlign w:val="bottom"/>
          </w:tcPr>
          <w:p>
            <w:pPr>
              <w:spacing w:after="0"/>
              <w:rPr>
                <w:sz w:val="13"/>
                <w:szCs w:val="13"/>
                <w:color w:val="auto"/>
              </w:rPr>
            </w:pPr>
          </w:p>
        </w:tc>
        <w:tc>
          <w:tcPr>
            <w:tcW w:w="1160" w:type="dxa"/>
            <w:vAlign w:val="bottom"/>
          </w:tcPr>
          <w:p>
            <w:pPr>
              <w:jc w:val="right"/>
              <w:ind w:right="1052"/>
              <w:spacing w:after="0"/>
              <w:rPr>
                <w:sz w:val="20"/>
                <w:szCs w:val="20"/>
                <w:color w:val="auto"/>
              </w:rPr>
            </w:pPr>
            <w:r>
              <w:rPr>
                <w:rFonts w:ascii="Arial" w:cs="Arial" w:eastAsia="Arial" w:hAnsi="Arial"/>
                <w:sz w:val="9"/>
                <w:szCs w:val="9"/>
                <w:color w:val="auto"/>
                <w:w w:val="78"/>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60</w:t>
            </w:r>
          </w:p>
        </w:tc>
        <w:tc>
          <w:tcPr>
            <w:tcW w:w="120" w:type="dxa"/>
            <w:vAlign w:val="bottom"/>
          </w:tcPr>
          <w:p>
            <w:pPr>
              <w:spacing w:after="0"/>
              <w:rPr>
                <w:sz w:val="13"/>
                <w:szCs w:val="13"/>
                <w:color w:val="auto"/>
              </w:rPr>
            </w:pPr>
          </w:p>
        </w:tc>
        <w:tc>
          <w:tcPr>
            <w:tcW w:w="180" w:type="dxa"/>
            <w:vAlign w:val="bottom"/>
          </w:tcPr>
          <w:p>
            <w:pPr>
              <w:jc w:val="right"/>
              <w:ind w:right="41"/>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2"/>
              <w:spacing w:after="0"/>
              <w:rPr>
                <w:sz w:val="20"/>
                <w:szCs w:val="20"/>
                <w:color w:val="auto"/>
              </w:rPr>
            </w:pPr>
            <w:r>
              <w:rPr>
                <w:rFonts w:ascii="Arial" w:cs="Arial" w:eastAsia="Arial" w:hAnsi="Arial"/>
                <w:sz w:val="12"/>
                <w:szCs w:val="12"/>
                <w:color w:val="auto"/>
              </w:rPr>
              <w:t>557</w:t>
            </w:r>
          </w:p>
        </w:tc>
        <w:tc>
          <w:tcPr>
            <w:tcW w:w="100" w:type="dxa"/>
            <w:vAlign w:val="bottom"/>
          </w:tcPr>
          <w:p>
            <w:pPr>
              <w:spacing w:after="0"/>
              <w:rPr>
                <w:sz w:val="13"/>
                <w:szCs w:val="13"/>
                <w:color w:val="auto"/>
              </w:rPr>
            </w:pPr>
          </w:p>
        </w:tc>
        <w:tc>
          <w:tcPr>
            <w:tcW w:w="180" w:type="dxa"/>
            <w:vAlign w:val="bottom"/>
          </w:tcPr>
          <w:p>
            <w:pPr>
              <w:jc w:val="right"/>
              <w:ind w:right="41"/>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2"/>
              <w:spacing w:after="0"/>
              <w:rPr>
                <w:sz w:val="20"/>
                <w:szCs w:val="20"/>
                <w:color w:val="auto"/>
              </w:rPr>
            </w:pPr>
            <w:r>
              <w:rPr>
                <w:rFonts w:ascii="Arial" w:cs="Arial" w:eastAsia="Arial" w:hAnsi="Arial"/>
                <w:sz w:val="12"/>
                <w:szCs w:val="12"/>
                <w:color w:val="auto"/>
              </w:rPr>
              <w:t>80</w:t>
            </w:r>
          </w:p>
        </w:tc>
        <w:tc>
          <w:tcPr>
            <w:tcW w:w="0" w:type="dxa"/>
            <w:vAlign w:val="bottom"/>
          </w:tcPr>
          <w:p>
            <w:pPr>
              <w:spacing w:after="0"/>
              <w:rPr>
                <w:sz w:val="1"/>
                <w:szCs w:val="1"/>
                <w:color w:val="auto"/>
              </w:rPr>
            </w:pPr>
          </w:p>
        </w:tc>
      </w:tr>
      <w:tr>
        <w:trPr>
          <w:trHeight w:val="157"/>
        </w:trPr>
        <w:tc>
          <w:tcPr>
            <w:tcW w:w="5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and investment income</w:t>
            </w:r>
          </w:p>
        </w:tc>
        <w:tc>
          <w:tcPr>
            <w:tcW w:w="116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481</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305</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1,341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416</w:t>
            </w:r>
          </w:p>
        </w:tc>
        <w:tc>
          <w:tcPr>
            <w:tcW w:w="0" w:type="dxa"/>
            <w:vAlign w:val="bottom"/>
          </w:tcPr>
          <w:p>
            <w:pPr>
              <w:spacing w:after="0"/>
              <w:rPr>
                <w:sz w:val="1"/>
                <w:szCs w:val="1"/>
                <w:color w:val="auto"/>
              </w:rPr>
            </w:pPr>
          </w:p>
        </w:tc>
      </w:tr>
      <w:tr>
        <w:trPr>
          <w:trHeight w:val="152"/>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Recognized gains and losses, net</w:t>
            </w:r>
          </w:p>
        </w:tc>
        <w:tc>
          <w:tcPr>
            <w:tcW w:w="11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w:t>
            </w:r>
          </w:p>
        </w:tc>
        <w:tc>
          <w:tcPr>
            <w:tcW w:w="1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370</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148"/>
        </w:trPr>
        <w:tc>
          <w:tcPr>
            <w:tcW w:w="5280" w:type="dxa"/>
            <w:vAlign w:val="bottom"/>
            <w:shd w:val="clear" w:color="auto" w:fill="CCEEFF"/>
          </w:tcPr>
          <w:p>
            <w:pPr>
              <w:ind w:left="280"/>
              <w:spacing w:after="0"/>
              <w:rPr>
                <w:sz w:val="20"/>
                <w:szCs w:val="20"/>
                <w:color w:val="auto"/>
              </w:rPr>
            </w:pPr>
            <w:r>
              <w:rPr>
                <w:rFonts w:ascii="Arial" w:cs="Arial" w:eastAsia="Arial" w:hAnsi="Arial"/>
                <w:sz w:val="12"/>
                <w:szCs w:val="12"/>
                <w:b w:val="1"/>
                <w:bCs w:val="1"/>
                <w:color w:val="auto"/>
              </w:rPr>
              <w:t>Total revenues</w:t>
            </w: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927</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442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2,268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566</w:t>
            </w:r>
          </w:p>
        </w:tc>
        <w:tc>
          <w:tcPr>
            <w:tcW w:w="0" w:type="dxa"/>
            <w:vAlign w:val="bottom"/>
          </w:tcPr>
          <w:p>
            <w:pPr>
              <w:spacing w:after="0"/>
              <w:rPr>
                <w:sz w:val="1"/>
                <w:szCs w:val="1"/>
                <w:color w:val="auto"/>
              </w:rPr>
            </w:pPr>
          </w:p>
        </w:tc>
      </w:tr>
      <w:tr>
        <w:trPr>
          <w:trHeight w:val="153"/>
        </w:trPr>
        <w:tc>
          <w:tcPr>
            <w:tcW w:w="5280" w:type="dxa"/>
            <w:vAlign w:val="bottom"/>
          </w:tcPr>
          <w:p>
            <w:pPr>
              <w:ind w:left="20"/>
              <w:spacing w:after="0"/>
              <w:rPr>
                <w:sz w:val="20"/>
                <w:szCs w:val="20"/>
                <w:color w:val="auto"/>
              </w:rPr>
            </w:pPr>
            <w:r>
              <w:rPr>
                <w:rFonts w:ascii="Arial" w:cs="Arial" w:eastAsia="Arial" w:hAnsi="Arial"/>
                <w:sz w:val="12"/>
                <w:szCs w:val="12"/>
                <w:b w:val="1"/>
                <w:bCs w:val="1"/>
                <w:color w:val="auto"/>
              </w:rPr>
              <w:t>Expenses:</w:t>
            </w: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Benefits and other changes in policy reserves</w:t>
            </w:r>
          </w:p>
        </w:tc>
        <w:tc>
          <w:tcPr>
            <w:tcW w:w="116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185</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251</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734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406</w:t>
            </w:r>
          </w:p>
        </w:tc>
        <w:tc>
          <w:tcPr>
            <w:tcW w:w="0" w:type="dxa"/>
            <w:vAlign w:val="bottom"/>
          </w:tcPr>
          <w:p>
            <w:pPr>
              <w:spacing w:after="0"/>
              <w:rPr>
                <w:sz w:val="1"/>
                <w:szCs w:val="1"/>
                <w:color w:val="auto"/>
              </w:rPr>
            </w:pPr>
          </w:p>
        </w:tc>
      </w:tr>
      <w:tr>
        <w:trPr>
          <w:trHeight w:val="152"/>
        </w:trPr>
        <w:tc>
          <w:tcPr>
            <w:tcW w:w="5280" w:type="dxa"/>
            <w:vAlign w:val="bottom"/>
          </w:tcPr>
          <w:p>
            <w:pPr>
              <w:ind w:left="20"/>
              <w:spacing w:after="0"/>
              <w:rPr>
                <w:sz w:val="20"/>
                <w:szCs w:val="20"/>
                <w:color w:val="auto"/>
              </w:rPr>
            </w:pPr>
            <w:r>
              <w:rPr>
                <w:rFonts w:ascii="Arial" w:cs="Arial" w:eastAsia="Arial" w:hAnsi="Arial"/>
                <w:sz w:val="12"/>
                <w:szCs w:val="12"/>
                <w:color w:val="auto"/>
              </w:rPr>
              <w:t>Personnel costs</w:t>
            </w:r>
          </w:p>
        </w:tc>
        <w:tc>
          <w:tcPr>
            <w:tcW w:w="116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23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2"/>
              <w:spacing w:after="0"/>
              <w:rPr>
                <w:sz w:val="20"/>
                <w:szCs w:val="20"/>
                <w:color w:val="auto"/>
              </w:rPr>
            </w:pPr>
            <w:r>
              <w:rPr>
                <w:rFonts w:ascii="Arial" w:cs="Arial" w:eastAsia="Arial" w:hAnsi="Arial"/>
                <w:sz w:val="12"/>
                <w:szCs w:val="12"/>
                <w:color w:val="auto"/>
              </w:rPr>
              <w:t>93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2"/>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157"/>
        </w:trPr>
        <w:tc>
          <w:tcPr>
            <w:tcW w:w="5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operating expenses</w:t>
            </w:r>
          </w:p>
        </w:tc>
        <w:tc>
          <w:tcPr>
            <w:tcW w:w="116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152"/>
        </w:trPr>
        <w:tc>
          <w:tcPr>
            <w:tcW w:w="5280" w:type="dxa"/>
            <w:vAlign w:val="bottom"/>
          </w:tcPr>
          <w:p>
            <w:pPr>
              <w:ind w:left="20"/>
              <w:spacing w:after="0"/>
              <w:rPr>
                <w:sz w:val="20"/>
                <w:szCs w:val="20"/>
                <w:color w:val="auto"/>
              </w:rPr>
            </w:pPr>
            <w:r>
              <w:rPr>
                <w:rFonts w:ascii="Arial" w:cs="Arial" w:eastAsia="Arial" w:hAnsi="Arial"/>
                <w:sz w:val="12"/>
                <w:szCs w:val="12"/>
                <w:color w:val="auto"/>
              </w:rPr>
              <w:t>Depreciation and amortization</w:t>
            </w:r>
          </w:p>
        </w:tc>
        <w:tc>
          <w:tcPr>
            <w:tcW w:w="116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w w:val="89"/>
              </w:rPr>
              <w:t>210</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56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2"/>
              <w:spacing w:after="0"/>
              <w:rPr>
                <w:sz w:val="20"/>
                <w:szCs w:val="20"/>
                <w:color w:val="auto"/>
              </w:rPr>
            </w:pPr>
            <w:r>
              <w:rPr>
                <w:rFonts w:ascii="Arial" w:cs="Arial" w:eastAsia="Arial" w:hAnsi="Arial"/>
                <w:sz w:val="12"/>
                <w:szCs w:val="12"/>
                <w:color w:val="auto"/>
              </w:rPr>
              <w:t>419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2"/>
              <w:spacing w:after="0"/>
              <w:rPr>
                <w:sz w:val="20"/>
                <w:szCs w:val="20"/>
                <w:color w:val="auto"/>
              </w:rPr>
            </w:pPr>
            <w:r>
              <w:rPr>
                <w:rFonts w:ascii="Arial" w:cs="Arial" w:eastAsia="Arial" w:hAnsi="Arial"/>
                <w:sz w:val="12"/>
                <w:szCs w:val="12"/>
                <w:color w:val="auto"/>
              </w:rPr>
              <w:t>59</w:t>
            </w:r>
          </w:p>
        </w:tc>
        <w:tc>
          <w:tcPr>
            <w:tcW w:w="0" w:type="dxa"/>
            <w:vAlign w:val="bottom"/>
          </w:tcPr>
          <w:p>
            <w:pPr>
              <w:spacing w:after="0"/>
              <w:rPr>
                <w:sz w:val="1"/>
                <w:szCs w:val="1"/>
                <w:color w:val="auto"/>
              </w:rPr>
            </w:pPr>
          </w:p>
        </w:tc>
      </w:tr>
      <w:tr>
        <w:trPr>
          <w:trHeight w:val="157"/>
        </w:trPr>
        <w:tc>
          <w:tcPr>
            <w:tcW w:w="5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expense</w:t>
            </w:r>
          </w:p>
        </w:tc>
        <w:tc>
          <w:tcPr>
            <w:tcW w:w="116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43"/>
        </w:trPr>
        <w:tc>
          <w:tcPr>
            <w:tcW w:w="5280" w:type="dxa"/>
            <w:vAlign w:val="bottom"/>
          </w:tcPr>
          <w:p>
            <w:pPr>
              <w:ind w:left="320"/>
              <w:spacing w:after="0" w:line="136" w:lineRule="exact"/>
              <w:rPr>
                <w:sz w:val="20"/>
                <w:szCs w:val="20"/>
                <w:color w:val="auto"/>
              </w:rPr>
            </w:pPr>
            <w:r>
              <w:rPr>
                <w:rFonts w:ascii="Arial" w:cs="Arial" w:eastAsia="Arial" w:hAnsi="Arial"/>
                <w:sz w:val="12"/>
                <w:szCs w:val="12"/>
                <w:b w:val="1"/>
                <w:bCs w:val="1"/>
                <w:color w:val="auto"/>
              </w:rPr>
              <w:t>Total expenses</w:t>
            </w:r>
          </w:p>
        </w:tc>
        <w:tc>
          <w:tcPr>
            <w:tcW w:w="116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w w:val="89"/>
              </w:rPr>
              <w:t>455</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w w:val="89"/>
              </w:rPr>
              <w:t>370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right"/>
              <w:ind w:right="2"/>
              <w:spacing w:after="0"/>
              <w:rPr>
                <w:sz w:val="20"/>
                <w:szCs w:val="20"/>
                <w:color w:val="auto"/>
              </w:rPr>
            </w:pPr>
            <w:r>
              <w:rPr>
                <w:rFonts w:ascii="Arial" w:cs="Arial" w:eastAsia="Arial" w:hAnsi="Arial"/>
                <w:sz w:val="12"/>
                <w:szCs w:val="12"/>
                <w:color w:val="auto"/>
              </w:rPr>
              <w:t>1,343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right"/>
              <w:ind w:right="2"/>
              <w:spacing w:after="0"/>
              <w:rPr>
                <w:sz w:val="20"/>
                <w:szCs w:val="20"/>
                <w:color w:val="auto"/>
              </w:rPr>
            </w:pPr>
            <w:r>
              <w:rPr>
                <w:rFonts w:ascii="Arial" w:cs="Arial" w:eastAsia="Arial" w:hAnsi="Arial"/>
                <w:sz w:val="12"/>
                <w:szCs w:val="12"/>
                <w:color w:val="auto"/>
              </w:rPr>
              <w:t>552</w:t>
            </w:r>
          </w:p>
        </w:tc>
        <w:tc>
          <w:tcPr>
            <w:tcW w:w="0" w:type="dxa"/>
            <w:vAlign w:val="bottom"/>
          </w:tcPr>
          <w:p>
            <w:pPr>
              <w:spacing w:after="0"/>
              <w:rPr>
                <w:sz w:val="1"/>
                <w:szCs w:val="1"/>
                <w:color w:val="auto"/>
              </w:rPr>
            </w:pPr>
          </w:p>
        </w:tc>
      </w:tr>
      <w:tr>
        <w:trPr>
          <w:trHeight w:val="179"/>
        </w:trPr>
        <w:tc>
          <w:tcPr>
            <w:tcW w:w="528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280" w:type="dxa"/>
            <w:vAlign w:val="bottom"/>
            <w:tcBorders>
              <w:bottom w:val="single" w:sz="8" w:color="CCEEFF"/>
            </w:tcBorders>
          </w:tcPr>
          <w:p>
            <w:pPr>
              <w:ind w:left="280"/>
              <w:spacing w:after="0" w:line="136" w:lineRule="exact"/>
              <w:rPr>
                <w:sz w:val="20"/>
                <w:szCs w:val="20"/>
                <w:color w:val="auto"/>
              </w:rPr>
            </w:pPr>
            <w:r>
              <w:rPr>
                <w:rFonts w:ascii="Arial" w:cs="Arial" w:eastAsia="Arial" w:hAnsi="Arial"/>
                <w:sz w:val="12"/>
                <w:szCs w:val="12"/>
                <w:b w:val="1"/>
                <w:bCs w:val="1"/>
                <w:color w:val="auto"/>
              </w:rPr>
              <w:t>Earnings from continuing operations, before income taxes</w:t>
            </w:r>
          </w:p>
        </w:tc>
        <w:tc>
          <w:tcPr>
            <w:tcW w:w="1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472</w:t>
            </w:r>
          </w:p>
        </w:tc>
        <w:tc>
          <w:tcPr>
            <w:tcW w:w="10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925</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46"/>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Income tax (expense) benefit</w:t>
            </w:r>
          </w:p>
        </w:tc>
        <w:tc>
          <w:tcPr>
            <w:tcW w:w="1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(96)</w:t>
            </w:r>
          </w:p>
        </w:tc>
        <w:tc>
          <w:tcPr>
            <w:tcW w:w="10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(189)</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48"/>
        </w:trPr>
        <w:tc>
          <w:tcPr>
            <w:tcW w:w="52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earnings from continuing operations</w:t>
            </w:r>
          </w:p>
        </w:tc>
        <w:tc>
          <w:tcPr>
            <w:tcW w:w="1160" w:type="dxa"/>
            <w:vAlign w:val="bottom"/>
            <w:tcBorders>
              <w:bottom w:val="single" w:sz="8" w:color="auto"/>
            </w:tcBorders>
            <w:shd w:val="clear" w:color="auto" w:fill="CCEEFF"/>
          </w:tcPr>
          <w:p>
            <w:pPr>
              <w:jc w:val="right"/>
              <w:ind w:right="1051"/>
              <w:spacing w:after="0"/>
              <w:rPr>
                <w:sz w:val="20"/>
                <w:szCs w:val="20"/>
                <w:color w:val="auto"/>
              </w:rPr>
            </w:pPr>
            <w:r>
              <w:rPr>
                <w:rFonts w:ascii="Arial" w:cs="Arial" w:eastAsia="Arial" w:hAnsi="Arial"/>
                <w:sz w:val="9"/>
                <w:szCs w:val="9"/>
                <w:color w:val="auto"/>
                <w:w w:val="78"/>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376</w:t>
            </w:r>
          </w:p>
        </w:tc>
        <w:tc>
          <w:tcPr>
            <w:tcW w:w="100" w:type="dxa"/>
            <w:vAlign w:val="bottom"/>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1052"/>
              <w:spacing w:after="0"/>
              <w:rPr>
                <w:sz w:val="20"/>
                <w:szCs w:val="20"/>
                <w:color w:val="auto"/>
              </w:rPr>
            </w:pPr>
            <w:r>
              <w:rPr>
                <w:rFonts w:ascii="Arial" w:cs="Arial" w:eastAsia="Arial" w:hAnsi="Arial"/>
                <w:sz w:val="9"/>
                <w:szCs w:val="9"/>
                <w:color w:val="auto"/>
                <w:w w:val="78"/>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66</w:t>
            </w: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736</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43"/>
        </w:trPr>
        <w:tc>
          <w:tcPr>
            <w:tcW w:w="5280" w:type="dxa"/>
            <w:vAlign w:val="bottom"/>
            <w:tcBorders>
              <w:bottom w:val="single" w:sz="8" w:color="CCEEFF"/>
            </w:tcBorders>
          </w:tcPr>
          <w:p>
            <w:pPr>
              <w:ind w:left="20"/>
              <w:spacing w:after="0" w:line="136" w:lineRule="exact"/>
              <w:rPr>
                <w:sz w:val="20"/>
                <w:szCs w:val="20"/>
                <w:color w:val="auto"/>
              </w:rPr>
            </w:pPr>
            <w:r>
              <w:rPr>
                <w:rFonts w:ascii="Arial" w:cs="Arial" w:eastAsia="Arial" w:hAnsi="Arial"/>
                <w:sz w:val="12"/>
                <w:szCs w:val="12"/>
                <w:color w:val="auto"/>
              </w:rPr>
              <w:t>(Losses) earnings from discontinued operations, net of tax</w:t>
            </w:r>
          </w:p>
        </w:tc>
        <w:tc>
          <w:tcPr>
            <w:tcW w:w="1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10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(28)</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8</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73"/>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2"/>
                <w:szCs w:val="12"/>
                <w:b w:val="1"/>
                <w:bCs w:val="1"/>
                <w:color w:val="auto"/>
              </w:rPr>
              <w:t>Net earnings attributable to common shareholders</w:t>
            </w:r>
          </w:p>
        </w:tc>
        <w:tc>
          <w:tcPr>
            <w:tcW w:w="1160" w:type="dxa"/>
            <w:vAlign w:val="bottom"/>
            <w:tcBorders>
              <w:bottom w:val="single" w:sz="8" w:color="auto"/>
            </w:tcBorders>
            <w:shd w:val="clear" w:color="auto" w:fill="CCEEFF"/>
          </w:tcPr>
          <w:p>
            <w:pPr>
              <w:jc w:val="right"/>
              <w:ind w:right="1051"/>
              <w:spacing w:after="0"/>
              <w:rPr>
                <w:sz w:val="20"/>
                <w:szCs w:val="20"/>
                <w:color w:val="auto"/>
              </w:rPr>
            </w:pPr>
            <w:r>
              <w:rPr>
                <w:rFonts w:ascii="Arial" w:cs="Arial" w:eastAsia="Arial" w:hAnsi="Arial"/>
                <w:sz w:val="9"/>
                <w:szCs w:val="9"/>
                <w:color w:val="auto"/>
                <w:w w:val="78"/>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373</w:t>
            </w:r>
          </w:p>
        </w:tc>
        <w:tc>
          <w:tcPr>
            <w:tcW w:w="1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1052"/>
              <w:spacing w:after="0"/>
              <w:rPr>
                <w:sz w:val="20"/>
                <w:szCs w:val="20"/>
                <w:color w:val="auto"/>
              </w:rPr>
            </w:pPr>
            <w:r>
              <w:rPr>
                <w:rFonts w:ascii="Arial" w:cs="Arial" w:eastAsia="Arial" w:hAnsi="Arial"/>
                <w:sz w:val="9"/>
                <w:szCs w:val="9"/>
                <w:color w:val="auto"/>
                <w:w w:val="78"/>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744</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line="131" w:lineRule="exact"/>
              <w:rPr>
                <w:sz w:val="20"/>
                <w:szCs w:val="20"/>
                <w:color w:val="auto"/>
              </w:rPr>
            </w:pPr>
            <w:r>
              <w:rPr>
                <w:rFonts w:ascii="Arial" w:cs="Arial" w:eastAsia="Arial" w:hAnsi="Arial"/>
                <w:sz w:val="12"/>
                <w:szCs w:val="12"/>
                <w:color w:val="auto"/>
                <w:w w:val="92"/>
              </w:rPr>
              <w:t>(a) Included within Escrow, title-related and other fees in Condensed Consolidated Statements of Earnings</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528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right="20" w:firstLine="364"/>
        <w:spacing w:after="0" w:line="266" w:lineRule="auto"/>
        <w:rPr>
          <w:sz w:val="20"/>
          <w:szCs w:val="20"/>
          <w:color w:val="auto"/>
        </w:rPr>
      </w:pPr>
      <w:r>
        <w:rPr>
          <w:rFonts w:ascii="Arial" w:cs="Arial" w:eastAsia="Arial" w:hAnsi="Arial"/>
          <w:sz w:val="15"/>
          <w:szCs w:val="15"/>
          <w:color w:val="auto"/>
        </w:rPr>
        <w:t>The following table summarizes sales by product type of our F&amp;G segment (in millions), which are not affected by the June 1, 2020 Business Combination, and are comparable to prior period data:</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2" w:name="page73"/>
    <w:bookmarkEnd w:id="7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40" w:type="dxa"/>
            <w:vAlign w:val="bottom"/>
            <w:gridSpan w:val="5"/>
          </w:tcPr>
          <w:p>
            <w:pPr>
              <w:ind w:left="840"/>
              <w:spacing w:after="0"/>
              <w:rPr>
                <w:sz w:val="20"/>
                <w:szCs w:val="20"/>
                <w:color w:val="auto"/>
              </w:rPr>
            </w:pPr>
            <w:r>
              <w:rPr>
                <w:rFonts w:ascii="Arial" w:cs="Arial" w:eastAsia="Arial" w:hAnsi="Arial"/>
                <w:sz w:val="10"/>
                <w:szCs w:val="10"/>
                <w:b w:val="1"/>
                <w:bCs w:val="1"/>
                <w:color w:val="auto"/>
              </w:rPr>
              <w:t>Three months ended</w:t>
            </w:r>
          </w:p>
        </w:tc>
        <w:tc>
          <w:tcPr>
            <w:tcW w:w="180" w:type="dxa"/>
            <w:vAlign w:val="bottom"/>
          </w:tcPr>
          <w:p>
            <w:pPr>
              <w:spacing w:after="0"/>
              <w:rPr>
                <w:sz w:val="12"/>
                <w:szCs w:val="12"/>
                <w:color w:val="auto"/>
              </w:rPr>
            </w:pPr>
          </w:p>
        </w:tc>
        <w:tc>
          <w:tcPr>
            <w:tcW w:w="2760" w:type="dxa"/>
            <w:vAlign w:val="bottom"/>
            <w:gridSpan w:val="4"/>
          </w:tcPr>
          <w:p>
            <w:pPr>
              <w:jc w:val="right"/>
              <w:ind w:right="1002"/>
              <w:spacing w:after="0"/>
              <w:rPr>
                <w:sz w:val="20"/>
                <w:szCs w:val="20"/>
                <w:color w:val="auto"/>
              </w:rPr>
            </w:pPr>
            <w:r>
              <w:rPr>
                <w:rFonts w:ascii="Arial" w:cs="Arial" w:eastAsia="Arial" w:hAnsi="Arial"/>
                <w:sz w:val="10"/>
                <w:szCs w:val="10"/>
                <w:b w:val="1"/>
                <w:bCs w:val="1"/>
                <w:color w:val="auto"/>
              </w:rPr>
              <w:t>Nine months ended</w:t>
            </w:r>
          </w:p>
        </w:tc>
      </w:tr>
      <w:tr>
        <w:trPr>
          <w:trHeight w:val="133"/>
        </w:trPr>
        <w:tc>
          <w:tcPr>
            <w:tcW w:w="52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September 30, 2021</w:t>
            </w:r>
          </w:p>
        </w:tc>
        <w:tc>
          <w:tcPr>
            <w:tcW w:w="1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02"/>
              <w:spacing w:after="0"/>
              <w:rPr>
                <w:sz w:val="20"/>
                <w:szCs w:val="20"/>
                <w:color w:val="auto"/>
              </w:rPr>
            </w:pPr>
            <w:r>
              <w:rPr>
                <w:rFonts w:ascii="Arial" w:cs="Arial" w:eastAsia="Arial" w:hAnsi="Arial"/>
                <w:sz w:val="10"/>
                <w:szCs w:val="10"/>
                <w:b w:val="1"/>
                <w:bCs w:val="1"/>
                <w:color w:val="auto"/>
              </w:rPr>
              <w:t>September 30, 2020</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September 30, 2021</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22"/>
              <w:spacing w:after="0"/>
              <w:rPr>
                <w:sz w:val="20"/>
                <w:szCs w:val="20"/>
                <w:color w:val="auto"/>
              </w:rPr>
            </w:pPr>
            <w:r>
              <w:rPr>
                <w:rFonts w:ascii="Arial" w:cs="Arial" w:eastAsia="Arial" w:hAnsi="Arial"/>
                <w:sz w:val="10"/>
                <w:szCs w:val="10"/>
                <w:b w:val="1"/>
                <w:bCs w:val="1"/>
                <w:color w:val="auto"/>
              </w:rPr>
              <w:t>September 30, 2020</w:t>
            </w:r>
          </w:p>
        </w:tc>
      </w:tr>
      <w:tr>
        <w:trPr>
          <w:trHeight w:val="152"/>
        </w:trPr>
        <w:tc>
          <w:tcPr>
            <w:tcW w:w="5280" w:type="dxa"/>
            <w:vAlign w:val="bottom"/>
          </w:tcPr>
          <w:p>
            <w:pPr>
              <w:ind w:left="20"/>
              <w:spacing w:after="0"/>
              <w:rPr>
                <w:sz w:val="20"/>
                <w:szCs w:val="20"/>
                <w:color w:val="auto"/>
              </w:rPr>
            </w:pPr>
            <w:r>
              <w:rPr>
                <w:rFonts w:ascii="Arial" w:cs="Arial" w:eastAsia="Arial" w:hAnsi="Arial"/>
                <w:sz w:val="12"/>
                <w:szCs w:val="12"/>
                <w:color w:val="auto"/>
              </w:rPr>
              <w:t>Fixed index annuities (FIA)</w:t>
            </w:r>
          </w:p>
        </w:tc>
        <w:tc>
          <w:tcPr>
            <w:tcW w:w="160" w:type="dxa"/>
            <w:vAlign w:val="bottom"/>
            <w:tcBorders>
              <w:top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1,073</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815</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3,255</w:t>
            </w:r>
          </w:p>
        </w:tc>
        <w:tc>
          <w:tcPr>
            <w:tcW w:w="120" w:type="dxa"/>
            <w:vAlign w:val="bottom"/>
          </w:tcPr>
          <w:p>
            <w:pPr>
              <w:spacing w:after="0"/>
              <w:rPr>
                <w:sz w:val="13"/>
                <w:szCs w:val="13"/>
                <w:color w:val="auto"/>
              </w:rPr>
            </w:pPr>
          </w:p>
        </w:tc>
        <w:tc>
          <w:tcPr>
            <w:tcW w:w="18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2,512</w:t>
            </w:r>
          </w:p>
        </w:tc>
      </w:tr>
      <w:tr>
        <w:trPr>
          <w:trHeight w:val="157"/>
        </w:trPr>
        <w:tc>
          <w:tcPr>
            <w:tcW w:w="5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Fixed rate annuities (MYGA)</w:t>
            </w:r>
          </w:p>
        </w:tc>
        <w:tc>
          <w:tcPr>
            <w:tcW w:w="16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458</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253</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1,437</w:t>
            </w:r>
          </w:p>
        </w:tc>
        <w:tc>
          <w:tcPr>
            <w:tcW w:w="1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414</w:t>
            </w:r>
          </w:p>
        </w:tc>
      </w:tr>
      <w:tr>
        <w:trPr>
          <w:trHeight w:val="143"/>
        </w:trPr>
        <w:tc>
          <w:tcPr>
            <w:tcW w:w="5280" w:type="dxa"/>
            <w:vAlign w:val="bottom"/>
          </w:tcPr>
          <w:p>
            <w:pPr>
              <w:ind w:left="20"/>
              <w:spacing w:after="0" w:line="136" w:lineRule="exact"/>
              <w:rPr>
                <w:sz w:val="20"/>
                <w:szCs w:val="20"/>
                <w:color w:val="auto"/>
              </w:rPr>
            </w:pPr>
            <w:r>
              <w:rPr>
                <w:rFonts w:ascii="Arial" w:cs="Arial" w:eastAsia="Arial" w:hAnsi="Arial"/>
                <w:sz w:val="12"/>
                <w:szCs w:val="12"/>
                <w:color w:val="auto"/>
              </w:rPr>
              <w:t>Total annuity</w:t>
            </w:r>
          </w:p>
        </w:tc>
        <w:tc>
          <w:tcPr>
            <w:tcW w:w="1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1,531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1,068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4,692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right"/>
              <w:ind w:right="2"/>
              <w:spacing w:after="0"/>
              <w:rPr>
                <w:sz w:val="20"/>
                <w:szCs w:val="20"/>
                <w:color w:val="auto"/>
              </w:rPr>
            </w:pPr>
            <w:r>
              <w:rPr>
                <w:rFonts w:ascii="Arial" w:cs="Arial" w:eastAsia="Arial" w:hAnsi="Arial"/>
                <w:sz w:val="12"/>
                <w:szCs w:val="12"/>
                <w:color w:val="auto"/>
              </w:rPr>
              <w:t>2,926</w:t>
            </w:r>
          </w:p>
        </w:tc>
      </w:tr>
      <w:tr>
        <w:trPr>
          <w:trHeight w:val="157"/>
        </w:trPr>
        <w:tc>
          <w:tcPr>
            <w:tcW w:w="5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Index universal life (IUL)</w:t>
            </w: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37</w:t>
            </w:r>
          </w:p>
        </w:tc>
      </w:tr>
      <w:tr>
        <w:trPr>
          <w:trHeight w:val="152"/>
        </w:trPr>
        <w:tc>
          <w:tcPr>
            <w:tcW w:w="5280" w:type="dxa"/>
            <w:vAlign w:val="bottom"/>
          </w:tcPr>
          <w:p>
            <w:pPr>
              <w:ind w:left="20"/>
              <w:spacing w:after="0"/>
              <w:rPr>
                <w:sz w:val="20"/>
                <w:szCs w:val="20"/>
                <w:color w:val="auto"/>
              </w:rPr>
            </w:pPr>
            <w:r>
              <w:rPr>
                <w:rFonts w:ascii="Arial" w:cs="Arial" w:eastAsia="Arial" w:hAnsi="Arial"/>
                <w:sz w:val="12"/>
                <w:szCs w:val="12"/>
                <w:color w:val="auto"/>
              </w:rPr>
              <w:t>Funding agreements (FABN/FHLB)</w:t>
            </w:r>
          </w:p>
        </w:tc>
        <w:tc>
          <w:tcPr>
            <w:tcW w:w="1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1,150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2,275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2"/>
              <w:spacing w:after="0"/>
              <w:rPr>
                <w:sz w:val="20"/>
                <w:szCs w:val="20"/>
                <w:color w:val="auto"/>
              </w:rPr>
            </w:pPr>
            <w:r>
              <w:rPr>
                <w:rFonts w:ascii="Arial" w:cs="Arial" w:eastAsia="Arial" w:hAnsi="Arial"/>
                <w:sz w:val="12"/>
                <w:szCs w:val="12"/>
                <w:color w:val="auto"/>
              </w:rPr>
              <w:t>100</w:t>
            </w:r>
          </w:p>
        </w:tc>
      </w:tr>
      <w:tr>
        <w:trPr>
          <w:trHeight w:val="157"/>
        </w:trPr>
        <w:tc>
          <w:tcPr>
            <w:tcW w:w="5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Pension risk transfer (PRT)</w:t>
            </w: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371</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r>
      <w:tr>
        <w:trPr>
          <w:trHeight w:val="152"/>
        </w:trPr>
        <w:tc>
          <w:tcPr>
            <w:tcW w:w="5280" w:type="dxa"/>
            <w:vAlign w:val="bottom"/>
          </w:tcPr>
          <w:p>
            <w:pPr>
              <w:ind w:left="20"/>
              <w:spacing w:after="0"/>
              <w:rPr>
                <w:sz w:val="20"/>
                <w:szCs w:val="20"/>
                <w:color w:val="auto"/>
              </w:rPr>
            </w:pPr>
            <w:r>
              <w:rPr>
                <w:rFonts w:ascii="Arial" w:cs="Arial" w:eastAsia="Arial" w:hAnsi="Arial"/>
                <w:sz w:val="12"/>
                <w:szCs w:val="12"/>
                <w:color w:val="auto"/>
              </w:rPr>
              <w:t>Flow reinsurance</w:t>
            </w:r>
          </w:p>
        </w:tc>
        <w:tc>
          <w:tcPr>
            <w:tcW w:w="16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51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240" w:type="dxa"/>
            <w:vAlign w:val="bottom"/>
          </w:tcPr>
          <w:p>
            <w:pPr>
              <w:jc w:val="right"/>
              <w:ind w:right="2"/>
              <w:spacing w:after="0"/>
              <w:rPr>
                <w:sz w:val="20"/>
                <w:szCs w:val="20"/>
                <w:color w:val="auto"/>
              </w:rPr>
            </w:pPr>
            <w:r>
              <w:rPr>
                <w:rFonts w:ascii="Arial" w:cs="Arial" w:eastAsia="Arial" w:hAnsi="Arial"/>
                <w:sz w:val="12"/>
                <w:szCs w:val="12"/>
                <w:color w:val="auto"/>
              </w:rPr>
              <w:t>315</w:t>
            </w:r>
          </w:p>
        </w:tc>
      </w:tr>
      <w:tr>
        <w:trPr>
          <w:trHeight w:val="173"/>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sales</w:t>
            </w:r>
          </w:p>
        </w:tc>
        <w:tc>
          <w:tcPr>
            <w:tcW w:w="1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3,076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7,397</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3,378</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540" w:right="20" w:hanging="267"/>
        <w:spacing w:after="0" w:line="266" w:lineRule="auto"/>
        <w:tabs>
          <w:tab w:leader="none" w:pos="536" w:val="left"/>
        </w:tabs>
        <w:numPr>
          <w:ilvl w:val="0"/>
          <w:numId w:val="15"/>
        </w:numPr>
        <w:rPr>
          <w:rFonts w:ascii="Arial" w:cs="Arial" w:eastAsia="Arial" w:hAnsi="Arial"/>
          <w:sz w:val="15"/>
          <w:szCs w:val="15"/>
          <w:color w:val="auto"/>
        </w:rPr>
      </w:pPr>
      <w:r>
        <w:rPr>
          <w:rFonts w:ascii="Arial" w:cs="Arial" w:eastAsia="Arial" w:hAnsi="Arial"/>
          <w:sz w:val="15"/>
          <w:szCs w:val="15"/>
          <w:color w:val="auto"/>
        </w:rPr>
        <w:t>FIA and MYGA sales were strong during the three and nine months ended September 30, 2021 compared to the three and nine months ended September 30, 2020 and reflect the Company's productive and expanding retail distribution through independent agents, banks and broker dealers.</w:t>
      </w:r>
    </w:p>
    <w:p>
      <w:pPr>
        <w:spacing w:after="0" w:line="59" w:lineRule="exact"/>
        <w:rPr>
          <w:rFonts w:ascii="Arial" w:cs="Arial" w:eastAsia="Arial" w:hAnsi="Arial"/>
          <w:sz w:val="15"/>
          <w:szCs w:val="15"/>
          <w:color w:val="auto"/>
        </w:rPr>
      </w:pPr>
    </w:p>
    <w:p>
      <w:pPr>
        <w:ind w:left="540" w:hanging="267"/>
        <w:spacing w:after="0" w:line="266" w:lineRule="auto"/>
        <w:tabs>
          <w:tab w:leader="none" w:pos="536" w:val="left"/>
        </w:tabs>
        <w:numPr>
          <w:ilvl w:val="0"/>
          <w:numId w:val="15"/>
        </w:numPr>
        <w:rPr>
          <w:rFonts w:ascii="Arial" w:cs="Arial" w:eastAsia="Arial" w:hAnsi="Arial"/>
          <w:sz w:val="15"/>
          <w:szCs w:val="15"/>
          <w:color w:val="auto"/>
        </w:rPr>
      </w:pPr>
      <w:r>
        <w:rPr>
          <w:rFonts w:ascii="Arial" w:cs="Arial" w:eastAsia="Arial" w:hAnsi="Arial"/>
          <w:sz w:val="15"/>
          <w:szCs w:val="15"/>
          <w:color w:val="auto"/>
        </w:rPr>
        <w:t>Funding agreements and pension risk transfer sales during the three and nine months ended September 30, 2021 reflect the Company's expansion into Institutional markets during 2021 and are subject to fluctuation period to period.</w:t>
      </w: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Revenues</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Life insurance premiums and other fees</w:t>
      </w:r>
    </w:p>
    <w:p>
      <w:pPr>
        <w:spacing w:after="0" w:line="207" w:lineRule="exact"/>
        <w:rPr>
          <w:sz w:val="20"/>
          <w:szCs w:val="20"/>
          <w:color w:val="auto"/>
        </w:rPr>
      </w:pPr>
    </w:p>
    <w:p>
      <w:pPr>
        <w:jc w:val="both"/>
        <w:ind w:firstLine="331"/>
        <w:spacing w:after="0" w:line="273" w:lineRule="auto"/>
        <w:rPr>
          <w:sz w:val="20"/>
          <w:szCs w:val="20"/>
          <w:color w:val="auto"/>
        </w:rPr>
      </w:pPr>
      <w:r>
        <w:rPr>
          <w:rFonts w:ascii="Arial" w:cs="Arial" w:eastAsia="Arial" w:hAnsi="Arial"/>
          <w:sz w:val="14"/>
          <w:szCs w:val="14"/>
          <w:color w:val="auto"/>
        </w:rPr>
        <w:t>Life insurance premiums and other fees primarily reflect insurance premiums for traditional life insurance products, which are recognized as revenue when due from the policyholder, premiums on pension risk transfers, as well as the cost of insurance on IUL policies, policy rider fees primarily on FIA policies, and surrender charges assessed against policy withdrawals in excess of the policyholder's allowable penalty-free amounts (up to 10% of the prior year's value, subject to certain limitations). The following table summarizes the Life insurance premiums and other fees, included within Escrow, title-related and other fees on the Condensed Consolidated Statements of Earnings (in millions):</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5260" w:type="dxa"/>
            <w:vAlign w:val="bottom"/>
          </w:tcPr>
          <w:p>
            <w:pPr>
              <w:spacing w:after="0"/>
              <w:rPr>
                <w:sz w:val="12"/>
                <w:szCs w:val="12"/>
                <w:color w:val="auto"/>
              </w:rPr>
            </w:pPr>
          </w:p>
        </w:tc>
        <w:tc>
          <w:tcPr>
            <w:tcW w:w="2680" w:type="dxa"/>
            <w:vAlign w:val="bottom"/>
            <w:tcBorders>
              <w:bottom w:val="single" w:sz="8" w:color="auto"/>
            </w:tcBorders>
            <w:gridSpan w:val="4"/>
          </w:tcPr>
          <w:p>
            <w:pPr>
              <w:jc w:val="right"/>
              <w:ind w:right="724"/>
              <w:spacing w:after="0"/>
              <w:rPr>
                <w:sz w:val="20"/>
                <w:szCs w:val="20"/>
                <w:color w:val="auto"/>
              </w:rPr>
            </w:pPr>
            <w:r>
              <w:rPr>
                <w:rFonts w:ascii="Arial" w:cs="Arial" w:eastAsia="Arial" w:hAnsi="Arial"/>
                <w:sz w:val="10"/>
                <w:szCs w:val="10"/>
                <w:b w:val="1"/>
                <w:bCs w:val="1"/>
                <w:color w:val="auto"/>
              </w:rPr>
              <w:t>Three months ended</w:t>
            </w:r>
          </w:p>
        </w:tc>
        <w:tc>
          <w:tcPr>
            <w:tcW w:w="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Nine months ended</w:t>
            </w: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221"/>
              <w:spacing w:after="0"/>
              <w:rPr>
                <w:sz w:val="20"/>
                <w:szCs w:val="20"/>
                <w:color w:val="auto"/>
              </w:rPr>
            </w:pPr>
            <w:r>
              <w:rPr>
                <w:rFonts w:ascii="Arial" w:cs="Arial" w:eastAsia="Arial" w:hAnsi="Arial"/>
                <w:sz w:val="10"/>
                <w:szCs w:val="10"/>
                <w:b w:val="1"/>
                <w:bCs w:val="1"/>
                <w:color w:val="auto"/>
              </w:rPr>
              <w:t>Four months ended</w:t>
            </w:r>
          </w:p>
        </w:tc>
      </w:tr>
      <w:tr>
        <w:trPr>
          <w:trHeight w:val="133"/>
        </w:trPr>
        <w:tc>
          <w:tcPr>
            <w:tcW w:w="52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b w:val="1"/>
                <w:bCs w:val="1"/>
                <w:color w:val="auto"/>
              </w:rPr>
              <w:t>September 30, 2021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b w:val="1"/>
                <w:bCs w:val="1"/>
                <w:color w:val="auto"/>
              </w:rPr>
              <w:t>September 30, 2020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ind w:left="100"/>
              <w:spacing w:after="0"/>
              <w:rPr>
                <w:sz w:val="20"/>
                <w:szCs w:val="20"/>
                <w:color w:val="auto"/>
              </w:rPr>
            </w:pPr>
            <w:r>
              <w:rPr>
                <w:rFonts w:ascii="Arial" w:cs="Arial" w:eastAsia="Arial" w:hAnsi="Arial"/>
                <w:sz w:val="10"/>
                <w:szCs w:val="10"/>
                <w:b w:val="1"/>
                <w:bCs w:val="1"/>
                <w:color w:val="auto"/>
              </w:rPr>
              <w:t>September 30, 2021</w:t>
            </w:r>
          </w:p>
        </w:tc>
        <w:tc>
          <w:tcPr>
            <w:tcW w:w="180" w:type="dxa"/>
            <w:vAlign w:val="bottom"/>
          </w:tcPr>
          <w:p>
            <w:pPr>
              <w:spacing w:after="0"/>
              <w:rPr>
                <w:sz w:val="11"/>
                <w:szCs w:val="11"/>
                <w:color w:val="auto"/>
              </w:rPr>
            </w:pPr>
          </w:p>
        </w:tc>
        <w:tc>
          <w:tcPr>
            <w:tcW w:w="1240" w:type="dxa"/>
            <w:vAlign w:val="bottom"/>
          </w:tcPr>
          <w:p>
            <w:pPr>
              <w:jc w:val="right"/>
              <w:ind w:right="221"/>
              <w:spacing w:after="0"/>
              <w:rPr>
                <w:sz w:val="20"/>
                <w:szCs w:val="20"/>
                <w:color w:val="auto"/>
              </w:rPr>
            </w:pPr>
            <w:r>
              <w:rPr>
                <w:rFonts w:ascii="Arial" w:cs="Arial" w:eastAsia="Arial" w:hAnsi="Arial"/>
                <w:sz w:val="10"/>
                <w:szCs w:val="10"/>
                <w:b w:val="1"/>
                <w:bCs w:val="1"/>
                <w:color w:val="auto"/>
              </w:rPr>
              <w:t>September 30, 2020</w:t>
            </w:r>
          </w:p>
        </w:tc>
      </w:tr>
      <w:tr>
        <w:trPr>
          <w:trHeight w:val="152"/>
        </w:trPr>
        <w:tc>
          <w:tcPr>
            <w:tcW w:w="5260" w:type="dxa"/>
            <w:vAlign w:val="bottom"/>
          </w:tcPr>
          <w:p>
            <w:pPr>
              <w:spacing w:after="0"/>
              <w:rPr>
                <w:sz w:val="20"/>
                <w:szCs w:val="20"/>
                <w:color w:val="auto"/>
              </w:rPr>
            </w:pPr>
            <w:r>
              <w:rPr>
                <w:rFonts w:ascii="Arial" w:cs="Arial" w:eastAsia="Arial" w:hAnsi="Arial"/>
                <w:sz w:val="12"/>
                <w:szCs w:val="12"/>
                <w:color w:val="auto"/>
              </w:rPr>
              <w:t>Traditional life insurance premiums</w:t>
            </w:r>
          </w:p>
        </w:tc>
        <w:tc>
          <w:tcPr>
            <w:tcW w:w="1160" w:type="dxa"/>
            <w:vAlign w:val="bottom"/>
            <w:tcBorders>
              <w:top w:val="single" w:sz="8" w:color="auto"/>
            </w:tcBorders>
          </w:tcPr>
          <w:p>
            <w:pPr>
              <w:jc w:val="right"/>
              <w:ind w:right="1051"/>
              <w:spacing w:after="0"/>
              <w:rPr>
                <w:sz w:val="20"/>
                <w:szCs w:val="20"/>
                <w:color w:val="auto"/>
              </w:rPr>
            </w:pPr>
            <w:r>
              <w:rPr>
                <w:rFonts w:ascii="Arial" w:cs="Arial" w:eastAsia="Arial" w:hAnsi="Arial"/>
                <w:sz w:val="9"/>
                <w:szCs w:val="9"/>
                <w:color w:val="auto"/>
                <w:w w:val="78"/>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3"/>
                <w:szCs w:val="13"/>
                <w:color w:val="auto"/>
              </w:rPr>
            </w:pPr>
          </w:p>
        </w:tc>
        <w:tc>
          <w:tcPr>
            <w:tcW w:w="1180" w:type="dxa"/>
            <w:vAlign w:val="bottom"/>
            <w:tcBorders>
              <w:top w:val="single" w:sz="8" w:color="auto"/>
            </w:tcBorders>
          </w:tcPr>
          <w:p>
            <w:pPr>
              <w:jc w:val="right"/>
              <w:ind w:right="1044"/>
              <w:spacing w:after="0"/>
              <w:rPr>
                <w:sz w:val="20"/>
                <w:szCs w:val="20"/>
                <w:color w:val="auto"/>
              </w:rPr>
            </w:pPr>
            <w:r>
              <w:rPr>
                <w:rFonts w:ascii="Arial" w:cs="Arial" w:eastAsia="Arial" w:hAnsi="Arial"/>
                <w:sz w:val="12"/>
                <w:szCs w:val="12"/>
                <w:color w:val="auto"/>
                <w:w w:val="89"/>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8</w:t>
            </w:r>
          </w:p>
        </w:tc>
      </w:tr>
      <w:tr>
        <w:trPr>
          <w:trHeight w:val="157"/>
        </w:trPr>
        <w:tc>
          <w:tcPr>
            <w:tcW w:w="5260" w:type="dxa"/>
            <w:vAlign w:val="bottom"/>
            <w:shd w:val="clear" w:color="auto" w:fill="CCEEFF"/>
          </w:tcPr>
          <w:p>
            <w:pPr>
              <w:spacing w:after="0"/>
              <w:rPr>
                <w:sz w:val="20"/>
                <w:szCs w:val="20"/>
                <w:color w:val="auto"/>
              </w:rPr>
            </w:pPr>
            <w:r>
              <w:rPr>
                <w:rFonts w:ascii="Arial" w:cs="Arial" w:eastAsia="Arial" w:hAnsi="Arial"/>
                <w:sz w:val="12"/>
                <w:szCs w:val="12"/>
                <w:color w:val="auto"/>
              </w:rPr>
              <w:t>Life-contingent immediate annuity premiums</w:t>
            </w:r>
          </w:p>
        </w:tc>
        <w:tc>
          <w:tcPr>
            <w:tcW w:w="116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w:t>
            </w:r>
          </w:p>
        </w:tc>
      </w:tr>
      <w:tr>
        <w:trPr>
          <w:trHeight w:val="175"/>
        </w:trPr>
        <w:tc>
          <w:tcPr>
            <w:tcW w:w="5260" w:type="dxa"/>
            <w:vAlign w:val="bottom"/>
          </w:tcPr>
          <w:p>
            <w:pPr>
              <w:spacing w:after="0"/>
              <w:rPr>
                <w:sz w:val="20"/>
                <w:szCs w:val="20"/>
                <w:color w:val="auto"/>
              </w:rPr>
            </w:pPr>
            <w:r>
              <w:rPr>
                <w:rFonts w:ascii="Arial" w:cs="Arial" w:eastAsia="Arial" w:hAnsi="Arial"/>
                <w:sz w:val="12"/>
                <w:szCs w:val="12"/>
                <w:color w:val="auto"/>
              </w:rPr>
              <w:t>Life-contingent pension risk transfer</w:t>
            </w:r>
          </w:p>
        </w:tc>
        <w:tc>
          <w:tcPr>
            <w:tcW w:w="11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w w:val="89"/>
              </w:rPr>
              <w:t>371</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40" w:type="dxa"/>
            <w:vAlign w:val="bottom"/>
          </w:tcPr>
          <w:p>
            <w:pPr>
              <w:jc w:val="right"/>
              <w:ind w:right="1"/>
              <w:spacing w:after="0"/>
              <w:rPr>
                <w:sz w:val="20"/>
                <w:szCs w:val="20"/>
                <w:color w:val="auto"/>
              </w:rPr>
            </w:pPr>
            <w:r>
              <w:rPr>
                <w:rFonts w:ascii="Arial" w:cs="Arial" w:eastAsia="Arial" w:hAnsi="Arial"/>
                <w:sz w:val="13"/>
                <w:szCs w:val="13"/>
                <w:color w:val="auto"/>
              </w:rPr>
              <w:t>371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1"/>
              <w:spacing w:after="0"/>
              <w:rPr>
                <w:sz w:val="20"/>
                <w:szCs w:val="20"/>
                <w:color w:val="auto"/>
              </w:rPr>
            </w:pPr>
            <w:r>
              <w:rPr>
                <w:rFonts w:ascii="Arial" w:cs="Arial" w:eastAsia="Arial" w:hAnsi="Arial"/>
                <w:sz w:val="13"/>
                <w:szCs w:val="13"/>
                <w:color w:val="auto"/>
              </w:rPr>
              <w:t>—</w:t>
            </w:r>
          </w:p>
        </w:tc>
      </w:tr>
      <w:tr>
        <w:trPr>
          <w:trHeight w:val="179"/>
        </w:trPr>
        <w:tc>
          <w:tcPr>
            <w:tcW w:w="5260" w:type="dxa"/>
            <w:vAlign w:val="bottom"/>
            <w:shd w:val="clear" w:color="auto" w:fill="CCEEFF"/>
          </w:tcPr>
          <w:p>
            <w:pPr>
              <w:spacing w:after="0"/>
              <w:rPr>
                <w:sz w:val="20"/>
                <w:szCs w:val="20"/>
                <w:color w:val="auto"/>
              </w:rPr>
            </w:pPr>
            <w:r>
              <w:rPr>
                <w:rFonts w:ascii="Arial" w:cs="Arial" w:eastAsia="Arial" w:hAnsi="Arial"/>
                <w:sz w:val="12"/>
                <w:szCs w:val="12"/>
                <w:color w:val="auto"/>
              </w:rPr>
              <w:t>Surrender charges</w:t>
            </w:r>
          </w:p>
        </w:tc>
        <w:tc>
          <w:tcPr>
            <w:tcW w:w="116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6</w:t>
            </w:r>
          </w:p>
        </w:tc>
      </w:tr>
      <w:tr>
        <w:trPr>
          <w:trHeight w:val="152"/>
        </w:trPr>
        <w:tc>
          <w:tcPr>
            <w:tcW w:w="52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Cost of insurance fees and other income</w:t>
            </w:r>
          </w:p>
        </w:tc>
        <w:tc>
          <w:tcPr>
            <w:tcW w:w="11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w:t>
            </w:r>
          </w:p>
        </w:tc>
        <w:tc>
          <w:tcPr>
            <w:tcW w:w="10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135</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58</w:t>
            </w:r>
          </w:p>
        </w:tc>
      </w:tr>
      <w:tr>
        <w:trPr>
          <w:trHeight w:val="173"/>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Life insurance premiums and other fees</w:t>
            </w:r>
          </w:p>
        </w:tc>
        <w:tc>
          <w:tcPr>
            <w:tcW w:w="1160" w:type="dxa"/>
            <w:vAlign w:val="bottom"/>
            <w:tcBorders>
              <w:bottom w:val="single" w:sz="8" w:color="auto"/>
            </w:tcBorders>
            <w:shd w:val="clear" w:color="auto" w:fill="CCEEFF"/>
          </w:tcPr>
          <w:p>
            <w:pPr>
              <w:jc w:val="right"/>
              <w:ind w:right="1051"/>
              <w:spacing w:after="0"/>
              <w:rPr>
                <w:sz w:val="20"/>
                <w:szCs w:val="20"/>
                <w:color w:val="auto"/>
              </w:rPr>
            </w:pPr>
            <w:r>
              <w:rPr>
                <w:rFonts w:ascii="Arial" w:cs="Arial" w:eastAsia="Arial" w:hAnsi="Arial"/>
                <w:sz w:val="9"/>
                <w:szCs w:val="9"/>
                <w:color w:val="auto"/>
                <w:w w:val="78"/>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431</w:t>
            </w:r>
          </w:p>
        </w:tc>
        <w:tc>
          <w:tcPr>
            <w:tcW w:w="10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1044"/>
              <w:spacing w:after="0"/>
              <w:rPr>
                <w:sz w:val="20"/>
                <w:szCs w:val="20"/>
                <w:color w:val="auto"/>
              </w:rPr>
            </w:pPr>
            <w:r>
              <w:rPr>
                <w:rFonts w:ascii="Arial" w:cs="Arial" w:eastAsia="Arial" w:hAnsi="Arial"/>
                <w:sz w:val="12"/>
                <w:szCs w:val="12"/>
                <w:color w:val="auto"/>
                <w:w w:val="8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557</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80</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jc w:val="both"/>
        <w:ind w:left="540" w:hanging="267"/>
        <w:spacing w:after="0" w:line="255" w:lineRule="auto"/>
        <w:tabs>
          <w:tab w:leader="none" w:pos="536" w:val="left"/>
        </w:tabs>
        <w:numPr>
          <w:ilvl w:val="0"/>
          <w:numId w:val="16"/>
        </w:numPr>
        <w:rPr>
          <w:rFonts w:ascii="Arial" w:cs="Arial" w:eastAsia="Arial" w:hAnsi="Arial"/>
          <w:sz w:val="15"/>
          <w:szCs w:val="15"/>
          <w:color w:val="auto"/>
        </w:rPr>
      </w:pPr>
      <w:r>
        <w:rPr>
          <w:rFonts w:ascii="Arial" w:cs="Arial" w:eastAsia="Arial" w:hAnsi="Arial"/>
          <w:sz w:val="15"/>
          <w:szCs w:val="15"/>
          <w:color w:val="auto"/>
        </w:rPr>
        <w:t>Traditional life insurance premiums for the three and nine months ended September 30, 2021, and three and four months ended September 30, 2020 are related to the return of premium riders on traditional life contracts. FGL Insurance has ceded the majority of its traditional life business to unaffiliated third party reinsurers. While the base contract has been reinsured, we continue to retain the return of premium rider.</w:t>
      </w:r>
    </w:p>
    <w:p>
      <w:pPr>
        <w:spacing w:after="0" w:line="68" w:lineRule="exact"/>
        <w:rPr>
          <w:rFonts w:ascii="Arial" w:cs="Arial" w:eastAsia="Arial" w:hAnsi="Arial"/>
          <w:sz w:val="15"/>
          <w:szCs w:val="15"/>
          <w:color w:val="auto"/>
        </w:rPr>
      </w:pPr>
    </w:p>
    <w:p>
      <w:pPr>
        <w:ind w:left="540" w:hanging="267"/>
        <w:spacing w:after="0" w:line="266" w:lineRule="auto"/>
        <w:tabs>
          <w:tab w:leader="none" w:pos="536" w:val="left"/>
        </w:tabs>
        <w:numPr>
          <w:ilvl w:val="0"/>
          <w:numId w:val="16"/>
        </w:numPr>
        <w:rPr>
          <w:rFonts w:ascii="Arial" w:cs="Arial" w:eastAsia="Arial" w:hAnsi="Arial"/>
          <w:sz w:val="15"/>
          <w:szCs w:val="15"/>
          <w:color w:val="auto"/>
        </w:rPr>
      </w:pPr>
      <w:r>
        <w:rPr>
          <w:rFonts w:ascii="Arial" w:cs="Arial" w:eastAsia="Arial" w:hAnsi="Arial"/>
          <w:sz w:val="15"/>
          <w:szCs w:val="15"/>
          <w:color w:val="auto"/>
        </w:rPr>
        <w:t>Immediate annuity premiums for the three and nine months ended September 30, 2021, and three and four months ended September 30, 2020 reflect policyholder behavior for annuitizations.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3" w:name="page74"/>
    <w:bookmarkEnd w:id="73"/>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40" w:hanging="267"/>
        <w:spacing w:after="0"/>
        <w:tabs>
          <w:tab w:leader="none" w:pos="5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Pension risk transfer premiums for the three and nine months ended September 30, 2021 reflect new PRT deals for the period.</w:t>
      </w:r>
    </w:p>
    <w:p>
      <w:pPr>
        <w:spacing w:after="0" w:line="92" w:lineRule="exact"/>
        <w:rPr>
          <w:rFonts w:ascii="Arial" w:cs="Arial" w:eastAsia="Arial" w:hAnsi="Arial"/>
          <w:sz w:val="15"/>
          <w:szCs w:val="15"/>
          <w:color w:val="auto"/>
        </w:rPr>
      </w:pPr>
    </w:p>
    <w:p>
      <w:pPr>
        <w:jc w:val="both"/>
        <w:ind w:left="540" w:hanging="267"/>
        <w:spacing w:after="0" w:line="303" w:lineRule="auto"/>
        <w:tabs>
          <w:tab w:leader="none" w:pos="536"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Cost of insurance fees and other income for the three and nine months ended September 30, 2021 primarily reflects GMWB rider fees of $32 million and $99 million, respectively, and cost of insurance charges on IUL policies of $26 million and $73 million respectively, partially offset by unearned revenue deferrals. For the three and four months ended September 30, 2020, this line item primarily reflects GMWB rider fees of $29 million and $38 million, respectively, and cost of insurance charges on IUL policies of $21 million and $27 million respectively, partially offset by unearned revenue deferrals. GMWB rider fees are based on the policyholder's benefit base and are collected at the end of the policy year.</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and investment income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Below is a summary of interest and investment income (in millions):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5260" w:type="dxa"/>
            <w:vAlign w:val="bottom"/>
          </w:tcPr>
          <w:p>
            <w:pPr>
              <w:spacing w:after="0"/>
              <w:rPr>
                <w:sz w:val="12"/>
                <w:szCs w:val="12"/>
                <w:color w:val="auto"/>
              </w:rPr>
            </w:pPr>
          </w:p>
        </w:tc>
        <w:tc>
          <w:tcPr>
            <w:tcW w:w="2660" w:type="dxa"/>
            <w:vAlign w:val="bottom"/>
            <w:tcBorders>
              <w:bottom w:val="single" w:sz="8" w:color="auto"/>
            </w:tcBorders>
            <w:gridSpan w:val="4"/>
          </w:tcPr>
          <w:p>
            <w:pPr>
              <w:jc w:val="right"/>
              <w:ind w:right="704"/>
              <w:spacing w:after="0"/>
              <w:rPr>
                <w:sz w:val="20"/>
                <w:szCs w:val="20"/>
                <w:color w:val="auto"/>
              </w:rPr>
            </w:pPr>
            <w:r>
              <w:rPr>
                <w:rFonts w:ascii="Arial" w:cs="Arial" w:eastAsia="Arial" w:hAnsi="Arial"/>
                <w:sz w:val="10"/>
                <w:szCs w:val="10"/>
                <w:b w:val="1"/>
                <w:bCs w:val="1"/>
                <w:color w:val="auto"/>
              </w:rPr>
              <w:t>Three months ended</w:t>
            </w:r>
          </w:p>
        </w:tc>
        <w:tc>
          <w:tcPr>
            <w:tcW w:w="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Nine months ended</w:t>
            </w: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223"/>
              <w:spacing w:after="0"/>
              <w:rPr>
                <w:sz w:val="20"/>
                <w:szCs w:val="20"/>
                <w:color w:val="auto"/>
              </w:rPr>
            </w:pPr>
            <w:r>
              <w:rPr>
                <w:rFonts w:ascii="Arial" w:cs="Arial" w:eastAsia="Arial" w:hAnsi="Arial"/>
                <w:sz w:val="10"/>
                <w:szCs w:val="10"/>
                <w:b w:val="1"/>
                <w:bCs w:val="1"/>
                <w:color w:val="auto"/>
              </w:rPr>
              <w:t>Four months ended</w:t>
            </w:r>
          </w:p>
        </w:tc>
      </w:tr>
      <w:tr>
        <w:trPr>
          <w:trHeight w:val="137"/>
        </w:trPr>
        <w:tc>
          <w:tcPr>
            <w:tcW w:w="52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b w:val="1"/>
                <w:bCs w:val="1"/>
                <w:color w:val="auto"/>
              </w:rPr>
              <w:t>September 30, 2021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b w:val="1"/>
                <w:bCs w:val="1"/>
                <w:color w:val="auto"/>
              </w:rPr>
              <w:t>September 30, 2020</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ind w:left="100"/>
              <w:spacing w:after="0"/>
              <w:rPr>
                <w:sz w:val="20"/>
                <w:szCs w:val="20"/>
                <w:color w:val="auto"/>
              </w:rPr>
            </w:pPr>
            <w:r>
              <w:rPr>
                <w:rFonts w:ascii="Arial" w:cs="Arial" w:eastAsia="Arial" w:hAnsi="Arial"/>
                <w:sz w:val="10"/>
                <w:szCs w:val="10"/>
                <w:b w:val="1"/>
                <w:bCs w:val="1"/>
                <w:color w:val="auto"/>
              </w:rPr>
              <w:t>September 30, 2021</w:t>
            </w:r>
          </w:p>
        </w:tc>
        <w:tc>
          <w:tcPr>
            <w:tcW w:w="180" w:type="dxa"/>
            <w:vAlign w:val="bottom"/>
          </w:tcPr>
          <w:p>
            <w:pPr>
              <w:spacing w:after="0"/>
              <w:rPr>
                <w:sz w:val="11"/>
                <w:szCs w:val="11"/>
                <w:color w:val="auto"/>
              </w:rPr>
            </w:pPr>
          </w:p>
        </w:tc>
        <w:tc>
          <w:tcPr>
            <w:tcW w:w="1240" w:type="dxa"/>
            <w:vAlign w:val="bottom"/>
          </w:tcPr>
          <w:p>
            <w:pPr>
              <w:jc w:val="right"/>
              <w:ind w:right="223"/>
              <w:spacing w:after="0"/>
              <w:rPr>
                <w:sz w:val="20"/>
                <w:szCs w:val="20"/>
                <w:color w:val="auto"/>
              </w:rPr>
            </w:pPr>
            <w:r>
              <w:rPr>
                <w:rFonts w:ascii="Arial" w:cs="Arial" w:eastAsia="Arial" w:hAnsi="Arial"/>
                <w:sz w:val="10"/>
                <w:szCs w:val="10"/>
                <w:b w:val="1"/>
                <w:bCs w:val="1"/>
                <w:color w:val="auto"/>
              </w:rPr>
              <w:t>September 30, 2020</w:t>
            </w:r>
          </w:p>
        </w:tc>
      </w:tr>
      <w:tr>
        <w:trPr>
          <w:trHeight w:val="15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Fixed maturity securities, available-for-sale</w:t>
            </w:r>
          </w:p>
        </w:tc>
        <w:tc>
          <w:tcPr>
            <w:tcW w:w="1160" w:type="dxa"/>
            <w:vAlign w:val="bottom"/>
            <w:tcBorders>
              <w:top w:val="single" w:sz="8" w:color="auto"/>
            </w:tcBorders>
            <w:shd w:val="clear" w:color="auto" w:fill="CCEEFF"/>
          </w:tcPr>
          <w:p>
            <w:pPr>
              <w:jc w:val="right"/>
              <w:ind w:right="1051"/>
              <w:spacing w:after="0"/>
              <w:rPr>
                <w:sz w:val="20"/>
                <w:szCs w:val="20"/>
                <w:color w:val="auto"/>
              </w:rPr>
            </w:pPr>
            <w:r>
              <w:rPr>
                <w:rFonts w:ascii="Arial" w:cs="Arial" w:eastAsia="Arial" w:hAnsi="Arial"/>
                <w:sz w:val="9"/>
                <w:szCs w:val="9"/>
                <w:color w:val="auto"/>
                <w:w w:val="78"/>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300</w:t>
            </w: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right"/>
              <w:ind w:right="1024"/>
              <w:spacing w:after="0"/>
              <w:rPr>
                <w:sz w:val="20"/>
                <w:szCs w:val="20"/>
                <w:color w:val="auto"/>
              </w:rPr>
            </w:pPr>
            <w:r>
              <w:rPr>
                <w:rFonts w:ascii="Arial" w:cs="Arial" w:eastAsia="Arial" w:hAnsi="Arial"/>
                <w:sz w:val="12"/>
                <w:szCs w:val="12"/>
                <w:color w:val="auto"/>
                <w:w w:val="89"/>
              </w:rPr>
              <w:t>$</w:t>
            </w:r>
          </w:p>
        </w:tc>
        <w:tc>
          <w:tcPr>
            <w:tcW w:w="2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9"/>
              </w:rPr>
              <w:t>271</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903</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370</w:t>
            </w:r>
          </w:p>
        </w:tc>
      </w:tr>
      <w:tr>
        <w:trPr>
          <w:trHeight w:val="152"/>
        </w:trPr>
        <w:tc>
          <w:tcPr>
            <w:tcW w:w="5260" w:type="dxa"/>
            <w:vAlign w:val="bottom"/>
          </w:tcPr>
          <w:p>
            <w:pPr>
              <w:spacing w:after="0"/>
              <w:rPr>
                <w:sz w:val="20"/>
                <w:szCs w:val="20"/>
                <w:color w:val="auto"/>
              </w:rPr>
            </w:pPr>
            <w:r>
              <w:rPr>
                <w:rFonts w:ascii="Arial" w:cs="Arial" w:eastAsia="Arial" w:hAnsi="Arial"/>
                <w:sz w:val="12"/>
                <w:szCs w:val="12"/>
                <w:color w:val="auto"/>
              </w:rPr>
              <w:t>Equity securities</w:t>
            </w:r>
          </w:p>
        </w:tc>
        <w:tc>
          <w:tcPr>
            <w:tcW w:w="116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jc w:val="right"/>
              <w:ind w:right="1"/>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2"/>
                <w:szCs w:val="12"/>
                <w:color w:val="auto"/>
              </w:rPr>
              <w:t>40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2"/>
                <w:szCs w:val="12"/>
                <w:color w:val="auto"/>
              </w:rPr>
              <w:t>24</w:t>
            </w:r>
          </w:p>
        </w:tc>
      </w:tr>
      <w:tr>
        <w:trPr>
          <w:trHeight w:val="157"/>
        </w:trPr>
        <w:tc>
          <w:tcPr>
            <w:tcW w:w="5260" w:type="dxa"/>
            <w:vAlign w:val="bottom"/>
            <w:shd w:val="clear" w:color="auto" w:fill="CCEEFF"/>
          </w:tcPr>
          <w:p>
            <w:pPr>
              <w:spacing w:after="0"/>
              <w:rPr>
                <w:sz w:val="20"/>
                <w:szCs w:val="20"/>
                <w:color w:val="auto"/>
              </w:rPr>
            </w:pPr>
            <w:r>
              <w:rPr>
                <w:rFonts w:ascii="Arial" w:cs="Arial" w:eastAsia="Arial" w:hAnsi="Arial"/>
                <w:sz w:val="12"/>
                <w:szCs w:val="12"/>
                <w:color w:val="auto"/>
              </w:rPr>
              <w:t>Mortgage loans</w:t>
            </w:r>
          </w:p>
        </w:tc>
        <w:tc>
          <w:tcPr>
            <w:tcW w:w="116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90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31</w:t>
            </w:r>
          </w:p>
        </w:tc>
      </w:tr>
      <w:tr>
        <w:trPr>
          <w:trHeight w:val="152"/>
        </w:trPr>
        <w:tc>
          <w:tcPr>
            <w:tcW w:w="52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investments</w:t>
            </w:r>
          </w:p>
        </w:tc>
        <w:tc>
          <w:tcPr>
            <w:tcW w:w="11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177</w:t>
            </w:r>
          </w:p>
        </w:tc>
        <w:tc>
          <w:tcPr>
            <w:tcW w:w="1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29</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429</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32</w:t>
            </w:r>
          </w:p>
        </w:tc>
      </w:tr>
      <w:tr>
        <w:trPr>
          <w:trHeight w:val="148"/>
        </w:trPr>
        <w:tc>
          <w:tcPr>
            <w:tcW w:w="52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Gross investment income</w:t>
            </w: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523</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9"/>
              </w:rPr>
              <w:t>336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1,462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457</w:t>
            </w:r>
          </w:p>
        </w:tc>
      </w:tr>
      <w:tr>
        <w:trPr>
          <w:trHeight w:val="152"/>
        </w:trPr>
        <w:tc>
          <w:tcPr>
            <w:tcW w:w="52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Investment expense</w:t>
            </w:r>
          </w:p>
        </w:tc>
        <w:tc>
          <w:tcPr>
            <w:tcW w:w="11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(42)</w:t>
            </w:r>
          </w:p>
        </w:tc>
        <w:tc>
          <w:tcPr>
            <w:tcW w:w="1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(31)</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(121)</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w:t>
            </w:r>
          </w:p>
        </w:tc>
      </w:tr>
      <w:tr>
        <w:trPr>
          <w:trHeight w:val="173"/>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Interest and investment income</w:t>
            </w:r>
          </w:p>
        </w:tc>
        <w:tc>
          <w:tcPr>
            <w:tcW w:w="1160" w:type="dxa"/>
            <w:vAlign w:val="bottom"/>
            <w:tcBorders>
              <w:bottom w:val="single" w:sz="8" w:color="auto"/>
            </w:tcBorders>
            <w:shd w:val="clear" w:color="auto" w:fill="CCEEFF"/>
          </w:tcPr>
          <w:p>
            <w:pPr>
              <w:jc w:val="right"/>
              <w:ind w:right="1051"/>
              <w:spacing w:after="0"/>
              <w:rPr>
                <w:sz w:val="20"/>
                <w:szCs w:val="20"/>
                <w:color w:val="auto"/>
              </w:rPr>
            </w:pPr>
            <w:r>
              <w:rPr>
                <w:rFonts w:ascii="Arial" w:cs="Arial" w:eastAsia="Arial" w:hAnsi="Arial"/>
                <w:sz w:val="9"/>
                <w:szCs w:val="9"/>
                <w:color w:val="auto"/>
                <w:w w:val="78"/>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481</w:t>
            </w:r>
          </w:p>
        </w:tc>
        <w:tc>
          <w:tcPr>
            <w:tcW w:w="1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1024"/>
              <w:spacing w:after="0"/>
              <w:rPr>
                <w:sz w:val="20"/>
                <w:szCs w:val="20"/>
                <w:color w:val="auto"/>
              </w:rPr>
            </w:pPr>
            <w:r>
              <w:rPr>
                <w:rFonts w:ascii="Arial" w:cs="Arial" w:eastAsia="Arial" w:hAnsi="Arial"/>
                <w:sz w:val="12"/>
                <w:szCs w:val="12"/>
                <w:color w:val="auto"/>
                <w:w w:val="89"/>
              </w:rPr>
              <w:t>$</w:t>
            </w:r>
          </w:p>
        </w:tc>
        <w:tc>
          <w:tcPr>
            <w:tcW w:w="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9"/>
              </w:rPr>
              <w:t>305</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1,341</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416</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Our net investment spread and AAUM are summarized as follows (annualized) (dollars in millions) (see Non-GAAP Financial Measures Section):</w:t>
      </w:r>
    </w:p>
    <w:p>
      <w:pPr>
        <w:spacing w:after="0" w:line="110" w:lineRule="exact"/>
        <w:rPr>
          <w:sz w:val="20"/>
          <w:szCs w:val="20"/>
          <w:color w:val="auto"/>
        </w:rPr>
      </w:pPr>
    </w:p>
    <w:tbl>
      <w:tblPr>
        <w:tblLayout w:type="fixed"/>
        <w:tblInd w:w="60" w:type="dxa"/>
        <w:tblCellMar>
          <w:top w:w="0" w:type="dxa"/>
          <w:left w:w="0" w:type="dxa"/>
          <w:bottom w:w="0" w:type="dxa"/>
          <w:right w:w="0" w:type="dxa"/>
        </w:tblCellMar>
      </w:tblPr>
      <w:tr>
        <w:trPr>
          <w:trHeight w:val="141"/>
        </w:trPr>
        <w:tc>
          <w:tcPr>
            <w:tcW w:w="5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20" w:type="dxa"/>
            <w:vAlign w:val="bottom"/>
            <w:gridSpan w:val="5"/>
          </w:tcPr>
          <w:p>
            <w:pPr>
              <w:ind w:left="880"/>
              <w:spacing w:after="0"/>
              <w:rPr>
                <w:sz w:val="20"/>
                <w:szCs w:val="20"/>
                <w:color w:val="auto"/>
              </w:rPr>
            </w:pPr>
            <w:r>
              <w:rPr>
                <w:rFonts w:ascii="Arial" w:cs="Arial" w:eastAsia="Arial" w:hAnsi="Arial"/>
                <w:sz w:val="10"/>
                <w:szCs w:val="10"/>
                <w:b w:val="1"/>
                <w:bCs w:val="1"/>
                <w:color w:val="auto"/>
              </w:rPr>
              <w:t>Three months ended</w:t>
            </w:r>
          </w:p>
        </w:tc>
        <w:tc>
          <w:tcPr>
            <w:tcW w:w="180" w:type="dxa"/>
            <w:vAlign w:val="bottom"/>
          </w:tcPr>
          <w:p>
            <w:pPr>
              <w:spacing w:after="0"/>
              <w:rPr>
                <w:sz w:val="12"/>
                <w:szCs w:val="12"/>
                <w:color w:val="auto"/>
              </w:rPr>
            </w:pPr>
          </w:p>
        </w:tc>
        <w:tc>
          <w:tcPr>
            <w:tcW w:w="1380" w:type="dxa"/>
            <w:vAlign w:val="bottom"/>
            <w:gridSpan w:val="2"/>
          </w:tcPr>
          <w:p>
            <w:pPr>
              <w:ind w:left="120"/>
              <w:spacing w:after="0"/>
              <w:rPr>
                <w:sz w:val="20"/>
                <w:szCs w:val="20"/>
                <w:color w:val="auto"/>
              </w:rPr>
            </w:pPr>
            <w:r>
              <w:rPr>
                <w:rFonts w:ascii="Arial" w:cs="Arial" w:eastAsia="Arial" w:hAnsi="Arial"/>
                <w:sz w:val="10"/>
                <w:szCs w:val="10"/>
                <w:b w:val="1"/>
                <w:bCs w:val="1"/>
                <w:color w:val="auto"/>
              </w:rPr>
              <w:t>Nine months ended</w:t>
            </w:r>
          </w:p>
        </w:tc>
        <w:tc>
          <w:tcPr>
            <w:tcW w:w="180" w:type="dxa"/>
            <w:vAlign w:val="bottom"/>
          </w:tcPr>
          <w:p>
            <w:pPr>
              <w:spacing w:after="0"/>
              <w:rPr>
                <w:sz w:val="12"/>
                <w:szCs w:val="12"/>
                <w:color w:val="auto"/>
              </w:rPr>
            </w:pPr>
          </w:p>
        </w:tc>
        <w:tc>
          <w:tcPr>
            <w:tcW w:w="1280" w:type="dxa"/>
            <w:vAlign w:val="bottom"/>
          </w:tcPr>
          <w:p>
            <w:pPr>
              <w:jc w:val="right"/>
              <w:ind w:right="243"/>
              <w:spacing w:after="0"/>
              <w:rPr>
                <w:sz w:val="20"/>
                <w:szCs w:val="20"/>
                <w:color w:val="auto"/>
              </w:rPr>
            </w:pPr>
            <w:r>
              <w:rPr>
                <w:rFonts w:ascii="Arial" w:cs="Arial" w:eastAsia="Arial" w:hAnsi="Arial"/>
                <w:sz w:val="10"/>
                <w:szCs w:val="10"/>
                <w:b w:val="1"/>
                <w:bCs w:val="1"/>
                <w:color w:val="auto"/>
              </w:rPr>
              <w:t>Four months ended</w:t>
            </w:r>
          </w:p>
        </w:tc>
        <w:tc>
          <w:tcPr>
            <w:tcW w:w="0" w:type="dxa"/>
            <w:vAlign w:val="bottom"/>
          </w:tcPr>
          <w:p>
            <w:pPr>
              <w:spacing w:after="0"/>
              <w:rPr>
                <w:sz w:val="1"/>
                <w:szCs w:val="1"/>
                <w:color w:val="auto"/>
              </w:rPr>
            </w:pPr>
          </w:p>
        </w:tc>
      </w:tr>
      <w:tr>
        <w:trPr>
          <w:trHeight w:val="137"/>
        </w:trPr>
        <w:tc>
          <w:tcPr>
            <w:tcW w:w="50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September 30, 2021</w:t>
            </w: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262"/>
              <w:spacing w:after="0"/>
              <w:rPr>
                <w:sz w:val="20"/>
                <w:szCs w:val="20"/>
                <w:color w:val="auto"/>
              </w:rPr>
            </w:pPr>
            <w:r>
              <w:rPr>
                <w:rFonts w:ascii="Arial" w:cs="Arial" w:eastAsia="Arial" w:hAnsi="Arial"/>
                <w:sz w:val="10"/>
                <w:szCs w:val="10"/>
                <w:b w:val="1"/>
                <w:bCs w:val="1"/>
                <w:color w:val="auto"/>
              </w:rPr>
              <w:t>September 30, 2020</w:t>
            </w: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September 30, 2021</w:t>
            </w:r>
          </w:p>
        </w:tc>
        <w:tc>
          <w:tcPr>
            <w:tcW w:w="1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43"/>
              <w:spacing w:after="0"/>
              <w:rPr>
                <w:sz w:val="20"/>
                <w:szCs w:val="20"/>
                <w:color w:val="auto"/>
              </w:rPr>
            </w:pPr>
            <w:r>
              <w:rPr>
                <w:rFonts w:ascii="Arial" w:cs="Arial" w:eastAsia="Arial" w:hAnsi="Arial"/>
                <w:sz w:val="10"/>
                <w:szCs w:val="10"/>
                <w:b w:val="1"/>
                <w:bCs w:val="1"/>
                <w:color w:val="auto"/>
              </w:rPr>
              <w:t>September 30, 2020</w:t>
            </w:r>
          </w:p>
        </w:tc>
        <w:tc>
          <w:tcPr>
            <w:tcW w:w="0" w:type="dxa"/>
            <w:vAlign w:val="bottom"/>
          </w:tcPr>
          <w:p>
            <w:pPr>
              <w:spacing w:after="0"/>
              <w:rPr>
                <w:sz w:val="1"/>
                <w:szCs w:val="1"/>
                <w:color w:val="auto"/>
              </w:rPr>
            </w:pPr>
          </w:p>
        </w:tc>
      </w:tr>
      <w:tr>
        <w:trPr>
          <w:trHeight w:val="150"/>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Yield on AAUM (at amortized cost)</w:t>
            </w:r>
          </w:p>
        </w:tc>
        <w:tc>
          <w:tcPr>
            <w:tcW w:w="18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5.89 %</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4.52 %</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5.82 %</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4.64 %</w:t>
            </w:r>
          </w:p>
        </w:tc>
        <w:tc>
          <w:tcPr>
            <w:tcW w:w="0" w:type="dxa"/>
            <w:vAlign w:val="bottom"/>
          </w:tcPr>
          <w:p>
            <w:pPr>
              <w:spacing w:after="0"/>
              <w:rPr>
                <w:sz w:val="1"/>
                <w:szCs w:val="1"/>
                <w:color w:val="auto"/>
              </w:rPr>
            </w:pPr>
          </w:p>
        </w:tc>
      </w:tr>
      <w:tr>
        <w:trPr>
          <w:trHeight w:val="152"/>
        </w:trPr>
        <w:tc>
          <w:tcPr>
            <w:tcW w:w="50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Alternative investment yield adjustment</w:t>
            </w: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0.13 %</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0.20 %</w:t>
            </w:r>
          </w:p>
        </w:tc>
        <w:tc>
          <w:tcPr>
            <w:tcW w:w="0" w:type="dxa"/>
            <w:vAlign w:val="bottom"/>
          </w:tcPr>
          <w:p>
            <w:pPr>
              <w:spacing w:after="0"/>
              <w:rPr>
                <w:sz w:val="1"/>
                <w:szCs w:val="1"/>
                <w:color w:val="auto"/>
              </w:rPr>
            </w:pPr>
          </w:p>
        </w:tc>
      </w:tr>
      <w:tr>
        <w:trPr>
          <w:trHeight w:val="148"/>
        </w:trPr>
        <w:tc>
          <w:tcPr>
            <w:tcW w:w="5060" w:type="dxa"/>
            <w:vAlign w:val="bottom"/>
            <w:shd w:val="clear" w:color="auto" w:fill="CCEEFF"/>
          </w:tcPr>
          <w:p>
            <w:pPr>
              <w:spacing w:after="0"/>
              <w:rPr>
                <w:sz w:val="20"/>
                <w:szCs w:val="20"/>
                <w:color w:val="auto"/>
              </w:rPr>
            </w:pPr>
            <w:r>
              <w:rPr>
                <w:rFonts w:ascii="Arial" w:cs="Arial" w:eastAsia="Arial" w:hAnsi="Arial"/>
                <w:sz w:val="12"/>
                <w:szCs w:val="12"/>
                <w:color w:val="auto"/>
              </w:rPr>
              <w:t>Adjusted yield on AAUM</w:t>
            </w:r>
          </w:p>
        </w:tc>
        <w:tc>
          <w:tcPr>
            <w:tcW w:w="18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4.66 %</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4.65 %</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4.73 %</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4.84 %</w:t>
            </w:r>
          </w:p>
        </w:tc>
        <w:tc>
          <w:tcPr>
            <w:tcW w:w="0" w:type="dxa"/>
            <w:vAlign w:val="bottom"/>
          </w:tcPr>
          <w:p>
            <w:pPr>
              <w:spacing w:after="0"/>
              <w:rPr>
                <w:sz w:val="1"/>
                <w:szCs w:val="1"/>
                <w:color w:val="auto"/>
              </w:rPr>
            </w:pPr>
          </w:p>
        </w:tc>
      </w:tr>
      <w:tr>
        <w:trPr>
          <w:trHeight w:val="143"/>
        </w:trPr>
        <w:tc>
          <w:tcPr>
            <w:tcW w:w="5060" w:type="dxa"/>
            <w:vAlign w:val="bottom"/>
            <w:tcBorders>
              <w:bottom w:val="single" w:sz="8" w:color="CCEEFF"/>
            </w:tcBorders>
          </w:tcPr>
          <w:p>
            <w:pPr>
              <w:spacing w:after="0" w:line="136" w:lineRule="exact"/>
              <w:rPr>
                <w:sz w:val="20"/>
                <w:szCs w:val="20"/>
                <w:color w:val="auto"/>
              </w:rPr>
            </w:pPr>
            <w:r>
              <w:rPr>
                <w:rFonts w:ascii="Arial" w:cs="Arial" w:eastAsia="Arial" w:hAnsi="Arial"/>
                <w:sz w:val="12"/>
                <w:szCs w:val="12"/>
                <w:color w:val="auto"/>
              </w:rPr>
              <w:t>Less: Interest credited and option cost</w:t>
            </w:r>
          </w:p>
        </w:tc>
        <w:tc>
          <w:tcPr>
            <w:tcW w:w="1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(1.81)%</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(2.03)%</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(1.95)%</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73"/>
        </w:trPr>
        <w:tc>
          <w:tcPr>
            <w:tcW w:w="5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Net investment spread</w:t>
            </w:r>
          </w:p>
        </w:tc>
        <w:tc>
          <w:tcPr>
            <w:tcW w:w="1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2.85 %</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2.62 %</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2.78 %</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2.84 %</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2"/>
                <w:szCs w:val="12"/>
                <w:color w:val="auto"/>
              </w:rPr>
              <w:t>AAUM</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060" w:type="dxa"/>
            <w:vAlign w:val="bottom"/>
            <w:vMerge w:val="continue"/>
          </w:tcPr>
          <w:p>
            <w:pPr>
              <w:spacing w:after="0"/>
              <w:rPr>
                <w:sz w:val="9"/>
                <w:szCs w:val="9"/>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1280" w:type="dxa"/>
            <w:vAlign w:val="bottom"/>
          </w:tcPr>
          <w:p>
            <w:pPr>
              <w:jc w:val="right"/>
              <w:ind w:right="103"/>
              <w:spacing w:after="0" w:line="113" w:lineRule="exact"/>
              <w:rPr>
                <w:sz w:val="20"/>
                <w:szCs w:val="20"/>
                <w:color w:val="auto"/>
              </w:rPr>
            </w:pPr>
            <w:r>
              <w:rPr>
                <w:rFonts w:ascii="Arial" w:cs="Arial" w:eastAsia="Arial" w:hAnsi="Arial"/>
                <w:sz w:val="12"/>
                <w:szCs w:val="12"/>
                <w:color w:val="auto"/>
              </w:rPr>
              <w:t>32,692</w:t>
            </w:r>
          </w:p>
        </w:tc>
        <w:tc>
          <w:tcPr>
            <w:tcW w:w="80" w:type="dxa"/>
            <w:vAlign w:val="bottom"/>
          </w:tcPr>
          <w:p>
            <w:pPr>
              <w:spacing w:after="0"/>
              <w:rPr>
                <w:sz w:val="9"/>
                <w:szCs w:val="9"/>
                <w:color w:val="auto"/>
              </w:rPr>
            </w:pPr>
          </w:p>
        </w:tc>
        <w:tc>
          <w:tcPr>
            <w:tcW w:w="180" w:type="dxa"/>
            <w:vAlign w:val="bottom"/>
          </w:tcPr>
          <w:p>
            <w:pPr>
              <w:jc w:val="right"/>
              <w:ind w:right="41"/>
              <w:spacing w:after="0" w:line="113" w:lineRule="exact"/>
              <w:rPr>
                <w:sz w:val="20"/>
                <w:szCs w:val="20"/>
                <w:color w:val="auto"/>
              </w:rPr>
            </w:pPr>
            <w:r>
              <w:rPr>
                <w:rFonts w:ascii="Arial" w:cs="Arial" w:eastAsia="Arial" w:hAnsi="Arial"/>
                <w:sz w:val="12"/>
                <w:szCs w:val="12"/>
                <w:color w:val="auto"/>
                <w:w w:val="89"/>
              </w:rPr>
              <w:t>$</w:t>
            </w:r>
          </w:p>
        </w:tc>
        <w:tc>
          <w:tcPr>
            <w:tcW w:w="1300" w:type="dxa"/>
            <w:vAlign w:val="bottom"/>
          </w:tcPr>
          <w:p>
            <w:pPr>
              <w:jc w:val="right"/>
              <w:ind w:right="102"/>
              <w:spacing w:after="0" w:line="113" w:lineRule="exact"/>
              <w:rPr>
                <w:sz w:val="20"/>
                <w:szCs w:val="20"/>
                <w:color w:val="auto"/>
              </w:rPr>
            </w:pPr>
            <w:r>
              <w:rPr>
                <w:rFonts w:ascii="Arial" w:cs="Arial" w:eastAsia="Arial" w:hAnsi="Arial"/>
                <w:sz w:val="12"/>
                <w:szCs w:val="12"/>
                <w:color w:val="auto"/>
              </w:rPr>
              <w:t>26,990</w:t>
            </w:r>
          </w:p>
        </w:tc>
        <w:tc>
          <w:tcPr>
            <w:tcW w:w="80" w:type="dxa"/>
            <w:vAlign w:val="bottom"/>
          </w:tcPr>
          <w:p>
            <w:pPr>
              <w:spacing w:after="0"/>
              <w:rPr>
                <w:sz w:val="9"/>
                <w:szCs w:val="9"/>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1280" w:type="dxa"/>
            <w:vAlign w:val="bottom"/>
          </w:tcPr>
          <w:p>
            <w:pPr>
              <w:jc w:val="right"/>
              <w:ind w:right="83"/>
              <w:spacing w:after="0" w:line="113" w:lineRule="exact"/>
              <w:rPr>
                <w:sz w:val="20"/>
                <w:szCs w:val="20"/>
                <w:color w:val="auto"/>
              </w:rPr>
            </w:pPr>
            <w:r>
              <w:rPr>
                <w:rFonts w:ascii="Arial" w:cs="Arial" w:eastAsia="Arial" w:hAnsi="Arial"/>
                <w:sz w:val="12"/>
                <w:szCs w:val="12"/>
                <w:color w:val="auto"/>
              </w:rPr>
              <w:t>30,706</w:t>
            </w:r>
          </w:p>
        </w:tc>
        <w:tc>
          <w:tcPr>
            <w:tcW w:w="100" w:type="dxa"/>
            <w:vAlign w:val="bottom"/>
          </w:tcPr>
          <w:p>
            <w:pPr>
              <w:spacing w:after="0"/>
              <w:rPr>
                <w:sz w:val="9"/>
                <w:szCs w:val="9"/>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1280" w:type="dxa"/>
            <w:vAlign w:val="bottom"/>
          </w:tcPr>
          <w:p>
            <w:pPr>
              <w:jc w:val="right"/>
              <w:ind w:right="83"/>
              <w:spacing w:after="0" w:line="113" w:lineRule="exact"/>
              <w:rPr>
                <w:sz w:val="20"/>
                <w:szCs w:val="20"/>
                <w:color w:val="auto"/>
              </w:rPr>
            </w:pPr>
            <w:r>
              <w:rPr>
                <w:rFonts w:ascii="Arial" w:cs="Arial" w:eastAsia="Arial" w:hAnsi="Arial"/>
                <w:sz w:val="12"/>
                <w:szCs w:val="12"/>
                <w:color w:val="auto"/>
              </w:rPr>
              <w:t>26,898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40" w:hanging="267"/>
        <w:spacing w:after="0"/>
        <w:tabs>
          <w:tab w:leader="none" w:pos="5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increase in AAUM for the three and nine months ended September 30, 2021 and the three and four months ended September 30, 2020 reflect net new business asset flows.</w:t>
      </w:r>
    </w:p>
    <w:p>
      <w:pPr>
        <w:spacing w:after="0" w:line="137" w:lineRule="exact"/>
        <w:rPr>
          <w:rFonts w:ascii="Arial" w:cs="Arial" w:eastAsia="Arial" w:hAnsi="Arial"/>
          <w:sz w:val="13"/>
          <w:szCs w:val="13"/>
          <w:color w:val="auto"/>
        </w:rPr>
      </w:pPr>
    </w:p>
    <w:p>
      <w:pPr>
        <w:jc w:val="both"/>
        <w:ind w:left="540" w:hanging="267"/>
        <w:spacing w:after="0" w:line="276" w:lineRule="auto"/>
        <w:tabs>
          <w:tab w:leader="none" w:pos="53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$481 million and $1,341 million Net Investment Income ("NII") for the three and nine months ended September 30, 2021, respectively, was the result of yield on AAUM including strong alternative asset returns and invested asset growth during the period. The $305 million and $416 million NII for the three and four months ended September 30, 2020, respectively, was primarily driven by $271 and $370 million in fixed maturity securities, respectively, and $12 and $24 million in equity securities, respectively. This is partially offset by $31 and $41 million in investment expenses for the three and four months ended September 30, 2020, respectively.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4" w:name="page75"/>
    <w:bookmarkEnd w:id="74"/>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40" w:hanging="267"/>
        <w:spacing w:after="0"/>
        <w:tabs>
          <w:tab w:leader="none" w:pos="5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alternative investment yield adjustment reflects the yield impact of market volatility on the alternative investment portfolio.</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Recognized gains and losses, net</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Below is a summary of the major components included in recognized gains and losses, net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5280" w:type="dxa"/>
            <w:vAlign w:val="bottom"/>
          </w:tcPr>
          <w:p>
            <w:pPr>
              <w:spacing w:after="0"/>
              <w:rPr>
                <w:sz w:val="12"/>
                <w:szCs w:val="12"/>
                <w:color w:val="auto"/>
              </w:rPr>
            </w:pPr>
          </w:p>
        </w:tc>
        <w:tc>
          <w:tcPr>
            <w:tcW w:w="266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0"/>
                <w:szCs w:val="10"/>
                <w:b w:val="1"/>
                <w:bCs w:val="1"/>
                <w:color w:val="auto"/>
              </w:rPr>
              <w:t>Three months ended</w:t>
            </w:r>
          </w:p>
        </w:tc>
        <w:tc>
          <w:tcPr>
            <w:tcW w:w="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Nine months ended</w:t>
            </w: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223"/>
              <w:spacing w:after="0"/>
              <w:rPr>
                <w:sz w:val="20"/>
                <w:szCs w:val="20"/>
                <w:color w:val="auto"/>
              </w:rPr>
            </w:pPr>
            <w:r>
              <w:rPr>
                <w:rFonts w:ascii="Arial" w:cs="Arial" w:eastAsia="Arial" w:hAnsi="Arial"/>
                <w:sz w:val="10"/>
                <w:szCs w:val="10"/>
                <w:b w:val="1"/>
                <w:bCs w:val="1"/>
                <w:color w:val="auto"/>
              </w:rPr>
              <w:t>Four months ended</w:t>
            </w:r>
          </w:p>
        </w:tc>
        <w:tc>
          <w:tcPr>
            <w:tcW w:w="0" w:type="dxa"/>
            <w:vAlign w:val="bottom"/>
          </w:tcPr>
          <w:p>
            <w:pPr>
              <w:spacing w:after="0"/>
              <w:rPr>
                <w:sz w:val="1"/>
                <w:szCs w:val="1"/>
                <w:color w:val="auto"/>
              </w:rPr>
            </w:pPr>
          </w:p>
        </w:tc>
      </w:tr>
      <w:tr>
        <w:trPr>
          <w:trHeight w:val="137"/>
        </w:trPr>
        <w:tc>
          <w:tcPr>
            <w:tcW w:w="528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b w:val="1"/>
                <w:bCs w:val="1"/>
                <w:color w:val="auto"/>
              </w:rPr>
              <w:t>September 30, 2021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b w:val="1"/>
                <w:bCs w:val="1"/>
                <w:color w:val="auto"/>
              </w:rPr>
              <w:t>September 30, 2020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ind w:left="100"/>
              <w:spacing w:after="0"/>
              <w:rPr>
                <w:sz w:val="20"/>
                <w:szCs w:val="20"/>
                <w:color w:val="auto"/>
              </w:rPr>
            </w:pPr>
            <w:r>
              <w:rPr>
                <w:rFonts w:ascii="Arial" w:cs="Arial" w:eastAsia="Arial" w:hAnsi="Arial"/>
                <w:sz w:val="10"/>
                <w:szCs w:val="10"/>
                <w:b w:val="1"/>
                <w:bCs w:val="1"/>
                <w:color w:val="auto"/>
              </w:rPr>
              <w:t>September 30, 2021</w:t>
            </w:r>
          </w:p>
        </w:tc>
        <w:tc>
          <w:tcPr>
            <w:tcW w:w="180" w:type="dxa"/>
            <w:vAlign w:val="bottom"/>
          </w:tcPr>
          <w:p>
            <w:pPr>
              <w:spacing w:after="0"/>
              <w:rPr>
                <w:sz w:val="11"/>
                <w:szCs w:val="11"/>
                <w:color w:val="auto"/>
              </w:rPr>
            </w:pPr>
          </w:p>
        </w:tc>
        <w:tc>
          <w:tcPr>
            <w:tcW w:w="1240" w:type="dxa"/>
            <w:vAlign w:val="bottom"/>
          </w:tcPr>
          <w:p>
            <w:pPr>
              <w:jc w:val="right"/>
              <w:ind w:right="223"/>
              <w:spacing w:after="0"/>
              <w:rPr>
                <w:sz w:val="20"/>
                <w:szCs w:val="20"/>
                <w:color w:val="auto"/>
              </w:rPr>
            </w:pPr>
            <w:r>
              <w:rPr>
                <w:rFonts w:ascii="Arial" w:cs="Arial" w:eastAsia="Arial" w:hAnsi="Arial"/>
                <w:sz w:val="10"/>
                <w:szCs w:val="10"/>
                <w:b w:val="1"/>
                <w:bCs w:val="1"/>
                <w:color w:val="auto"/>
              </w:rPr>
              <w:t>September 30, 2020</w:t>
            </w:r>
          </w:p>
        </w:tc>
        <w:tc>
          <w:tcPr>
            <w:tcW w:w="0" w:type="dxa"/>
            <w:vAlign w:val="bottom"/>
          </w:tcPr>
          <w:p>
            <w:pPr>
              <w:spacing w:after="0"/>
              <w:rPr>
                <w:sz w:val="1"/>
                <w:szCs w:val="1"/>
                <w:color w:val="auto"/>
              </w:rPr>
            </w:pPr>
          </w:p>
        </w:tc>
      </w:tr>
      <w:tr>
        <w:trPr>
          <w:trHeight w:val="95"/>
        </w:trPr>
        <w:tc>
          <w:tcPr>
            <w:tcW w:w="5280" w:type="dxa"/>
            <w:vAlign w:val="bottom"/>
            <w:tcBorders>
              <w:top w:val="single" w:sz="8" w:color="CCEEFF"/>
            </w:tcBorders>
            <w:shd w:val="clear" w:color="auto" w:fill="CCEEFF"/>
          </w:tcPr>
          <w:p>
            <w:pPr>
              <w:ind w:left="20"/>
              <w:spacing w:after="0" w:line="95" w:lineRule="exact"/>
              <w:rPr>
                <w:sz w:val="20"/>
                <w:szCs w:val="20"/>
                <w:color w:val="auto"/>
              </w:rPr>
            </w:pPr>
            <w:r>
              <w:rPr>
                <w:rFonts w:ascii="Arial" w:cs="Arial" w:eastAsia="Arial" w:hAnsi="Arial"/>
                <w:sz w:val="11"/>
                <w:szCs w:val="11"/>
                <w:color w:val="auto"/>
                <w:w w:val="98"/>
              </w:rPr>
              <w:t>Net realized and unrealized gains (losses) on fixed maturity available-for-sale securities, equity securities and</w:t>
            </w:r>
          </w:p>
        </w:tc>
        <w:tc>
          <w:tcPr>
            <w:tcW w:w="1180" w:type="dxa"/>
            <w:vAlign w:val="bottom"/>
            <w:tcBorders>
              <w:top w:val="single" w:sz="8" w:color="auto"/>
            </w:tcBorders>
            <w:vMerge w:val="restart"/>
            <w:shd w:val="clear" w:color="auto" w:fill="CCEEFF"/>
          </w:tcPr>
          <w:p>
            <w:pPr>
              <w:jc w:val="right"/>
              <w:ind w:right="1071"/>
              <w:spacing w:after="0"/>
              <w:rPr>
                <w:sz w:val="20"/>
                <w:szCs w:val="20"/>
                <w:color w:val="auto"/>
              </w:rPr>
            </w:pPr>
            <w:r>
              <w:rPr>
                <w:rFonts w:ascii="Arial" w:cs="Arial" w:eastAsia="Arial" w:hAnsi="Arial"/>
                <w:sz w:val="9"/>
                <w:szCs w:val="9"/>
                <w:color w:val="auto"/>
                <w:w w:val="78"/>
              </w:rPr>
              <w:t>$</w:t>
            </w:r>
          </w:p>
        </w:tc>
        <w:tc>
          <w:tcPr>
            <w:tcW w:w="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tcBorders>
              <w:top w:val="single" w:sz="8" w:color="CCEEFF"/>
            </w:tcBorders>
            <w:shd w:val="clear" w:color="auto" w:fill="CCEEFF"/>
          </w:tcPr>
          <w:p>
            <w:pPr>
              <w:spacing w:after="0"/>
              <w:rPr>
                <w:sz w:val="8"/>
                <w:szCs w:val="8"/>
                <w:color w:val="auto"/>
              </w:rPr>
            </w:pPr>
          </w:p>
        </w:tc>
        <w:tc>
          <w:tcPr>
            <w:tcW w:w="1160" w:type="dxa"/>
            <w:vAlign w:val="bottom"/>
            <w:tcBorders>
              <w:top w:val="single" w:sz="8" w:color="auto"/>
            </w:tcBorders>
            <w:vMerge w:val="restart"/>
            <w:shd w:val="clear" w:color="auto" w:fill="CCEEFF"/>
          </w:tcPr>
          <w:p>
            <w:pPr>
              <w:jc w:val="right"/>
              <w:ind w:right="1051"/>
              <w:spacing w:after="0"/>
              <w:rPr>
                <w:sz w:val="20"/>
                <w:szCs w:val="20"/>
                <w:color w:val="auto"/>
              </w:rPr>
            </w:pPr>
            <w:r>
              <w:rPr>
                <w:rFonts w:ascii="Arial" w:cs="Arial" w:eastAsia="Arial" w:hAnsi="Arial"/>
                <w:sz w:val="9"/>
                <w:szCs w:val="9"/>
                <w:color w:val="auto"/>
                <w:w w:val="78"/>
              </w:rPr>
              <w:t>$</w:t>
            </w:r>
          </w:p>
        </w:tc>
        <w:tc>
          <w:tcPr>
            <w:tcW w:w="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vMerge w:val="restart"/>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58</w:t>
            </w:r>
          </w:p>
        </w:tc>
        <w:tc>
          <w:tcPr>
            <w:tcW w:w="1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vMerge w:val="restart"/>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59</w:t>
            </w:r>
          </w:p>
        </w:tc>
        <w:tc>
          <w:tcPr>
            <w:tcW w:w="0" w:type="dxa"/>
            <w:vAlign w:val="bottom"/>
          </w:tcPr>
          <w:p>
            <w:pPr>
              <w:spacing w:after="0"/>
              <w:rPr>
                <w:sz w:val="1"/>
                <w:szCs w:val="1"/>
                <w:color w:val="auto"/>
              </w:rPr>
            </w:pPr>
          </w:p>
        </w:tc>
      </w:tr>
      <w:tr>
        <w:trPr>
          <w:trHeight w:val="155"/>
        </w:trPr>
        <w:tc>
          <w:tcPr>
            <w:tcW w:w="5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invested assets</w:t>
            </w:r>
          </w:p>
        </w:tc>
        <w:tc>
          <w:tcPr>
            <w:tcW w:w="118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vMerge w:val="continue"/>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12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12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280" w:type="dxa"/>
            <w:vAlign w:val="bottom"/>
          </w:tcPr>
          <w:p>
            <w:pPr>
              <w:ind w:left="20"/>
              <w:spacing w:after="0"/>
              <w:rPr>
                <w:sz w:val="20"/>
                <w:szCs w:val="20"/>
                <w:color w:val="auto"/>
              </w:rPr>
            </w:pPr>
            <w:r>
              <w:rPr>
                <w:rFonts w:ascii="Arial" w:cs="Arial" w:eastAsia="Arial" w:hAnsi="Arial"/>
                <w:sz w:val="12"/>
                <w:szCs w:val="12"/>
                <w:color w:val="auto"/>
              </w:rPr>
              <w:t>Change in allowance for expected credit losses</w:t>
            </w:r>
          </w:p>
        </w:tc>
        <w:tc>
          <w:tcPr>
            <w:tcW w:w="11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57"/>
        </w:trPr>
        <w:tc>
          <w:tcPr>
            <w:tcW w:w="5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realized and unrealized gains (losses) on certain derivatives instruments</w:t>
            </w:r>
          </w:p>
        </w:tc>
        <w:tc>
          <w:tcPr>
            <w:tcW w:w="118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284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60</w:t>
            </w:r>
          </w:p>
        </w:tc>
        <w:tc>
          <w:tcPr>
            <w:tcW w:w="0" w:type="dxa"/>
            <w:vAlign w:val="bottom"/>
          </w:tcPr>
          <w:p>
            <w:pPr>
              <w:spacing w:after="0"/>
              <w:rPr>
                <w:sz w:val="1"/>
                <w:szCs w:val="1"/>
                <w:color w:val="auto"/>
              </w:rPr>
            </w:pPr>
          </w:p>
        </w:tc>
      </w:tr>
      <w:tr>
        <w:trPr>
          <w:trHeight w:val="152"/>
        </w:trPr>
        <w:tc>
          <w:tcPr>
            <w:tcW w:w="5280" w:type="dxa"/>
            <w:vAlign w:val="bottom"/>
          </w:tcPr>
          <w:p>
            <w:pPr>
              <w:ind w:left="20"/>
              <w:spacing w:after="0"/>
              <w:rPr>
                <w:sz w:val="20"/>
                <w:szCs w:val="20"/>
                <w:color w:val="auto"/>
              </w:rPr>
            </w:pPr>
            <w:r>
              <w:rPr>
                <w:rFonts w:ascii="Arial" w:cs="Arial" w:eastAsia="Arial" w:hAnsi="Arial"/>
                <w:sz w:val="12"/>
                <w:szCs w:val="12"/>
                <w:color w:val="auto"/>
              </w:rPr>
              <w:t>Change in fair value of reinsurance related embedded derivatives</w:t>
            </w:r>
          </w:p>
        </w:tc>
        <w:tc>
          <w:tcPr>
            <w:tcW w:w="11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w w:val="93"/>
              </w:rPr>
              <w:t>(14)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55"/>
        </w:trPr>
        <w:tc>
          <w:tcPr>
            <w:tcW w:w="5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 in fair value of other derivatives and embedded derivatives</w:t>
            </w:r>
          </w:p>
        </w:tc>
        <w:tc>
          <w:tcPr>
            <w:tcW w:w="11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8"/>
        </w:trPr>
        <w:tc>
          <w:tcPr>
            <w:tcW w:w="5280" w:type="dxa"/>
            <w:vAlign w:val="bottom"/>
          </w:tcPr>
          <w:p>
            <w:pPr>
              <w:ind w:left="20"/>
              <w:spacing w:after="0"/>
              <w:rPr>
                <w:sz w:val="20"/>
                <w:szCs w:val="20"/>
                <w:color w:val="auto"/>
              </w:rPr>
            </w:pPr>
            <w:r>
              <w:rPr>
                <w:rFonts w:ascii="Arial" w:cs="Arial" w:eastAsia="Arial" w:hAnsi="Arial"/>
                <w:sz w:val="12"/>
                <w:szCs w:val="12"/>
                <w:b w:val="1"/>
                <w:bCs w:val="1"/>
                <w:color w:val="auto"/>
              </w:rPr>
              <w:t>Recognized gains and losses, net</w:t>
            </w:r>
          </w:p>
        </w:tc>
        <w:tc>
          <w:tcPr>
            <w:tcW w:w="1180" w:type="dxa"/>
            <w:vAlign w:val="bottom"/>
            <w:tcBorders>
              <w:top w:val="single" w:sz="8" w:color="auto"/>
              <w:bottom w:val="single" w:sz="8" w:color="auto"/>
            </w:tcBorders>
          </w:tcPr>
          <w:p>
            <w:pPr>
              <w:jc w:val="right"/>
              <w:ind w:right="1071"/>
              <w:spacing w:after="0"/>
              <w:rPr>
                <w:sz w:val="20"/>
                <w:szCs w:val="20"/>
                <w:color w:val="auto"/>
              </w:rPr>
            </w:pPr>
            <w:r>
              <w:rPr>
                <w:rFonts w:ascii="Arial" w:cs="Arial" w:eastAsia="Arial" w:hAnsi="Arial"/>
                <w:sz w:val="9"/>
                <w:szCs w:val="9"/>
                <w:color w:val="auto"/>
                <w:w w:val="78"/>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ind w:right="1051"/>
              <w:spacing w:after="0"/>
              <w:rPr>
                <w:sz w:val="20"/>
                <w:szCs w:val="20"/>
                <w:color w:val="auto"/>
              </w:rPr>
            </w:pPr>
            <w:r>
              <w:rPr>
                <w:rFonts w:ascii="Arial" w:cs="Arial" w:eastAsia="Arial" w:hAnsi="Arial"/>
                <w:sz w:val="9"/>
                <w:szCs w:val="9"/>
                <w:color w:val="auto"/>
                <w:w w:val="78"/>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77</w:t>
            </w:r>
          </w:p>
        </w:tc>
        <w:tc>
          <w:tcPr>
            <w:tcW w:w="12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370</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ind w:left="540" w:hanging="267"/>
        <w:spacing w:after="0" w:line="313" w:lineRule="auto"/>
        <w:tabs>
          <w:tab w:leader="none" w:pos="536" w:val="left"/>
        </w:tabs>
        <w:numPr>
          <w:ilvl w:val="0"/>
          <w:numId w:val="20"/>
        </w:numPr>
        <w:rPr>
          <w:rFonts w:ascii="Arial" w:cs="Arial" w:eastAsia="Arial" w:hAnsi="Arial"/>
          <w:sz w:val="13"/>
          <w:szCs w:val="13"/>
          <w:i w:val="1"/>
          <w:iCs w:val="1"/>
          <w:color w:val="auto"/>
        </w:rPr>
      </w:pPr>
      <w:r>
        <w:rPr>
          <w:rFonts w:ascii="Arial" w:cs="Arial" w:eastAsia="Arial" w:hAnsi="Arial"/>
          <w:sz w:val="13"/>
          <w:szCs w:val="13"/>
          <w:color w:val="auto"/>
        </w:rPr>
        <w:t>For the three and nine months ended September 30, 2021, net realized and unrealized gains (losses) on fixed maturity available-for-sale securities, equity securities and other invested assets is primarily the result of realized gains on fixed maturity available-for-sale securities. For the three and four months ended September 30, 2020, net realized gains on available-for-sale securities, fixed maturity securities, equity securities and other invested assets is primarily the result of mark-to-market movement on our equity securities and trading gains.</w:t>
      </w:r>
    </w:p>
    <w:p>
      <w:pPr>
        <w:spacing w:after="0" w:line="55" w:lineRule="exact"/>
        <w:rPr>
          <w:rFonts w:ascii="Arial" w:cs="Arial" w:eastAsia="Arial" w:hAnsi="Arial"/>
          <w:sz w:val="13"/>
          <w:szCs w:val="13"/>
          <w:i w:val="1"/>
          <w:iCs w:val="1"/>
          <w:color w:val="auto"/>
        </w:rPr>
      </w:pPr>
    </w:p>
    <w:p>
      <w:pPr>
        <w:ind w:left="540" w:hanging="267"/>
        <w:spacing w:after="0" w:line="266" w:lineRule="auto"/>
        <w:tabs>
          <w:tab w:leader="none" w:pos="536" w:val="left"/>
        </w:tabs>
        <w:numPr>
          <w:ilvl w:val="0"/>
          <w:numId w:val="20"/>
        </w:numPr>
        <w:rPr>
          <w:rFonts w:ascii="Arial" w:cs="Arial" w:eastAsia="Arial" w:hAnsi="Arial"/>
          <w:sz w:val="15"/>
          <w:szCs w:val="15"/>
          <w:i w:val="1"/>
          <w:iCs w:val="1"/>
          <w:color w:val="auto"/>
        </w:rPr>
      </w:pPr>
      <w:r>
        <w:rPr>
          <w:rFonts w:ascii="Arial" w:cs="Arial" w:eastAsia="Arial" w:hAnsi="Arial"/>
          <w:sz w:val="15"/>
          <w:szCs w:val="15"/>
          <w:color w:val="auto"/>
        </w:rPr>
        <w:t>Allowance for expected credit losses decreased during the for the three and nine months ended September 30, 2021 primarily due to bonds and mortgage loans, and increased for the three and four months ended September 30, 2020 primarily due to residential mortgage loans.</w:t>
      </w:r>
    </w:p>
    <w:p>
      <w:pPr>
        <w:spacing w:after="0" w:line="70" w:lineRule="exact"/>
        <w:rPr>
          <w:rFonts w:ascii="Arial" w:cs="Arial" w:eastAsia="Arial" w:hAnsi="Arial"/>
          <w:sz w:val="15"/>
          <w:szCs w:val="15"/>
          <w:i w:val="1"/>
          <w:iCs w:val="1"/>
          <w:color w:val="auto"/>
        </w:rPr>
      </w:pPr>
    </w:p>
    <w:p>
      <w:pPr>
        <w:jc w:val="both"/>
        <w:ind w:left="540" w:hanging="267"/>
        <w:spacing w:after="0" w:line="255" w:lineRule="auto"/>
        <w:tabs>
          <w:tab w:leader="none" w:pos="536" w:val="left"/>
        </w:tabs>
        <w:numPr>
          <w:ilvl w:val="0"/>
          <w:numId w:val="20"/>
        </w:numPr>
        <w:rPr>
          <w:rFonts w:ascii="Arial" w:cs="Arial" w:eastAsia="Arial" w:hAnsi="Arial"/>
          <w:sz w:val="15"/>
          <w:szCs w:val="15"/>
          <w:color w:val="auto"/>
        </w:rPr>
      </w:pPr>
      <w:r>
        <w:rPr>
          <w:rFonts w:ascii="Arial" w:cs="Arial" w:eastAsia="Arial" w:hAnsi="Arial"/>
          <w:sz w:val="15"/>
          <w:szCs w:val="15"/>
          <w:color w:val="auto"/>
        </w:rPr>
        <w:t>For the three and nine months ended September 30, 2021, and the three and four months ended September 30, 2020, net realized and unrealized gains (losses) on certain derivative instruments primarily relates to the realized and unrealized gains and losses on futures and options used to hedge FIA and IUL products and gains on option expiration. See the table below for primary drivers of gains (losses) on certain derivatives.</w:t>
      </w:r>
    </w:p>
    <w:p>
      <w:pPr>
        <w:spacing w:after="0" w:line="79" w:lineRule="exact"/>
        <w:rPr>
          <w:rFonts w:ascii="Arial" w:cs="Arial" w:eastAsia="Arial" w:hAnsi="Arial"/>
          <w:sz w:val="15"/>
          <w:szCs w:val="15"/>
          <w:color w:val="auto"/>
        </w:rPr>
      </w:pPr>
    </w:p>
    <w:p>
      <w:pPr>
        <w:ind w:left="540" w:hanging="267"/>
        <w:spacing w:after="0"/>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fair value of reinsurance related embedded derivative is based on the change in fair value of the underlying assets held in the funds withheld ("FWH")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5" w:name="page76"/>
    <w:bookmarkEnd w:id="75"/>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firstLine="331"/>
        <w:spacing w:after="0" w:line="266" w:lineRule="auto"/>
        <w:rPr>
          <w:sz w:val="20"/>
          <w:szCs w:val="20"/>
          <w:color w:val="auto"/>
        </w:rPr>
      </w:pPr>
      <w:r>
        <w:rPr>
          <w:rFonts w:ascii="Arial" w:cs="Arial" w:eastAsia="Arial" w:hAnsi="Arial"/>
          <w:sz w:val="15"/>
          <w:szCs w:val="15"/>
          <w:color w:val="auto"/>
        </w:rPr>
        <w:t>We utilize a combination of static (call options) and dynamic (long futures contracts) instruments in our hedging strategy. A substantial portion of the call options and futures contracts are based upon the S&amp;P 500 Index with the remainder based upon other equity, bond and gold market indices.</w:t>
      </w:r>
    </w:p>
    <w:p>
      <w:pPr>
        <w:spacing w:after="0" w:line="70" w:lineRule="exact"/>
        <w:rPr>
          <w:sz w:val="20"/>
          <w:szCs w:val="20"/>
          <w:color w:val="auto"/>
        </w:rPr>
      </w:pPr>
    </w:p>
    <w:p>
      <w:pPr>
        <w:ind w:firstLine="331"/>
        <w:spacing w:after="0" w:line="266" w:lineRule="auto"/>
        <w:rPr>
          <w:sz w:val="20"/>
          <w:szCs w:val="20"/>
          <w:color w:val="auto"/>
        </w:rPr>
      </w:pPr>
      <w:r>
        <w:rPr>
          <w:rFonts w:ascii="Arial" w:cs="Arial" w:eastAsia="Arial" w:hAnsi="Arial"/>
          <w:sz w:val="15"/>
          <w:szCs w:val="15"/>
          <w:color w:val="auto"/>
        </w:rPr>
        <w:t>The components of the realized and unrealized gains (losses) on certain derivative instruments hedging our indexed annuity and universal life products are summarized in the table below (dollars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5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40" w:type="dxa"/>
            <w:vAlign w:val="bottom"/>
            <w:gridSpan w:val="5"/>
          </w:tcPr>
          <w:p>
            <w:pPr>
              <w:ind w:left="880"/>
              <w:spacing w:after="0"/>
              <w:rPr>
                <w:sz w:val="20"/>
                <w:szCs w:val="20"/>
                <w:color w:val="auto"/>
              </w:rPr>
            </w:pPr>
            <w:r>
              <w:rPr>
                <w:rFonts w:ascii="Arial" w:cs="Arial" w:eastAsia="Arial" w:hAnsi="Arial"/>
                <w:sz w:val="10"/>
                <w:szCs w:val="10"/>
                <w:b w:val="1"/>
                <w:bCs w:val="1"/>
                <w:color w:val="auto"/>
              </w:rPr>
              <w:t>Three months ended</w:t>
            </w:r>
          </w:p>
        </w:tc>
        <w:tc>
          <w:tcPr>
            <w:tcW w:w="200" w:type="dxa"/>
            <w:vAlign w:val="bottom"/>
          </w:tcPr>
          <w:p>
            <w:pPr>
              <w:spacing w:after="0"/>
              <w:rPr>
                <w:sz w:val="12"/>
                <w:szCs w:val="12"/>
                <w:color w:val="auto"/>
              </w:rPr>
            </w:pPr>
          </w:p>
        </w:tc>
        <w:tc>
          <w:tcPr>
            <w:tcW w:w="1380" w:type="dxa"/>
            <w:vAlign w:val="bottom"/>
            <w:gridSpan w:val="2"/>
          </w:tcPr>
          <w:p>
            <w:pPr>
              <w:ind w:left="120"/>
              <w:spacing w:after="0"/>
              <w:rPr>
                <w:sz w:val="20"/>
                <w:szCs w:val="20"/>
                <w:color w:val="auto"/>
              </w:rPr>
            </w:pPr>
            <w:r>
              <w:rPr>
                <w:rFonts w:ascii="Arial" w:cs="Arial" w:eastAsia="Arial" w:hAnsi="Arial"/>
                <w:sz w:val="10"/>
                <w:szCs w:val="10"/>
                <w:b w:val="1"/>
                <w:bCs w:val="1"/>
                <w:color w:val="auto"/>
              </w:rPr>
              <w:t>Nine months ended</w:t>
            </w:r>
          </w:p>
        </w:tc>
        <w:tc>
          <w:tcPr>
            <w:tcW w:w="200" w:type="dxa"/>
            <w:vAlign w:val="bottom"/>
          </w:tcPr>
          <w:p>
            <w:pPr>
              <w:spacing w:after="0"/>
              <w:rPr>
                <w:sz w:val="12"/>
                <w:szCs w:val="12"/>
                <w:color w:val="auto"/>
              </w:rPr>
            </w:pPr>
          </w:p>
        </w:tc>
        <w:tc>
          <w:tcPr>
            <w:tcW w:w="1280" w:type="dxa"/>
            <w:vAlign w:val="bottom"/>
          </w:tcPr>
          <w:p>
            <w:pPr>
              <w:ind w:left="120"/>
              <w:spacing w:after="0"/>
              <w:rPr>
                <w:sz w:val="20"/>
                <w:szCs w:val="20"/>
                <w:color w:val="auto"/>
              </w:rPr>
            </w:pPr>
            <w:r>
              <w:rPr>
                <w:rFonts w:ascii="Arial" w:cs="Arial" w:eastAsia="Arial" w:hAnsi="Arial"/>
                <w:sz w:val="10"/>
                <w:szCs w:val="10"/>
                <w:b w:val="1"/>
                <w:bCs w:val="1"/>
                <w:color w:val="auto"/>
              </w:rPr>
              <w:t>Four months ended</w:t>
            </w:r>
          </w:p>
        </w:tc>
      </w:tr>
      <w:tr>
        <w:trPr>
          <w:trHeight w:val="137"/>
        </w:trPr>
        <w:tc>
          <w:tcPr>
            <w:tcW w:w="50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September 30, 2021</w:t>
            </w: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42"/>
              <w:spacing w:after="0"/>
              <w:rPr>
                <w:sz w:val="20"/>
                <w:szCs w:val="20"/>
                <w:color w:val="auto"/>
              </w:rPr>
            </w:pPr>
            <w:r>
              <w:rPr>
                <w:rFonts w:ascii="Arial" w:cs="Arial" w:eastAsia="Arial" w:hAnsi="Arial"/>
                <w:sz w:val="10"/>
                <w:szCs w:val="10"/>
                <w:b w:val="1"/>
                <w:bCs w:val="1"/>
                <w:color w:val="auto"/>
              </w:rPr>
              <w:t>September 30, 2020</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September 30, 2021</w:t>
            </w: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ind w:left="120"/>
              <w:spacing w:after="0"/>
              <w:rPr>
                <w:sz w:val="20"/>
                <w:szCs w:val="20"/>
                <w:color w:val="auto"/>
              </w:rPr>
            </w:pPr>
            <w:r>
              <w:rPr>
                <w:rFonts w:ascii="Arial" w:cs="Arial" w:eastAsia="Arial" w:hAnsi="Arial"/>
                <w:sz w:val="10"/>
                <w:szCs w:val="10"/>
                <w:b w:val="1"/>
                <w:bCs w:val="1"/>
                <w:color w:val="auto"/>
              </w:rPr>
              <w:t>September 30, 2020</w:t>
            </w:r>
          </w:p>
        </w:tc>
      </w:tr>
      <w:tr>
        <w:trPr>
          <w:trHeight w:val="139"/>
        </w:trPr>
        <w:tc>
          <w:tcPr>
            <w:tcW w:w="5060" w:type="dxa"/>
            <w:vAlign w:val="bottom"/>
            <w:tcBorders>
              <w:top w:val="single" w:sz="8" w:color="CCEEFF"/>
            </w:tcBorders>
            <w:shd w:val="clear" w:color="auto" w:fill="CCEEFF"/>
          </w:tcPr>
          <w:p>
            <w:pPr>
              <w:ind w:left="20"/>
              <w:spacing w:after="0" w:line="134" w:lineRule="exact"/>
              <w:rPr>
                <w:sz w:val="20"/>
                <w:szCs w:val="20"/>
                <w:color w:val="auto"/>
              </w:rPr>
            </w:pPr>
            <w:r>
              <w:rPr>
                <w:rFonts w:ascii="Arial" w:cs="Arial" w:eastAsia="Arial" w:hAnsi="Arial"/>
                <w:sz w:val="12"/>
                <w:szCs w:val="12"/>
                <w:color w:val="auto"/>
              </w:rPr>
              <w:t>Call Options:</w:t>
            </w:r>
          </w:p>
        </w:tc>
        <w:tc>
          <w:tcPr>
            <w:tcW w:w="18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r>
      <w:tr>
        <w:trPr>
          <w:trHeight w:val="152"/>
        </w:trPr>
        <w:tc>
          <w:tcPr>
            <w:tcW w:w="5060" w:type="dxa"/>
            <w:vAlign w:val="bottom"/>
          </w:tcPr>
          <w:p>
            <w:pPr>
              <w:ind w:left="180"/>
              <w:spacing w:after="0"/>
              <w:rPr>
                <w:sz w:val="20"/>
                <w:szCs w:val="20"/>
                <w:color w:val="auto"/>
              </w:rPr>
            </w:pPr>
            <w:r>
              <w:rPr>
                <w:rFonts w:ascii="Arial" w:cs="Arial" w:eastAsia="Arial" w:hAnsi="Arial"/>
                <w:sz w:val="12"/>
                <w:szCs w:val="12"/>
                <w:color w:val="auto"/>
              </w:rPr>
              <w:t>Gains on option expiration</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1280" w:type="dxa"/>
            <w:vAlign w:val="bottom"/>
          </w:tcPr>
          <w:p>
            <w:pPr>
              <w:jc w:val="right"/>
              <w:ind w:right="83"/>
              <w:spacing w:after="0"/>
              <w:rPr>
                <w:sz w:val="20"/>
                <w:szCs w:val="20"/>
                <w:color w:val="auto"/>
              </w:rPr>
            </w:pPr>
            <w:r>
              <w:rPr>
                <w:rFonts w:ascii="Arial" w:cs="Arial" w:eastAsia="Arial" w:hAnsi="Arial"/>
                <w:sz w:val="12"/>
                <w:szCs w:val="12"/>
                <w:color w:val="auto"/>
              </w:rPr>
              <w:t>134</w:t>
            </w:r>
          </w:p>
        </w:tc>
        <w:tc>
          <w:tcPr>
            <w:tcW w:w="80" w:type="dxa"/>
            <w:vAlign w:val="bottom"/>
          </w:tcPr>
          <w:p>
            <w:pPr>
              <w:spacing w:after="0"/>
              <w:rPr>
                <w:sz w:val="13"/>
                <w:szCs w:val="13"/>
                <w:color w:val="auto"/>
              </w:rPr>
            </w:pPr>
          </w:p>
        </w:tc>
        <w:tc>
          <w:tcPr>
            <w:tcW w:w="200" w:type="dxa"/>
            <w:vAlign w:val="bottom"/>
          </w:tcPr>
          <w:p>
            <w:pPr>
              <w:jc w:val="right"/>
              <w:ind w:right="61"/>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102"/>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3"/>
                <w:szCs w:val="13"/>
                <w:color w:val="auto"/>
              </w:rPr>
            </w:pPr>
          </w:p>
        </w:tc>
        <w:tc>
          <w:tcPr>
            <w:tcW w:w="200" w:type="dxa"/>
            <w:vAlign w:val="bottom"/>
          </w:tcPr>
          <w:p>
            <w:pPr>
              <w:jc w:val="right"/>
              <w:ind w:right="61"/>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103"/>
              <w:spacing w:after="0"/>
              <w:rPr>
                <w:sz w:val="20"/>
                <w:szCs w:val="20"/>
                <w:color w:val="auto"/>
              </w:rPr>
            </w:pPr>
            <w:r>
              <w:rPr>
                <w:rFonts w:ascii="Arial" w:cs="Arial" w:eastAsia="Arial" w:hAnsi="Arial"/>
                <w:sz w:val="12"/>
                <w:szCs w:val="12"/>
                <w:color w:val="auto"/>
              </w:rPr>
              <w:t>303</w:t>
            </w:r>
          </w:p>
        </w:tc>
        <w:tc>
          <w:tcPr>
            <w:tcW w:w="100" w:type="dxa"/>
            <w:vAlign w:val="bottom"/>
          </w:tcPr>
          <w:p>
            <w:pPr>
              <w:spacing w:after="0"/>
              <w:rPr>
                <w:sz w:val="13"/>
                <w:szCs w:val="13"/>
                <w:color w:val="auto"/>
              </w:rPr>
            </w:pPr>
          </w:p>
        </w:tc>
        <w:tc>
          <w:tcPr>
            <w:tcW w:w="200" w:type="dxa"/>
            <w:vAlign w:val="bottom"/>
          </w:tcPr>
          <w:p>
            <w:pPr>
              <w:jc w:val="right"/>
              <w:ind w:right="61"/>
              <w:spacing w:after="0"/>
              <w:rPr>
                <w:sz w:val="20"/>
                <w:szCs w:val="20"/>
                <w:color w:val="auto"/>
              </w:rPr>
            </w:pPr>
            <w:r>
              <w:rPr>
                <w:rFonts w:ascii="Arial" w:cs="Arial" w:eastAsia="Arial" w:hAnsi="Arial"/>
                <w:sz w:val="12"/>
                <w:szCs w:val="12"/>
                <w:color w:val="auto"/>
                <w:w w:val="89"/>
              </w:rPr>
              <w:t>$</w:t>
            </w:r>
          </w:p>
        </w:tc>
        <w:tc>
          <w:tcPr>
            <w:tcW w:w="1280" w:type="dxa"/>
            <w:vAlign w:val="bottom"/>
          </w:tcPr>
          <w:p>
            <w:pPr>
              <w:ind w:left="1000"/>
              <w:spacing w:after="0"/>
              <w:rPr>
                <w:sz w:val="20"/>
                <w:szCs w:val="20"/>
                <w:color w:val="auto"/>
              </w:rPr>
            </w:pPr>
            <w:r>
              <w:rPr>
                <w:rFonts w:ascii="Arial" w:cs="Arial" w:eastAsia="Arial" w:hAnsi="Arial"/>
                <w:sz w:val="12"/>
                <w:szCs w:val="12"/>
                <w:color w:val="auto"/>
              </w:rPr>
              <w:t>26</w:t>
            </w:r>
          </w:p>
        </w:tc>
      </w:tr>
      <w:tr>
        <w:trPr>
          <w:trHeight w:val="157"/>
        </w:trPr>
        <w:tc>
          <w:tcPr>
            <w:tcW w:w="5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Change in unrealized (losses) gains</w:t>
            </w: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(140)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19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(30)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2"/>
                <w:szCs w:val="12"/>
                <w:color w:val="auto"/>
              </w:rPr>
              <w:t>29</w:t>
            </w:r>
          </w:p>
        </w:tc>
      </w:tr>
      <w:tr>
        <w:trPr>
          <w:trHeight w:val="152"/>
        </w:trPr>
        <w:tc>
          <w:tcPr>
            <w:tcW w:w="5060" w:type="dxa"/>
            <w:vAlign w:val="bottom"/>
          </w:tcPr>
          <w:p>
            <w:pPr>
              <w:ind w:left="20"/>
              <w:spacing w:after="0"/>
              <w:rPr>
                <w:sz w:val="20"/>
                <w:szCs w:val="20"/>
                <w:color w:val="auto"/>
              </w:rPr>
            </w:pPr>
            <w:r>
              <w:rPr>
                <w:rFonts w:ascii="Arial" w:cs="Arial" w:eastAsia="Arial" w:hAnsi="Arial"/>
                <w:sz w:val="12"/>
                <w:szCs w:val="12"/>
                <w:color w:val="auto"/>
              </w:rPr>
              <w:t>Futures contracts:</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57"/>
        </w:trPr>
        <w:tc>
          <w:tcPr>
            <w:tcW w:w="5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Gains on futures contracts expiration</w:t>
            </w:r>
          </w:p>
        </w:tc>
        <w:tc>
          <w:tcPr>
            <w:tcW w:w="18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2"/>
                <w:szCs w:val="12"/>
                <w:color w:val="auto"/>
              </w:rPr>
              <w:t>17</w:t>
            </w:r>
          </w:p>
        </w:tc>
      </w:tr>
      <w:tr>
        <w:trPr>
          <w:trHeight w:val="152"/>
        </w:trPr>
        <w:tc>
          <w:tcPr>
            <w:tcW w:w="5060" w:type="dxa"/>
            <w:vAlign w:val="bottom"/>
          </w:tcPr>
          <w:p>
            <w:pPr>
              <w:ind w:left="180"/>
              <w:spacing w:after="0"/>
              <w:rPr>
                <w:sz w:val="20"/>
                <w:szCs w:val="20"/>
                <w:color w:val="auto"/>
              </w:rPr>
            </w:pPr>
            <w:r>
              <w:rPr>
                <w:rFonts w:ascii="Arial" w:cs="Arial" w:eastAsia="Arial" w:hAnsi="Arial"/>
                <w:sz w:val="12"/>
                <w:szCs w:val="12"/>
                <w:color w:val="auto"/>
              </w:rPr>
              <w:t>Change in unrealized losses</w:t>
            </w:r>
          </w:p>
        </w:tc>
        <w:tc>
          <w:tcPr>
            <w:tcW w:w="180" w:type="dxa"/>
            <w:vAlign w:val="bottom"/>
          </w:tcPr>
          <w:p>
            <w:pPr>
              <w:spacing w:after="0"/>
              <w:rPr>
                <w:sz w:val="13"/>
                <w:szCs w:val="1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ind w:right="63"/>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ind w:left="1020"/>
              <w:spacing w:after="0"/>
              <w:rPr>
                <w:sz w:val="20"/>
                <w:szCs w:val="20"/>
                <w:color w:val="auto"/>
              </w:rPr>
            </w:pPr>
            <w:r>
              <w:rPr>
                <w:rFonts w:ascii="Arial" w:cs="Arial" w:eastAsia="Arial" w:hAnsi="Arial"/>
                <w:sz w:val="12"/>
                <w:szCs w:val="12"/>
                <w:color w:val="auto"/>
              </w:rPr>
              <w:t>(8)</w:t>
            </w:r>
          </w:p>
        </w:tc>
      </w:tr>
      <w:tr>
        <w:trPr>
          <w:trHeight w:val="157"/>
        </w:trPr>
        <w:tc>
          <w:tcPr>
            <w:tcW w:w="5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Foreign currency forward:</w:t>
            </w: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52"/>
        </w:trPr>
        <w:tc>
          <w:tcPr>
            <w:tcW w:w="50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Gains (losses) on foreign currency forward</w:t>
            </w: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3</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(4)</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7</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ind w:left="1020"/>
              <w:spacing w:after="0"/>
              <w:rPr>
                <w:sz w:val="20"/>
                <w:szCs w:val="20"/>
                <w:color w:val="auto"/>
              </w:rPr>
            </w:pPr>
            <w:r>
              <w:rPr>
                <w:rFonts w:ascii="Arial" w:cs="Arial" w:eastAsia="Arial" w:hAnsi="Arial"/>
                <w:sz w:val="12"/>
                <w:szCs w:val="12"/>
                <w:color w:val="auto"/>
              </w:rPr>
              <w:t>(4)</w:t>
            </w:r>
          </w:p>
        </w:tc>
      </w:tr>
      <w:tr>
        <w:trPr>
          <w:trHeight w:val="173"/>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net change in fair value</w:t>
            </w:r>
          </w:p>
        </w:tc>
        <w:tc>
          <w:tcPr>
            <w:tcW w:w="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12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(3)</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2"/>
                <w:szCs w:val="12"/>
                <w:color w:val="auto"/>
              </w:rPr>
              <w:t>46</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2"/>
                <w:szCs w:val="12"/>
                <w:color w:val="auto"/>
              </w:rPr>
              <w:t>284</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2"/>
                <w:szCs w:val="12"/>
                <w:color w:val="auto"/>
              </w:rPr>
              <w:t>60</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19"/>
        </w:trPr>
        <w:tc>
          <w:tcPr>
            <w:tcW w:w="5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55"/>
        </w:trPr>
        <w:tc>
          <w:tcPr>
            <w:tcW w:w="50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Annual Point-to-Point Change in S&amp;P 500 Index during the period</w:t>
            </w: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1 %</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9 %</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16 %</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2"/>
                <w:szCs w:val="12"/>
                <w:color w:val="auto"/>
                <w:w w:val="94"/>
              </w:rPr>
              <w:t>10 %</w:t>
            </w:r>
          </w:p>
        </w:tc>
      </w:tr>
    </w:tbl>
    <w:p>
      <w:pPr>
        <w:spacing w:after="0" w:line="122" w:lineRule="exact"/>
        <w:rPr>
          <w:sz w:val="20"/>
          <w:szCs w:val="20"/>
          <w:color w:val="auto"/>
        </w:rPr>
      </w:pPr>
    </w:p>
    <w:p>
      <w:pPr>
        <w:jc w:val="both"/>
        <w:ind w:left="540" w:hanging="267"/>
        <w:spacing w:after="0" w:line="282" w:lineRule="auto"/>
        <w:tabs>
          <w:tab w:leader="none" w:pos="536"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Realized gains and losses on certain derivative instruments are directly correlated to the performance of the indices upon which the call options and futures contracts are based and the value of the derivatives at the time of expiration compared to the value at the time of purchase. Gains on option expiration reflect the movement during the three and nine months ended September 30, 2021, and three and four months ended September 30, 2020, on options settled during the period.</w:t>
      </w:r>
    </w:p>
    <w:p>
      <w:pPr>
        <w:spacing w:after="0" w:line="94" w:lineRule="exact"/>
        <w:rPr>
          <w:rFonts w:ascii="Arial" w:cs="Arial" w:eastAsia="Arial" w:hAnsi="Arial"/>
          <w:sz w:val="14"/>
          <w:szCs w:val="14"/>
          <w:color w:val="auto"/>
        </w:rPr>
      </w:pPr>
    </w:p>
    <w:p>
      <w:pPr>
        <w:ind w:left="540" w:hanging="267"/>
        <w:spacing w:after="0" w:line="266" w:lineRule="auto"/>
        <w:tabs>
          <w:tab w:leader="none" w:pos="536"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change in unrealized gains and losses due to fair value of call options is primarily driven by the underlying performance of the S&amp;P 500 Index during each respective year relative to the S&amp;P Index on the policyholder buy dates.</w:t>
      </w:r>
    </w:p>
    <w:p>
      <w:pPr>
        <w:spacing w:after="0" w:line="103" w:lineRule="exact"/>
        <w:rPr>
          <w:rFonts w:ascii="Arial" w:cs="Arial" w:eastAsia="Arial" w:hAnsi="Arial"/>
          <w:sz w:val="15"/>
          <w:szCs w:val="15"/>
          <w:color w:val="auto"/>
        </w:rPr>
      </w:pPr>
    </w:p>
    <w:p>
      <w:pPr>
        <w:ind w:left="540" w:hanging="267"/>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net change in fair value of the call options and futures contracts was primarily driven by movements in the S&amp;P 500 Index relative to the policyholder buy dates.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6" w:name="page77"/>
    <w:bookmarkEnd w:id="76"/>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average index credits to policyholders are as follows: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5040" w:type="dxa"/>
            <w:vAlign w:val="bottom"/>
          </w:tcPr>
          <w:p>
            <w:pPr>
              <w:spacing w:after="0"/>
              <w:rPr>
                <w:sz w:val="12"/>
                <w:szCs w:val="12"/>
                <w:color w:val="auto"/>
              </w:rPr>
            </w:pPr>
          </w:p>
        </w:tc>
        <w:tc>
          <w:tcPr>
            <w:tcW w:w="2740" w:type="dxa"/>
            <w:vAlign w:val="bottom"/>
            <w:tcBorders>
              <w:bottom w:val="single" w:sz="8" w:color="auto"/>
            </w:tcBorders>
            <w:gridSpan w:val="4"/>
          </w:tcPr>
          <w:p>
            <w:pPr>
              <w:ind w:left="1060"/>
              <w:spacing w:after="0"/>
              <w:rPr>
                <w:sz w:val="20"/>
                <w:szCs w:val="20"/>
                <w:color w:val="auto"/>
              </w:rPr>
            </w:pPr>
            <w:r>
              <w:rPr>
                <w:rFonts w:ascii="Arial" w:cs="Arial" w:eastAsia="Arial" w:hAnsi="Arial"/>
                <w:sz w:val="10"/>
                <w:szCs w:val="10"/>
                <w:b w:val="1"/>
                <w:bCs w:val="1"/>
                <w:color w:val="auto"/>
              </w:rPr>
              <w:t>Three months ended</w:t>
            </w:r>
          </w:p>
        </w:tc>
        <w:tc>
          <w:tcPr>
            <w:tcW w:w="2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Borders>
              <w:bottom w:val="single" w:sz="8" w:color="auto"/>
            </w:tcBorders>
            <w:gridSpan w:val="2"/>
          </w:tcPr>
          <w:p>
            <w:pPr>
              <w:ind w:left="300"/>
              <w:spacing w:after="0"/>
              <w:rPr>
                <w:sz w:val="20"/>
                <w:szCs w:val="20"/>
                <w:color w:val="auto"/>
              </w:rPr>
            </w:pPr>
            <w:r>
              <w:rPr>
                <w:rFonts w:ascii="Arial" w:cs="Arial" w:eastAsia="Arial" w:hAnsi="Arial"/>
                <w:sz w:val="10"/>
                <w:szCs w:val="10"/>
                <w:b w:val="1"/>
                <w:bCs w:val="1"/>
                <w:color w:val="auto"/>
              </w:rPr>
              <w:t>Nine months ended</w:t>
            </w:r>
          </w:p>
        </w:tc>
        <w:tc>
          <w:tcPr>
            <w:tcW w:w="1480" w:type="dxa"/>
            <w:vAlign w:val="bottom"/>
            <w:tcBorders>
              <w:bottom w:val="single" w:sz="8" w:color="auto"/>
            </w:tcBorders>
          </w:tcPr>
          <w:p>
            <w:pPr>
              <w:jc w:val="right"/>
              <w:ind w:right="243"/>
              <w:spacing w:after="0"/>
              <w:rPr>
                <w:sz w:val="20"/>
                <w:szCs w:val="20"/>
                <w:color w:val="auto"/>
              </w:rPr>
            </w:pPr>
            <w:r>
              <w:rPr>
                <w:rFonts w:ascii="Arial" w:cs="Arial" w:eastAsia="Arial" w:hAnsi="Arial"/>
                <w:sz w:val="10"/>
                <w:szCs w:val="10"/>
                <w:b w:val="1"/>
                <w:bCs w:val="1"/>
                <w:color w:val="auto"/>
              </w:rPr>
              <w:t>Four months ended</w:t>
            </w:r>
          </w:p>
        </w:tc>
      </w:tr>
      <w:tr>
        <w:trPr>
          <w:trHeight w:val="137"/>
        </w:trPr>
        <w:tc>
          <w:tcPr>
            <w:tcW w:w="5040" w:type="dxa"/>
            <w:vAlign w:val="bottom"/>
          </w:tcPr>
          <w:p>
            <w:pPr>
              <w:spacing w:after="0"/>
              <w:rPr>
                <w:sz w:val="11"/>
                <w:szCs w:val="11"/>
                <w:color w:val="auto"/>
              </w:rPr>
            </w:pPr>
          </w:p>
        </w:tc>
        <w:tc>
          <w:tcPr>
            <w:tcW w:w="1180" w:type="dxa"/>
            <w:vAlign w:val="bottom"/>
          </w:tcPr>
          <w:p>
            <w:pPr>
              <w:ind w:left="300"/>
              <w:spacing w:after="0"/>
              <w:rPr>
                <w:sz w:val="20"/>
                <w:szCs w:val="20"/>
                <w:color w:val="auto"/>
              </w:rPr>
            </w:pPr>
            <w:r>
              <w:rPr>
                <w:rFonts w:ascii="Arial" w:cs="Arial" w:eastAsia="Arial" w:hAnsi="Arial"/>
                <w:sz w:val="10"/>
                <w:szCs w:val="10"/>
                <w:b w:val="1"/>
                <w:bCs w:val="1"/>
                <w:color w:val="auto"/>
                <w:w w:val="92"/>
              </w:rPr>
              <w:t>September 30, 2021</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ind w:left="300"/>
              <w:spacing w:after="0"/>
              <w:rPr>
                <w:sz w:val="20"/>
                <w:szCs w:val="20"/>
                <w:color w:val="auto"/>
              </w:rPr>
            </w:pPr>
            <w:r>
              <w:rPr>
                <w:rFonts w:ascii="Arial" w:cs="Arial" w:eastAsia="Arial" w:hAnsi="Arial"/>
                <w:sz w:val="10"/>
                <w:szCs w:val="10"/>
                <w:b w:val="1"/>
                <w:bCs w:val="1"/>
                <w:color w:val="auto"/>
                <w:w w:val="92"/>
              </w:rPr>
              <w:t>September 30, 2020</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tcPr>
          <w:p>
            <w:pPr>
              <w:ind w:left="300"/>
              <w:spacing w:after="0"/>
              <w:rPr>
                <w:sz w:val="20"/>
                <w:szCs w:val="20"/>
                <w:color w:val="auto"/>
              </w:rPr>
            </w:pPr>
            <w:r>
              <w:rPr>
                <w:rFonts w:ascii="Arial" w:cs="Arial" w:eastAsia="Arial" w:hAnsi="Arial"/>
                <w:sz w:val="10"/>
                <w:szCs w:val="10"/>
                <w:b w:val="1"/>
                <w:bCs w:val="1"/>
                <w:color w:val="auto"/>
              </w:rPr>
              <w:t>September 30, 2021</w:t>
            </w:r>
          </w:p>
        </w:tc>
        <w:tc>
          <w:tcPr>
            <w:tcW w:w="1480" w:type="dxa"/>
            <w:vAlign w:val="bottom"/>
          </w:tcPr>
          <w:p>
            <w:pPr>
              <w:jc w:val="right"/>
              <w:ind w:right="243"/>
              <w:spacing w:after="0"/>
              <w:rPr>
                <w:sz w:val="20"/>
                <w:szCs w:val="20"/>
                <w:color w:val="auto"/>
              </w:rPr>
            </w:pPr>
            <w:r>
              <w:rPr>
                <w:rFonts w:ascii="Arial" w:cs="Arial" w:eastAsia="Arial" w:hAnsi="Arial"/>
                <w:sz w:val="10"/>
                <w:szCs w:val="10"/>
                <w:b w:val="1"/>
                <w:bCs w:val="1"/>
                <w:color w:val="auto"/>
              </w:rPr>
              <w:t>September 30, 2020</w:t>
            </w:r>
          </w:p>
        </w:tc>
      </w:tr>
      <w:tr>
        <w:trPr>
          <w:trHeight w:val="15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Average Crediting Rate</w:t>
            </w:r>
          </w:p>
        </w:tc>
        <w:tc>
          <w:tcPr>
            <w:tcW w:w="11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6 %</w:t>
            </w:r>
          </w:p>
        </w:tc>
        <w:tc>
          <w:tcPr>
            <w:tcW w:w="10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3 %</w:t>
            </w:r>
          </w:p>
        </w:tc>
        <w:tc>
          <w:tcPr>
            <w:tcW w:w="12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5 %</w:t>
            </w:r>
          </w:p>
        </w:tc>
        <w:tc>
          <w:tcPr>
            <w:tcW w:w="10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2 %</w:t>
            </w:r>
          </w:p>
        </w:tc>
      </w:tr>
      <w:tr>
        <w:trPr>
          <w:trHeight w:val="152"/>
        </w:trPr>
        <w:tc>
          <w:tcPr>
            <w:tcW w:w="6220" w:type="dxa"/>
            <w:vAlign w:val="bottom"/>
            <w:gridSpan w:val="2"/>
          </w:tcPr>
          <w:p>
            <w:pPr>
              <w:spacing w:after="0"/>
              <w:rPr>
                <w:sz w:val="20"/>
                <w:szCs w:val="20"/>
                <w:color w:val="auto"/>
              </w:rPr>
            </w:pPr>
            <w:r>
              <w:rPr>
                <w:rFonts w:ascii="Arial" w:cs="Arial" w:eastAsia="Arial" w:hAnsi="Arial"/>
                <w:sz w:val="12"/>
                <w:szCs w:val="12"/>
                <w:color w:val="auto"/>
              </w:rPr>
              <w:t>S&amp;P 500 Index:</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57"/>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Point-to-point strategy</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4 %</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5 %</w:t>
            </w:r>
          </w:p>
        </w:tc>
        <w:tc>
          <w:tcPr>
            <w:tcW w:w="12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5 %</w:t>
            </w: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5 %</w:t>
            </w:r>
          </w:p>
        </w:tc>
      </w:tr>
      <w:tr>
        <w:trPr>
          <w:trHeight w:val="152"/>
        </w:trPr>
        <w:tc>
          <w:tcPr>
            <w:tcW w:w="6220" w:type="dxa"/>
            <w:vAlign w:val="bottom"/>
            <w:gridSpan w:val="2"/>
          </w:tcPr>
          <w:p>
            <w:pPr>
              <w:ind w:left="180"/>
              <w:spacing w:after="0"/>
              <w:rPr>
                <w:sz w:val="20"/>
                <w:szCs w:val="20"/>
                <w:color w:val="auto"/>
              </w:rPr>
            </w:pPr>
            <w:r>
              <w:rPr>
                <w:rFonts w:ascii="Arial" w:cs="Arial" w:eastAsia="Arial" w:hAnsi="Arial"/>
                <w:sz w:val="12"/>
                <w:szCs w:val="12"/>
                <w:color w:val="auto"/>
              </w:rPr>
              <w:t>Monthly average strategy</w:t>
            </w:r>
          </w:p>
        </w:tc>
        <w:tc>
          <w:tcPr>
            <w:tcW w:w="280" w:type="dxa"/>
            <w:vAlign w:val="bottom"/>
          </w:tcPr>
          <w:p>
            <w:pPr>
              <w:jc w:val="right"/>
              <w:spacing w:after="0"/>
              <w:rPr>
                <w:sz w:val="20"/>
                <w:szCs w:val="20"/>
                <w:color w:val="auto"/>
              </w:rPr>
            </w:pPr>
            <w:r>
              <w:rPr>
                <w:rFonts w:ascii="Arial" w:cs="Arial" w:eastAsia="Arial" w:hAnsi="Arial"/>
                <w:sz w:val="12"/>
                <w:szCs w:val="12"/>
                <w:color w:val="auto"/>
              </w:rPr>
              <w:t>4 %</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2 %</w:t>
            </w:r>
          </w:p>
        </w:tc>
        <w:tc>
          <w:tcPr>
            <w:tcW w:w="12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3 %</w:t>
            </w:r>
          </w:p>
        </w:tc>
        <w:tc>
          <w:tcPr>
            <w:tcW w:w="1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3 %</w:t>
            </w:r>
          </w:p>
        </w:tc>
      </w:tr>
      <w:tr>
        <w:trPr>
          <w:trHeight w:val="157"/>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Monthly point-to-point strategy</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11 %</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2"/>
              </w:rPr>
              <w:t>— %</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7 %</w:t>
            </w: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r>
      <w:tr>
        <w:trPr>
          <w:trHeight w:val="149"/>
        </w:trPr>
        <w:tc>
          <w:tcPr>
            <w:tcW w:w="6220" w:type="dxa"/>
            <w:vAlign w:val="bottom"/>
            <w:gridSpan w:val="2"/>
          </w:tcPr>
          <w:p>
            <w:pPr>
              <w:ind w:left="180"/>
              <w:spacing w:after="0"/>
              <w:rPr>
                <w:sz w:val="20"/>
                <w:szCs w:val="20"/>
                <w:color w:val="auto"/>
              </w:rPr>
            </w:pPr>
            <w:r>
              <w:rPr>
                <w:rFonts w:ascii="Arial" w:cs="Arial" w:eastAsia="Arial" w:hAnsi="Arial"/>
                <w:sz w:val="12"/>
                <w:szCs w:val="12"/>
                <w:color w:val="auto"/>
              </w:rPr>
              <w:t>3 year high water mark</w:t>
            </w:r>
          </w:p>
        </w:tc>
        <w:tc>
          <w:tcPr>
            <w:tcW w:w="280" w:type="dxa"/>
            <w:vAlign w:val="bottom"/>
          </w:tcPr>
          <w:p>
            <w:pPr>
              <w:jc w:val="right"/>
              <w:spacing w:after="0"/>
              <w:rPr>
                <w:sz w:val="20"/>
                <w:szCs w:val="20"/>
                <w:color w:val="auto"/>
              </w:rPr>
            </w:pPr>
            <w:r>
              <w:rPr>
                <w:rFonts w:ascii="Arial" w:cs="Arial" w:eastAsia="Arial" w:hAnsi="Arial"/>
                <w:sz w:val="12"/>
                <w:szCs w:val="12"/>
                <w:color w:val="auto"/>
                <w:w w:val="87"/>
              </w:rPr>
              <w:t>19 %</w:t>
            </w: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w w:val="87"/>
              </w:rPr>
              <w:t>21 %</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14 %</w:t>
            </w:r>
          </w:p>
        </w:tc>
        <w:tc>
          <w:tcPr>
            <w:tcW w:w="10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20 %</w:t>
            </w:r>
          </w:p>
        </w:tc>
      </w:tr>
    </w:tbl>
    <w:p>
      <w:pPr>
        <w:spacing w:after="0" w:line="194" w:lineRule="exact"/>
        <w:rPr>
          <w:sz w:val="20"/>
          <w:szCs w:val="20"/>
          <w:color w:val="auto"/>
        </w:rPr>
      </w:pPr>
    </w:p>
    <w:p>
      <w:pPr>
        <w:ind w:left="540" w:right="20" w:hanging="267"/>
        <w:spacing w:after="0" w:line="266" w:lineRule="auto"/>
        <w:tabs>
          <w:tab w:leader="none" w:pos="536" w:val="left"/>
        </w:tabs>
        <w:numPr>
          <w:ilvl w:val="0"/>
          <w:numId w:val="22"/>
        </w:numPr>
        <w:rPr>
          <w:rFonts w:ascii="Arial" w:cs="Arial" w:eastAsia="Arial" w:hAnsi="Arial"/>
          <w:sz w:val="15"/>
          <w:szCs w:val="15"/>
          <w:color w:val="auto"/>
        </w:rPr>
      </w:pPr>
      <w:r>
        <w:rPr>
          <w:rFonts w:ascii="Arial" w:cs="Arial" w:eastAsia="Arial" w:hAnsi="Arial"/>
          <w:sz w:val="15"/>
          <w:szCs w:val="15"/>
          <w:color w:val="auto"/>
        </w:rPr>
        <w:t>Actual amounts credited to contractholder fund balances may differ from the index appreciation due to contractual features in the FIA contracts (caps, spreads and participation rates) which allow F&amp;G to manage the cost of the options purchased to fund the annual index credits.</w:t>
      </w:r>
    </w:p>
    <w:p>
      <w:pPr>
        <w:spacing w:after="0" w:line="81" w:lineRule="exact"/>
        <w:rPr>
          <w:rFonts w:ascii="Arial" w:cs="Arial" w:eastAsia="Arial" w:hAnsi="Arial"/>
          <w:sz w:val="15"/>
          <w:szCs w:val="15"/>
          <w:color w:val="auto"/>
        </w:rPr>
      </w:pPr>
    </w:p>
    <w:p>
      <w:pPr>
        <w:ind w:left="540" w:hanging="267"/>
        <w:spacing w:after="0" w:line="266" w:lineRule="auto"/>
        <w:tabs>
          <w:tab w:leader="none" w:pos="536"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credits for the periods presented were based on comparing the S&amp;P 500 Index on each issue date in the period to the same issue date in the respective prior year periods. Surrender charges were higher in the prior year periods, primarily due to a higher number of universal life policy surrenders.</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Expenses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Benefits and other changes in policy reserves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Below is a summary of the major components included in Benefits and other changes in policy reserves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5280" w:type="dxa"/>
            <w:vAlign w:val="bottom"/>
          </w:tcPr>
          <w:p>
            <w:pPr>
              <w:spacing w:after="0"/>
              <w:rPr>
                <w:sz w:val="12"/>
                <w:szCs w:val="12"/>
                <w:color w:val="auto"/>
              </w:rPr>
            </w:pPr>
          </w:p>
        </w:tc>
        <w:tc>
          <w:tcPr>
            <w:tcW w:w="266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0"/>
                <w:szCs w:val="10"/>
                <w:b w:val="1"/>
                <w:bCs w:val="1"/>
                <w:color w:val="auto"/>
              </w:rPr>
              <w:t>Three months ended</w:t>
            </w:r>
          </w:p>
        </w:tc>
        <w:tc>
          <w:tcPr>
            <w:tcW w:w="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Nine months ended</w:t>
            </w: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223"/>
              <w:spacing w:after="0"/>
              <w:rPr>
                <w:sz w:val="20"/>
                <w:szCs w:val="20"/>
                <w:color w:val="auto"/>
              </w:rPr>
            </w:pPr>
            <w:r>
              <w:rPr>
                <w:rFonts w:ascii="Arial" w:cs="Arial" w:eastAsia="Arial" w:hAnsi="Arial"/>
                <w:sz w:val="10"/>
                <w:szCs w:val="10"/>
                <w:b w:val="1"/>
                <w:bCs w:val="1"/>
                <w:color w:val="auto"/>
              </w:rPr>
              <w:t>Four months ended</w:t>
            </w:r>
          </w:p>
        </w:tc>
      </w:tr>
      <w:tr>
        <w:trPr>
          <w:trHeight w:val="137"/>
        </w:trPr>
        <w:tc>
          <w:tcPr>
            <w:tcW w:w="528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b w:val="1"/>
                <w:bCs w:val="1"/>
                <w:color w:val="auto"/>
              </w:rPr>
              <w:t>September 30, 2021</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b w:val="1"/>
                <w:bCs w:val="1"/>
                <w:color w:val="auto"/>
              </w:rPr>
              <w:t>September 30, 2020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ind w:left="100"/>
              <w:spacing w:after="0"/>
              <w:rPr>
                <w:sz w:val="20"/>
                <w:szCs w:val="20"/>
                <w:color w:val="auto"/>
              </w:rPr>
            </w:pPr>
            <w:r>
              <w:rPr>
                <w:rFonts w:ascii="Arial" w:cs="Arial" w:eastAsia="Arial" w:hAnsi="Arial"/>
                <w:sz w:val="10"/>
                <w:szCs w:val="10"/>
                <w:b w:val="1"/>
                <w:bCs w:val="1"/>
                <w:color w:val="auto"/>
              </w:rPr>
              <w:t>September 30, 2021</w:t>
            </w:r>
          </w:p>
        </w:tc>
        <w:tc>
          <w:tcPr>
            <w:tcW w:w="180" w:type="dxa"/>
            <w:vAlign w:val="bottom"/>
          </w:tcPr>
          <w:p>
            <w:pPr>
              <w:spacing w:after="0"/>
              <w:rPr>
                <w:sz w:val="11"/>
                <w:szCs w:val="11"/>
                <w:color w:val="auto"/>
              </w:rPr>
            </w:pPr>
          </w:p>
        </w:tc>
        <w:tc>
          <w:tcPr>
            <w:tcW w:w="1240" w:type="dxa"/>
            <w:vAlign w:val="bottom"/>
          </w:tcPr>
          <w:p>
            <w:pPr>
              <w:jc w:val="right"/>
              <w:ind w:right="223"/>
              <w:spacing w:after="0"/>
              <w:rPr>
                <w:sz w:val="20"/>
                <w:szCs w:val="20"/>
                <w:color w:val="auto"/>
              </w:rPr>
            </w:pPr>
            <w:r>
              <w:rPr>
                <w:rFonts w:ascii="Arial" w:cs="Arial" w:eastAsia="Arial" w:hAnsi="Arial"/>
                <w:sz w:val="10"/>
                <w:szCs w:val="10"/>
                <w:b w:val="1"/>
                <w:bCs w:val="1"/>
                <w:color w:val="auto"/>
              </w:rPr>
              <w:t>September 30, 2020</w:t>
            </w:r>
          </w:p>
        </w:tc>
      </w:tr>
      <w:tr>
        <w:trPr>
          <w:trHeight w:val="150"/>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FIA embedded derivative impact</w:t>
            </w:r>
          </w:p>
        </w:tc>
        <w:tc>
          <w:tcPr>
            <w:tcW w:w="1140" w:type="dxa"/>
            <w:vAlign w:val="bottom"/>
            <w:tcBorders>
              <w:top w:val="single" w:sz="8" w:color="auto"/>
            </w:tcBorders>
            <w:shd w:val="clear" w:color="auto" w:fill="CCEEFF"/>
          </w:tcPr>
          <w:p>
            <w:pPr>
              <w:jc w:val="right"/>
              <w:ind w:right="1031"/>
              <w:spacing w:after="0"/>
              <w:rPr>
                <w:sz w:val="20"/>
                <w:szCs w:val="20"/>
                <w:color w:val="auto"/>
              </w:rPr>
            </w:pPr>
            <w:r>
              <w:rPr>
                <w:rFonts w:ascii="Arial" w:cs="Arial" w:eastAsia="Arial" w:hAnsi="Arial"/>
                <w:sz w:val="9"/>
                <w:szCs w:val="9"/>
                <w:color w:val="auto"/>
                <w:w w:val="78"/>
              </w:rPr>
              <w:t>$</w:t>
            </w:r>
          </w:p>
        </w:tc>
        <w:tc>
          <w:tcPr>
            <w:tcW w:w="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5"/>
              </w:rPr>
              <w:t>(547)</w:t>
            </w: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right"/>
              <w:ind w:right="1051"/>
              <w:spacing w:after="0"/>
              <w:rPr>
                <w:sz w:val="20"/>
                <w:szCs w:val="20"/>
                <w:color w:val="auto"/>
              </w:rPr>
            </w:pPr>
            <w:r>
              <w:rPr>
                <w:rFonts w:ascii="Arial" w:cs="Arial" w:eastAsia="Arial" w:hAnsi="Arial"/>
                <w:sz w:val="9"/>
                <w:szCs w:val="9"/>
                <w:color w:val="auto"/>
                <w:w w:val="78"/>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shd w:val="clear" w:color="auto" w:fill="CCEEFF"/>
          </w:tcPr>
          <w:p>
            <w:pPr>
              <w:jc w:val="center"/>
              <w:ind w:left="883"/>
              <w:spacing w:after="0"/>
              <w:rPr>
                <w:sz w:val="20"/>
                <w:szCs w:val="20"/>
                <w:color w:val="auto"/>
              </w:rPr>
            </w:pPr>
            <w:r>
              <w:rPr>
                <w:rFonts w:ascii="Arial" w:cs="Arial" w:eastAsia="Arial" w:hAnsi="Arial"/>
                <w:sz w:val="12"/>
                <w:szCs w:val="12"/>
                <w:color w:val="auto"/>
                <w:w w:val="92"/>
              </w:rPr>
              <w:t>(611)</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126</w:t>
            </w:r>
          </w:p>
        </w:tc>
      </w:tr>
      <w:tr>
        <w:trPr>
          <w:trHeight w:val="152"/>
        </w:trPr>
        <w:tc>
          <w:tcPr>
            <w:tcW w:w="5280" w:type="dxa"/>
            <w:vAlign w:val="bottom"/>
          </w:tcPr>
          <w:p>
            <w:pPr>
              <w:ind w:left="20"/>
              <w:spacing w:after="0"/>
              <w:rPr>
                <w:sz w:val="20"/>
                <w:szCs w:val="20"/>
                <w:color w:val="auto"/>
              </w:rPr>
            </w:pPr>
            <w:r>
              <w:rPr>
                <w:rFonts w:ascii="Arial" w:cs="Arial" w:eastAsia="Arial" w:hAnsi="Arial"/>
                <w:sz w:val="12"/>
                <w:szCs w:val="12"/>
                <w:color w:val="auto"/>
              </w:rPr>
              <w:t>Index credits, interest credited &amp; bonuses</w:t>
            </w:r>
          </w:p>
        </w:tc>
        <w:tc>
          <w:tcPr>
            <w:tcW w:w="1140" w:type="dxa"/>
            <w:vAlign w:val="bottom"/>
          </w:tcPr>
          <w:p>
            <w:pPr>
              <w:spacing w:after="0"/>
              <w:rPr>
                <w:sz w:val="13"/>
                <w:szCs w:val="13"/>
                <w:color w:val="auto"/>
              </w:rPr>
            </w:pPr>
          </w:p>
        </w:tc>
        <w:tc>
          <w:tcPr>
            <w:tcW w:w="260" w:type="dxa"/>
            <w:vAlign w:val="bottom"/>
          </w:tcPr>
          <w:p>
            <w:pPr>
              <w:jc w:val="center"/>
              <w:spacing w:after="0"/>
              <w:rPr>
                <w:sz w:val="20"/>
                <w:szCs w:val="20"/>
                <w:color w:val="auto"/>
              </w:rPr>
            </w:pPr>
            <w:r>
              <w:rPr>
                <w:rFonts w:ascii="Arial" w:cs="Arial" w:eastAsia="Arial" w:hAnsi="Arial"/>
                <w:sz w:val="12"/>
                <w:szCs w:val="12"/>
                <w:color w:val="auto"/>
                <w:w w:val="89"/>
              </w:rPr>
              <w:t>289</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w w:val="89"/>
              </w:rPr>
              <w:t>133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center"/>
              <w:ind w:left="883"/>
              <w:spacing w:after="0"/>
              <w:rPr>
                <w:sz w:val="20"/>
                <w:szCs w:val="20"/>
                <w:color w:val="auto"/>
              </w:rPr>
            </w:pPr>
            <w:r>
              <w:rPr>
                <w:rFonts w:ascii="Arial" w:cs="Arial" w:eastAsia="Arial" w:hAnsi="Arial"/>
                <w:sz w:val="12"/>
                <w:szCs w:val="12"/>
                <w:color w:val="auto"/>
                <w:w w:val="89"/>
              </w:rPr>
              <w:t>725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2"/>
                <w:szCs w:val="12"/>
                <w:color w:val="auto"/>
              </w:rPr>
              <w:t>174</w:t>
            </w:r>
          </w:p>
        </w:tc>
      </w:tr>
      <w:tr>
        <w:trPr>
          <w:trHeight w:val="157"/>
        </w:trPr>
        <w:tc>
          <w:tcPr>
            <w:tcW w:w="5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Annuity payments</w:t>
            </w:r>
          </w:p>
        </w:tc>
        <w:tc>
          <w:tcPr>
            <w:tcW w:w="1140" w:type="dxa"/>
            <w:vAlign w:val="bottom"/>
            <w:shd w:val="clear" w:color="auto" w:fill="CCEEFF"/>
          </w:tcPr>
          <w:p>
            <w:pPr>
              <w:spacing w:after="0"/>
              <w:rPr>
                <w:sz w:val="13"/>
                <w:szCs w:val="13"/>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312</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center"/>
              <w:ind w:left="883"/>
              <w:spacing w:after="0"/>
              <w:rPr>
                <w:sz w:val="20"/>
                <w:szCs w:val="20"/>
                <w:color w:val="auto"/>
              </w:rPr>
            </w:pPr>
            <w:r>
              <w:rPr>
                <w:rFonts w:ascii="Arial" w:cs="Arial" w:eastAsia="Arial" w:hAnsi="Arial"/>
                <w:sz w:val="12"/>
                <w:szCs w:val="12"/>
                <w:color w:val="auto"/>
                <w:w w:val="89"/>
              </w:rPr>
              <w:t>399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11</w:t>
            </w:r>
          </w:p>
        </w:tc>
      </w:tr>
      <w:tr>
        <w:trPr>
          <w:trHeight w:val="152"/>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w:t>
            </w:r>
          </w:p>
        </w:tc>
        <w:tc>
          <w:tcPr>
            <w:tcW w:w="1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131</w:t>
            </w:r>
          </w:p>
        </w:tc>
        <w:tc>
          <w:tcPr>
            <w:tcW w:w="1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left="883"/>
              <w:spacing w:after="0"/>
              <w:rPr>
                <w:sz w:val="20"/>
                <w:szCs w:val="20"/>
                <w:color w:val="auto"/>
              </w:rPr>
            </w:pPr>
            <w:r>
              <w:rPr>
                <w:rFonts w:ascii="Arial" w:cs="Arial" w:eastAsia="Arial" w:hAnsi="Arial"/>
                <w:sz w:val="12"/>
                <w:szCs w:val="12"/>
                <w:color w:val="auto"/>
                <w:w w:val="89"/>
              </w:rPr>
              <w:t>221</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95</w:t>
            </w:r>
          </w:p>
        </w:tc>
      </w:tr>
      <w:tr>
        <w:trPr>
          <w:trHeight w:val="173"/>
        </w:trPr>
        <w:tc>
          <w:tcPr>
            <w:tcW w:w="5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b w:val="1"/>
                <w:bCs w:val="1"/>
                <w:color w:val="auto"/>
              </w:rPr>
              <w:t>Total benefits and other changes in policy reserves</w:t>
            </w:r>
          </w:p>
        </w:tc>
        <w:tc>
          <w:tcPr>
            <w:tcW w:w="1140" w:type="dxa"/>
            <w:vAlign w:val="bottom"/>
            <w:tcBorders>
              <w:bottom w:val="single" w:sz="8" w:color="auto"/>
            </w:tcBorders>
            <w:shd w:val="clear" w:color="auto" w:fill="CCEEFF"/>
          </w:tcPr>
          <w:p>
            <w:pPr>
              <w:jc w:val="right"/>
              <w:ind w:right="1031"/>
              <w:spacing w:after="0"/>
              <w:rPr>
                <w:sz w:val="20"/>
                <w:szCs w:val="20"/>
                <w:color w:val="auto"/>
              </w:rPr>
            </w:pPr>
            <w:r>
              <w:rPr>
                <w:rFonts w:ascii="Arial" w:cs="Arial" w:eastAsia="Arial" w:hAnsi="Arial"/>
                <w:sz w:val="9"/>
                <w:szCs w:val="9"/>
                <w:color w:val="auto"/>
                <w:w w:val="78"/>
              </w:rPr>
              <w:t>$</w:t>
            </w:r>
          </w:p>
        </w:tc>
        <w:tc>
          <w:tcPr>
            <w:tcW w:w="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185</w:t>
            </w:r>
          </w:p>
        </w:tc>
        <w:tc>
          <w:tcPr>
            <w:tcW w:w="1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1051"/>
              <w:spacing w:after="0"/>
              <w:rPr>
                <w:sz w:val="20"/>
                <w:szCs w:val="20"/>
                <w:color w:val="auto"/>
              </w:rPr>
            </w:pPr>
            <w:r>
              <w:rPr>
                <w:rFonts w:ascii="Arial" w:cs="Arial" w:eastAsia="Arial" w:hAnsi="Arial"/>
                <w:sz w:val="9"/>
                <w:szCs w:val="9"/>
                <w:color w:val="auto"/>
                <w:w w:val="78"/>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251</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center"/>
              <w:ind w:left="883"/>
              <w:spacing w:after="0"/>
              <w:rPr>
                <w:sz w:val="20"/>
                <w:szCs w:val="20"/>
                <w:color w:val="auto"/>
              </w:rPr>
            </w:pPr>
            <w:r>
              <w:rPr>
                <w:rFonts w:ascii="Arial" w:cs="Arial" w:eastAsia="Arial" w:hAnsi="Arial"/>
                <w:sz w:val="12"/>
                <w:szCs w:val="12"/>
                <w:color w:val="auto"/>
                <w:w w:val="89"/>
              </w:rPr>
              <w:t>734</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406</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jc w:val="both"/>
        <w:ind w:left="540" w:hanging="267"/>
        <w:spacing w:after="0" w:line="238" w:lineRule="auto"/>
        <w:tabs>
          <w:tab w:leader="none" w:pos="508" w:val="left"/>
        </w:tabs>
        <w:numPr>
          <w:ilvl w:val="0"/>
          <w:numId w:val="23"/>
        </w:numPr>
        <w:rPr>
          <w:rFonts w:ascii="Arial" w:cs="Arial" w:eastAsia="Arial" w:hAnsi="Arial"/>
          <w:sz w:val="15"/>
          <w:szCs w:val="15"/>
          <w:color w:val="auto"/>
        </w:rPr>
      </w:pPr>
      <w:r>
        <w:rPr>
          <w:rFonts w:ascii="Arial" w:cs="Arial" w:eastAsia="Arial" w:hAnsi="Arial"/>
          <w:sz w:val="14"/>
          <w:szCs w:val="14"/>
          <w:color w:val="auto"/>
        </w:rPr>
        <w:t>Annually, typically in the third quarter, we review assumptions associated with reserves for policy benefits and product guarantees. In addition, during the three months ended September 30 2021, we implemented a new actuarial valuations system, and as a result, our third quarter 2021 assumption updates include model refinements and assumption updates resulting from the implementation. The system implementation included refinements in the calculation of the fair value of the embedded derivative component of our fixed index annuities. These changes, taken together, resulted in a decrease in contractholder funds and future policy reserves of $397 million.</w:t>
      </w:r>
    </w:p>
    <w:p>
      <w:pPr>
        <w:spacing w:after="0" w:line="12" w:lineRule="exact"/>
        <w:rPr>
          <w:rFonts w:ascii="Arial" w:cs="Arial" w:eastAsia="Arial" w:hAnsi="Arial"/>
          <w:sz w:val="15"/>
          <w:szCs w:val="15"/>
          <w:color w:val="auto"/>
        </w:rPr>
      </w:pPr>
    </w:p>
    <w:p>
      <w:pPr>
        <w:jc w:val="both"/>
        <w:ind w:left="540" w:hanging="267"/>
        <w:spacing w:after="0" w:line="271" w:lineRule="auto"/>
        <w:tabs>
          <w:tab w:leader="none" w:pos="536"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 addition to the above, the FIA fair value option liability decreased, driven by the changes in the equity markets, change in non-performance spread, and risk free rates during the period. The change in risk free rates decreased the FIA embedded derivative liability by $15 million and $146 million during the three and nine months ended September 30, 2021, respectively. The change in non-performance spread increased the FIA embedded liability by $34 million and $95 million during the three and four months ended September 30, 2020, respectively, partially offset by a $7 million decrease in the liability due to movement of risk-free rates in both prior year periods. The remaining change in market value of the derivative assets hedging our FIA policies was driven by the system implementation discussed above and equity market impacts. See table in the net investment gains/losses discussion above for summary and discussion of net unrealized gains (losses) on certain derivative instruments.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7" w:name="page78"/>
    <w:bookmarkEnd w:id="77"/>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40" w:hanging="267"/>
        <w:spacing w:after="0"/>
        <w:tabs>
          <w:tab w:leader="none" w:pos="540" w:val="left"/>
        </w:tabs>
        <w:numPr>
          <w:ilvl w:val="0"/>
          <w:numId w:val="24"/>
        </w:numPr>
        <w:rPr>
          <w:rFonts w:ascii="Arial" w:cs="Arial" w:eastAsia="Arial" w:hAnsi="Arial"/>
          <w:sz w:val="14"/>
          <w:szCs w:val="14"/>
          <w:i w:val="1"/>
          <w:iCs w:val="1"/>
          <w:color w:val="auto"/>
        </w:rPr>
      </w:pPr>
      <w:r>
        <w:rPr>
          <w:rFonts w:ascii="Arial" w:cs="Arial" w:eastAsia="Arial" w:hAnsi="Arial"/>
          <w:sz w:val="14"/>
          <w:szCs w:val="14"/>
          <w:color w:val="auto"/>
        </w:rPr>
        <w:t>The index credits, interest credited &amp; bonuses were primarily due to index credits on FIA policies. Refer to average policyholder index discussion above for details on drivers.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Depreciation and amortization</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Below is a summary of the major components included in depreciation and amortization (in millions):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5260" w:type="dxa"/>
            <w:vAlign w:val="bottom"/>
          </w:tcPr>
          <w:p>
            <w:pPr>
              <w:spacing w:after="0"/>
              <w:rPr>
                <w:sz w:val="12"/>
                <w:szCs w:val="12"/>
                <w:color w:val="auto"/>
              </w:rPr>
            </w:pPr>
          </w:p>
        </w:tc>
        <w:tc>
          <w:tcPr>
            <w:tcW w:w="2680" w:type="dxa"/>
            <w:vAlign w:val="bottom"/>
            <w:tcBorders>
              <w:bottom w:val="single" w:sz="8" w:color="auto"/>
            </w:tcBorders>
            <w:gridSpan w:val="4"/>
          </w:tcPr>
          <w:p>
            <w:pPr>
              <w:jc w:val="right"/>
              <w:ind w:right="723"/>
              <w:spacing w:after="0"/>
              <w:rPr>
                <w:sz w:val="20"/>
                <w:szCs w:val="20"/>
                <w:color w:val="auto"/>
              </w:rPr>
            </w:pPr>
            <w:r>
              <w:rPr>
                <w:rFonts w:ascii="Arial" w:cs="Arial" w:eastAsia="Arial" w:hAnsi="Arial"/>
                <w:sz w:val="10"/>
                <w:szCs w:val="10"/>
                <w:b w:val="1"/>
                <w:bCs w:val="1"/>
                <w:color w:val="auto"/>
              </w:rPr>
              <w:t>Three months ended</w:t>
            </w:r>
          </w:p>
        </w:tc>
        <w:tc>
          <w:tcPr>
            <w:tcW w:w="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Nine months ended</w:t>
            </w: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223"/>
              <w:spacing w:after="0"/>
              <w:rPr>
                <w:sz w:val="20"/>
                <w:szCs w:val="20"/>
                <w:color w:val="auto"/>
              </w:rPr>
            </w:pPr>
            <w:r>
              <w:rPr>
                <w:rFonts w:ascii="Arial" w:cs="Arial" w:eastAsia="Arial" w:hAnsi="Arial"/>
                <w:sz w:val="10"/>
                <w:szCs w:val="10"/>
                <w:b w:val="1"/>
                <w:bCs w:val="1"/>
                <w:color w:val="auto"/>
              </w:rPr>
              <w:t>Four months ended</w:t>
            </w:r>
          </w:p>
        </w:tc>
      </w:tr>
      <w:tr>
        <w:trPr>
          <w:trHeight w:val="137"/>
        </w:trPr>
        <w:tc>
          <w:tcPr>
            <w:tcW w:w="52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b w:val="1"/>
                <w:bCs w:val="1"/>
                <w:color w:val="auto"/>
              </w:rPr>
              <w:t>September 30, 2021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b w:val="1"/>
                <w:bCs w:val="1"/>
                <w:color w:val="auto"/>
              </w:rPr>
              <w:t>September 30, 2020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ind w:left="100"/>
              <w:spacing w:after="0"/>
              <w:rPr>
                <w:sz w:val="20"/>
                <w:szCs w:val="20"/>
                <w:color w:val="auto"/>
              </w:rPr>
            </w:pPr>
            <w:r>
              <w:rPr>
                <w:rFonts w:ascii="Arial" w:cs="Arial" w:eastAsia="Arial" w:hAnsi="Arial"/>
                <w:sz w:val="10"/>
                <w:szCs w:val="10"/>
                <w:b w:val="1"/>
                <w:bCs w:val="1"/>
                <w:color w:val="auto"/>
              </w:rPr>
              <w:t>September 30, 2021</w:t>
            </w:r>
          </w:p>
        </w:tc>
        <w:tc>
          <w:tcPr>
            <w:tcW w:w="180" w:type="dxa"/>
            <w:vAlign w:val="bottom"/>
          </w:tcPr>
          <w:p>
            <w:pPr>
              <w:spacing w:after="0"/>
              <w:rPr>
                <w:sz w:val="11"/>
                <w:szCs w:val="11"/>
                <w:color w:val="auto"/>
              </w:rPr>
            </w:pPr>
          </w:p>
        </w:tc>
        <w:tc>
          <w:tcPr>
            <w:tcW w:w="1240" w:type="dxa"/>
            <w:vAlign w:val="bottom"/>
          </w:tcPr>
          <w:p>
            <w:pPr>
              <w:jc w:val="right"/>
              <w:ind w:right="223"/>
              <w:spacing w:after="0"/>
              <w:rPr>
                <w:sz w:val="20"/>
                <w:szCs w:val="20"/>
                <w:color w:val="auto"/>
              </w:rPr>
            </w:pPr>
            <w:r>
              <w:rPr>
                <w:rFonts w:ascii="Arial" w:cs="Arial" w:eastAsia="Arial" w:hAnsi="Arial"/>
                <w:sz w:val="10"/>
                <w:szCs w:val="10"/>
                <w:b w:val="1"/>
                <w:bCs w:val="1"/>
                <w:color w:val="auto"/>
              </w:rPr>
              <w:t>September 30, 2020</w:t>
            </w:r>
          </w:p>
        </w:tc>
      </w:tr>
      <w:tr>
        <w:trPr>
          <w:trHeight w:val="15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Amortization of DAC, VOBA, and DSI</w:t>
            </w:r>
          </w:p>
        </w:tc>
        <w:tc>
          <w:tcPr>
            <w:tcW w:w="1160" w:type="dxa"/>
            <w:vAlign w:val="bottom"/>
            <w:tcBorders>
              <w:top w:val="single" w:sz="8" w:color="auto"/>
            </w:tcBorders>
            <w:shd w:val="clear" w:color="auto" w:fill="CCEEFF"/>
          </w:tcPr>
          <w:p>
            <w:pPr>
              <w:jc w:val="right"/>
              <w:ind w:right="1051"/>
              <w:spacing w:after="0"/>
              <w:rPr>
                <w:sz w:val="20"/>
                <w:szCs w:val="20"/>
                <w:color w:val="auto"/>
              </w:rPr>
            </w:pPr>
            <w:r>
              <w:rPr>
                <w:rFonts w:ascii="Arial" w:cs="Arial" w:eastAsia="Arial" w:hAnsi="Arial"/>
                <w:sz w:val="9"/>
                <w:szCs w:val="9"/>
                <w:color w:val="auto"/>
                <w:w w:val="78"/>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204</w:t>
            </w:r>
          </w:p>
        </w:tc>
        <w:tc>
          <w:tcPr>
            <w:tcW w:w="10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ind w:right="1043"/>
              <w:spacing w:after="0"/>
              <w:rPr>
                <w:sz w:val="20"/>
                <w:szCs w:val="20"/>
                <w:color w:val="auto"/>
              </w:rPr>
            </w:pPr>
            <w:r>
              <w:rPr>
                <w:rFonts w:ascii="Arial" w:cs="Arial" w:eastAsia="Arial" w:hAnsi="Arial"/>
                <w:sz w:val="12"/>
                <w:szCs w:val="12"/>
                <w:color w:val="auto"/>
                <w:w w:val="89"/>
              </w:rPr>
              <w:t>$</w:t>
            </w:r>
          </w:p>
        </w:tc>
        <w:tc>
          <w:tcPr>
            <w:tcW w:w="2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58</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436</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61</w:t>
            </w:r>
          </w:p>
        </w:tc>
      </w:tr>
      <w:tr>
        <w:trPr>
          <w:trHeight w:val="152"/>
        </w:trPr>
        <w:tc>
          <w:tcPr>
            <w:tcW w:w="5260" w:type="dxa"/>
            <w:vAlign w:val="bottom"/>
          </w:tcPr>
          <w:p>
            <w:pPr>
              <w:spacing w:after="0"/>
              <w:rPr>
                <w:sz w:val="20"/>
                <w:szCs w:val="20"/>
                <w:color w:val="auto"/>
              </w:rPr>
            </w:pPr>
            <w:r>
              <w:rPr>
                <w:rFonts w:ascii="Arial" w:cs="Arial" w:eastAsia="Arial" w:hAnsi="Arial"/>
                <w:sz w:val="12"/>
                <w:szCs w:val="12"/>
                <w:color w:val="auto"/>
              </w:rPr>
              <w:t>Interest</w:t>
            </w:r>
          </w:p>
        </w:tc>
        <w:tc>
          <w:tcPr>
            <w:tcW w:w="116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w w:val="93"/>
              </w:rPr>
              <w:t>(12)</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157"/>
        </w:trPr>
        <w:tc>
          <w:tcPr>
            <w:tcW w:w="5260" w:type="dxa"/>
            <w:vAlign w:val="bottom"/>
            <w:shd w:val="clear" w:color="auto" w:fill="CCEEFF"/>
          </w:tcPr>
          <w:p>
            <w:pPr>
              <w:spacing w:after="0"/>
              <w:rPr>
                <w:sz w:val="20"/>
                <w:szCs w:val="20"/>
                <w:color w:val="auto"/>
              </w:rPr>
            </w:pPr>
            <w:r>
              <w:rPr>
                <w:rFonts w:ascii="Arial" w:cs="Arial" w:eastAsia="Arial" w:hAnsi="Arial"/>
                <w:sz w:val="12"/>
                <w:szCs w:val="12"/>
                <w:color w:val="auto"/>
              </w:rPr>
              <w:t>Unlocking</w:t>
            </w:r>
          </w:p>
        </w:tc>
        <w:tc>
          <w:tcPr>
            <w:tcW w:w="116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w:t>
            </w:r>
          </w:p>
        </w:tc>
      </w:tr>
      <w:tr>
        <w:trPr>
          <w:trHeight w:val="152"/>
        </w:trPr>
        <w:tc>
          <w:tcPr>
            <w:tcW w:w="5260" w:type="dxa"/>
            <w:vAlign w:val="bottom"/>
          </w:tcPr>
          <w:p>
            <w:pPr>
              <w:spacing w:after="0"/>
              <w:rPr>
                <w:sz w:val="20"/>
                <w:szCs w:val="20"/>
                <w:color w:val="auto"/>
              </w:rPr>
            </w:pPr>
            <w:r>
              <w:rPr>
                <w:rFonts w:ascii="Arial" w:cs="Arial" w:eastAsia="Arial" w:hAnsi="Arial"/>
                <w:sz w:val="12"/>
                <w:szCs w:val="12"/>
                <w:color w:val="auto"/>
              </w:rPr>
              <w:t>Amortization of other intangible assets and other depreciation</w:t>
            </w:r>
          </w:p>
        </w:tc>
        <w:tc>
          <w:tcPr>
            <w:tcW w:w="1160" w:type="dxa"/>
            <w:vAlign w:val="bottom"/>
          </w:tcPr>
          <w:p>
            <w:pPr>
              <w:jc w:val="right"/>
              <w:ind w:right="1051"/>
              <w:spacing w:after="0"/>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1043"/>
              <w:spacing w:after="0"/>
              <w:rPr>
                <w:sz w:val="20"/>
                <w:szCs w:val="20"/>
                <w:color w:val="auto"/>
              </w:rPr>
            </w:pPr>
            <w:r>
              <w:rPr>
                <w:rFonts w:ascii="Arial" w:cs="Arial" w:eastAsia="Arial" w:hAnsi="Arial"/>
                <w:sz w:val="12"/>
                <w:szCs w:val="12"/>
                <w:color w:val="auto"/>
                <w:w w:val="89"/>
              </w:rPr>
              <w:t>$</w:t>
            </w:r>
          </w:p>
        </w:tc>
        <w:tc>
          <w:tcPr>
            <w:tcW w:w="240" w:type="dxa"/>
            <w:vAlign w:val="bottom"/>
          </w:tcPr>
          <w:p>
            <w:pPr>
              <w:jc w:val="right"/>
              <w:ind w:right="1"/>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3"/>
                <w:szCs w:val="13"/>
                <w:color w:val="auto"/>
              </w:rPr>
            </w:pPr>
          </w:p>
        </w:tc>
        <w:tc>
          <w:tcPr>
            <w:tcW w:w="180" w:type="dxa"/>
            <w:vAlign w:val="bottom"/>
          </w:tcPr>
          <w:p>
            <w:pPr>
              <w:jc w:val="right"/>
              <w:ind w:right="41"/>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3"/>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180" w:type="dxa"/>
            <w:vAlign w:val="bottom"/>
          </w:tcPr>
          <w:p>
            <w:pPr>
              <w:jc w:val="right"/>
              <w:ind w:right="41"/>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3"/>
              <w:spacing w:after="0"/>
              <w:rPr>
                <w:sz w:val="20"/>
                <w:szCs w:val="20"/>
                <w:color w:val="auto"/>
              </w:rPr>
            </w:pPr>
            <w:r>
              <w:rPr>
                <w:rFonts w:ascii="Arial" w:cs="Arial" w:eastAsia="Arial" w:hAnsi="Arial"/>
                <w:sz w:val="12"/>
                <w:szCs w:val="12"/>
                <w:color w:val="auto"/>
              </w:rPr>
              <w:t>9</w:t>
            </w:r>
          </w:p>
        </w:tc>
      </w:tr>
      <w:tr>
        <w:trPr>
          <w:trHeight w:val="173"/>
        </w:trPr>
        <w:tc>
          <w:tcPr>
            <w:tcW w:w="52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2"/>
                <w:szCs w:val="12"/>
                <w:b w:val="1"/>
                <w:bCs w:val="1"/>
                <w:color w:val="auto"/>
              </w:rPr>
              <w:t>Total depreciation and amortization</w:t>
            </w:r>
          </w:p>
        </w:tc>
        <w:tc>
          <w:tcPr>
            <w:tcW w:w="1160" w:type="dxa"/>
            <w:vAlign w:val="bottom"/>
            <w:tcBorders>
              <w:top w:val="single" w:sz="8" w:color="auto"/>
              <w:bottom w:val="single" w:sz="8" w:color="auto"/>
            </w:tcBorders>
            <w:shd w:val="clear" w:color="auto" w:fill="CCEEFF"/>
          </w:tcPr>
          <w:p>
            <w:pPr>
              <w:jc w:val="right"/>
              <w:ind w:right="1051"/>
              <w:spacing w:after="0"/>
              <w:rPr>
                <w:sz w:val="20"/>
                <w:szCs w:val="20"/>
                <w:color w:val="auto"/>
              </w:rPr>
            </w:pPr>
            <w:r>
              <w:rPr>
                <w:rFonts w:ascii="Arial" w:cs="Arial" w:eastAsia="Arial" w:hAnsi="Arial"/>
                <w:sz w:val="9"/>
                <w:szCs w:val="9"/>
                <w:color w:val="auto"/>
                <w:w w:val="78"/>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210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jc w:val="right"/>
              <w:ind w:right="1043"/>
              <w:spacing w:after="0"/>
              <w:rPr>
                <w:sz w:val="20"/>
                <w:szCs w:val="20"/>
                <w:color w:val="auto"/>
              </w:rPr>
            </w:pPr>
            <w:r>
              <w:rPr>
                <w:rFonts w:ascii="Arial" w:cs="Arial" w:eastAsia="Arial" w:hAnsi="Arial"/>
                <w:sz w:val="12"/>
                <w:szCs w:val="12"/>
                <w:color w:val="auto"/>
                <w:w w:val="89"/>
              </w:rPr>
              <w:t>$</w:t>
            </w:r>
          </w:p>
        </w:tc>
        <w:tc>
          <w:tcPr>
            <w:tcW w:w="2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419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59</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jc w:val="both"/>
        <w:ind w:left="540" w:hanging="267"/>
        <w:spacing w:after="0" w:line="230" w:lineRule="auto"/>
        <w:tabs>
          <w:tab w:leader="none" w:pos="514" w:val="left"/>
        </w:tabs>
        <w:numPr>
          <w:ilvl w:val="0"/>
          <w:numId w:val="25"/>
        </w:numPr>
        <w:rPr>
          <w:rFonts w:ascii="Arial" w:cs="Arial" w:eastAsia="Arial" w:hAnsi="Arial"/>
          <w:sz w:val="15"/>
          <w:szCs w:val="15"/>
          <w:color w:val="auto"/>
        </w:rPr>
      </w:pPr>
      <w:r>
        <w:rPr>
          <w:rFonts w:ascii="Arial" w:cs="Arial" w:eastAsia="Arial" w:hAnsi="Arial"/>
          <w:sz w:val="15"/>
          <w:szCs w:val="15"/>
          <w:color w:val="auto"/>
        </w:rPr>
        <w:t>Annually, typically in the third quarter, we review assumptions associated with the amortization of intangibles. In addition, during the three months ended September 30 2021, we implemented a new actuarial valuations system and as a result, our third quarter 2021 assumption updates include model refinements and assumption updates resulting from the implementation. The changes, taken together, increased amortization of intangibles by $136 million.</w:t>
      </w:r>
    </w:p>
    <w:p>
      <w:pPr>
        <w:spacing w:after="0" w:line="34" w:lineRule="exact"/>
        <w:rPr>
          <w:rFonts w:ascii="Arial" w:cs="Arial" w:eastAsia="Arial" w:hAnsi="Arial"/>
          <w:sz w:val="15"/>
          <w:szCs w:val="15"/>
          <w:color w:val="auto"/>
        </w:rPr>
      </w:pPr>
    </w:p>
    <w:p>
      <w:pPr>
        <w:ind w:left="540" w:hanging="267"/>
        <w:spacing w:after="0" w:line="266" w:lineRule="auto"/>
        <w:tabs>
          <w:tab w:leader="none" w:pos="536" w:val="left"/>
        </w:tabs>
        <w:numPr>
          <w:ilvl w:val="0"/>
          <w:numId w:val="25"/>
        </w:numPr>
        <w:rPr>
          <w:rFonts w:ascii="Arial" w:cs="Arial" w:eastAsia="Arial" w:hAnsi="Arial"/>
          <w:sz w:val="15"/>
          <w:szCs w:val="15"/>
          <w:color w:val="auto"/>
        </w:rPr>
      </w:pPr>
      <w:r>
        <w:rPr>
          <w:rFonts w:ascii="Arial" w:cs="Arial" w:eastAsia="Arial" w:hAnsi="Arial"/>
          <w:sz w:val="15"/>
          <w:szCs w:val="15"/>
          <w:color w:val="auto"/>
        </w:rPr>
        <w:t>Amortization of DAC, VOBA, and DSI is based on current and future expected gross margins (pre-tax operating income before amortization). The amortization for the periods presented is the result of actual gross profits ("AGPs") in the period.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items affecting net earnings</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tax expense (benefit)</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Below is a summary of the major components included in income tax expense (benefit) (dollars in millions):</w:t>
      </w:r>
    </w:p>
    <w:p>
      <w:pPr>
        <w:sectPr>
          <w:pgSz w:w="11900" w:h="16838" w:orient="portrait"/>
          <w:cols w:equalWidth="0" w:num="1">
            <w:col w:w="11280"/>
          </w:cols>
          <w:pgMar w:left="300" w:top="129" w:right="319" w:bottom="1440" w:gutter="0" w:footer="0" w:header="0"/>
        </w:sectPr>
      </w:pPr>
    </w:p>
    <w:p>
      <w:pPr>
        <w:spacing w:after="0" w:line="176" w:lineRule="exact"/>
        <w:rPr>
          <w:sz w:val="20"/>
          <w:szCs w:val="20"/>
          <w:color w:val="auto"/>
        </w:rPr>
      </w:pPr>
    </w:p>
    <w:p>
      <w:pPr>
        <w:jc w:val="center"/>
        <w:ind w:left="5380"/>
        <w:spacing w:after="0"/>
        <w:rPr>
          <w:sz w:val="20"/>
          <w:szCs w:val="20"/>
          <w:color w:val="auto"/>
        </w:rPr>
      </w:pPr>
      <w:r>
        <w:rPr>
          <w:rFonts w:ascii="Arial" w:cs="Arial" w:eastAsia="Arial" w:hAnsi="Arial"/>
          <w:sz w:val="10"/>
          <w:szCs w:val="10"/>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3222625</wp:posOffset>
            </wp:positionH>
            <wp:positionV relativeFrom="paragraph">
              <wp:posOffset>20955</wp:posOffset>
            </wp:positionV>
            <wp:extent cx="192087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20875" cy="6985"/>
                    </a:xfrm>
                    <a:prstGeom prst="rect">
                      <a:avLst/>
                    </a:prstGeom>
                    <a:noFill/>
                  </pic:spPr>
                </pic:pic>
              </a:graphicData>
            </a:graphic>
          </wp:anchor>
        </w:drawing>
      </w:r>
    </w:p>
    <w:p>
      <w:pPr>
        <w:spacing w:after="0" w:line="20" w:lineRule="exact"/>
        <w:rPr>
          <w:sz w:val="20"/>
          <w:szCs w:val="20"/>
          <w:color w:val="auto"/>
        </w:rPr>
      </w:pPr>
    </w:p>
    <w:p>
      <w:pPr>
        <w:ind w:left="5380"/>
        <w:spacing w:after="0"/>
        <w:tabs>
          <w:tab w:leader="none" w:pos="6920" w:val="left"/>
        </w:tabs>
        <w:rPr>
          <w:sz w:val="20"/>
          <w:szCs w:val="20"/>
          <w:color w:val="auto"/>
        </w:rPr>
      </w:pPr>
      <w:r>
        <w:rPr>
          <w:rFonts w:ascii="Arial" w:cs="Arial" w:eastAsia="Arial" w:hAnsi="Arial"/>
          <w:sz w:val="10"/>
          <w:szCs w:val="10"/>
          <w:b w:val="1"/>
          <w:bCs w:val="1"/>
          <w:color w:val="auto"/>
        </w:rPr>
        <w:t>September 30, 2021</w:t>
      </w:r>
      <w:r>
        <w:rPr>
          <w:sz w:val="20"/>
          <w:szCs w:val="20"/>
          <w:color w:val="auto"/>
        </w:rPr>
        <w:tab/>
      </w:r>
      <w:r>
        <w:rPr>
          <w:rFonts w:ascii="Arial" w:cs="Arial" w:eastAsia="Arial" w:hAnsi="Arial"/>
          <w:sz w:val="9"/>
          <w:szCs w:val="9"/>
          <w:b w:val="1"/>
          <w:bCs w:val="1"/>
          <w:color w:val="auto"/>
        </w:rPr>
        <w:t>September 30, 2020</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1"/>
        </w:trPr>
        <w:tc>
          <w:tcPr>
            <w:tcW w:w="1520" w:type="dxa"/>
            <w:vAlign w:val="bottom"/>
            <w:tcBorders>
              <w:bottom w:val="single" w:sz="8" w:color="auto"/>
            </w:tcBorders>
          </w:tcPr>
          <w:p>
            <w:pPr>
              <w:ind w:left="300"/>
              <w:spacing w:after="0"/>
              <w:rPr>
                <w:sz w:val="20"/>
                <w:szCs w:val="20"/>
                <w:color w:val="auto"/>
              </w:rPr>
            </w:pPr>
            <w:r>
              <w:rPr>
                <w:rFonts w:ascii="Arial" w:cs="Arial" w:eastAsia="Arial" w:hAnsi="Arial"/>
                <w:sz w:val="10"/>
                <w:szCs w:val="10"/>
                <w:b w:val="1"/>
                <w:bCs w:val="1"/>
                <w:color w:val="auto"/>
              </w:rPr>
              <w:t>Nine months ended</w:t>
            </w:r>
          </w:p>
        </w:tc>
        <w:tc>
          <w:tcPr>
            <w:tcW w:w="1520" w:type="dxa"/>
            <w:vAlign w:val="bottom"/>
            <w:tcBorders>
              <w:bottom w:val="single" w:sz="8" w:color="auto"/>
            </w:tcBorders>
          </w:tcPr>
          <w:p>
            <w:pPr>
              <w:ind w:left="360"/>
              <w:spacing w:after="0"/>
              <w:rPr>
                <w:sz w:val="20"/>
                <w:szCs w:val="20"/>
                <w:color w:val="auto"/>
              </w:rPr>
            </w:pPr>
            <w:r>
              <w:rPr>
                <w:rFonts w:ascii="Arial" w:cs="Arial" w:eastAsia="Arial" w:hAnsi="Arial"/>
                <w:sz w:val="10"/>
                <w:szCs w:val="10"/>
                <w:b w:val="1"/>
                <w:bCs w:val="1"/>
                <w:color w:val="auto"/>
              </w:rPr>
              <w:t>Four months ended</w:t>
            </w:r>
          </w:p>
        </w:tc>
      </w:tr>
      <w:tr>
        <w:trPr>
          <w:trHeight w:val="132"/>
        </w:trPr>
        <w:tc>
          <w:tcPr>
            <w:tcW w:w="1520" w:type="dxa"/>
            <w:vAlign w:val="bottom"/>
          </w:tcPr>
          <w:p>
            <w:pPr>
              <w:ind w:left="300"/>
              <w:spacing w:after="0"/>
              <w:rPr>
                <w:sz w:val="20"/>
                <w:szCs w:val="20"/>
                <w:color w:val="auto"/>
              </w:rPr>
            </w:pPr>
            <w:r>
              <w:rPr>
                <w:rFonts w:ascii="Arial" w:cs="Arial" w:eastAsia="Arial" w:hAnsi="Arial"/>
                <w:sz w:val="10"/>
                <w:szCs w:val="10"/>
                <w:b w:val="1"/>
                <w:bCs w:val="1"/>
                <w:color w:val="auto"/>
              </w:rPr>
              <w:t>September 30, 2021</w:t>
            </w:r>
          </w:p>
        </w:tc>
        <w:tc>
          <w:tcPr>
            <w:tcW w:w="1520" w:type="dxa"/>
            <w:vAlign w:val="bottom"/>
          </w:tcPr>
          <w:p>
            <w:pPr>
              <w:ind w:left="360"/>
              <w:spacing w:after="0"/>
              <w:rPr>
                <w:sz w:val="20"/>
                <w:szCs w:val="20"/>
                <w:color w:val="auto"/>
              </w:rPr>
            </w:pPr>
            <w:r>
              <w:rPr>
                <w:rFonts w:ascii="Arial" w:cs="Arial" w:eastAsia="Arial" w:hAnsi="Arial"/>
                <w:sz w:val="10"/>
                <w:szCs w:val="10"/>
                <w:b w:val="1"/>
                <w:bCs w:val="1"/>
                <w:color w:val="auto"/>
              </w:rPr>
              <w:t>September 30, 2020</w:t>
            </w:r>
          </w:p>
        </w:tc>
      </w:tr>
    </w:tbl>
    <w:p>
      <w:pPr>
        <w:spacing w:after="0" w:line="1" w:lineRule="exact"/>
        <w:rPr>
          <w:sz w:val="20"/>
          <w:szCs w:val="20"/>
          <w:color w:val="auto"/>
        </w:rPr>
      </w:pPr>
    </w:p>
    <w:p>
      <w:pPr>
        <w:sectPr>
          <w:pgSz w:w="11900" w:h="16838" w:orient="portrait"/>
          <w:cols w:equalWidth="0" w:num="2">
            <w:col w:w="7800" w:space="420"/>
            <w:col w:w="3060"/>
          </w:cols>
          <w:pgMar w:left="300" w:top="129" w:right="319" w:bottom="1440" w:gutter="0" w:footer="0" w:header="0"/>
          <w:type w:val="continuous"/>
        </w:sectPr>
      </w:pPr>
    </w:p>
    <w:tbl>
      <w:tblPr>
        <w:tblLayout w:type="fixed"/>
        <w:tblInd w:w="40" w:type="dxa"/>
        <w:tblCellMar>
          <w:top w:w="0" w:type="dxa"/>
          <w:left w:w="0" w:type="dxa"/>
          <w:bottom w:w="0" w:type="dxa"/>
          <w:right w:w="0" w:type="dxa"/>
        </w:tblCellMar>
      </w:tblPr>
      <w:tr>
        <w:trPr>
          <w:trHeight w:val="155"/>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Income before taxes</w:t>
            </w:r>
          </w:p>
        </w:tc>
        <w:tc>
          <w:tcPr>
            <w:tcW w:w="600" w:type="dxa"/>
            <w:vAlign w:val="bottom"/>
            <w:tcBorders>
              <w:top w:val="single" w:sz="8" w:color="auto"/>
            </w:tcBorders>
            <w:shd w:val="clear" w:color="auto" w:fill="CCEEFF"/>
          </w:tcPr>
          <w:p>
            <w:pPr>
              <w:jc w:val="right"/>
              <w:ind w:right="493"/>
              <w:spacing w:after="0"/>
              <w:rPr>
                <w:sz w:val="20"/>
                <w:szCs w:val="20"/>
                <w:color w:val="auto"/>
              </w:rPr>
            </w:pPr>
            <w:r>
              <w:rPr>
                <w:rFonts w:ascii="Arial" w:cs="Arial" w:eastAsia="Arial" w:hAnsi="Arial"/>
                <w:sz w:val="9"/>
                <w:szCs w:val="9"/>
                <w:color w:val="auto"/>
                <w:w w:val="78"/>
              </w:rPr>
              <w:t>$</w:t>
            </w:r>
          </w:p>
        </w:tc>
        <w:tc>
          <w:tcPr>
            <w:tcW w:w="86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472</w:t>
            </w:r>
          </w:p>
        </w:tc>
        <w:tc>
          <w:tcPr>
            <w:tcW w:w="1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ind w:right="513"/>
              <w:spacing w:after="0"/>
              <w:rPr>
                <w:sz w:val="20"/>
                <w:szCs w:val="20"/>
                <w:color w:val="auto"/>
              </w:rPr>
            </w:pPr>
            <w:r>
              <w:rPr>
                <w:rFonts w:ascii="Arial" w:cs="Arial" w:eastAsia="Arial" w:hAnsi="Arial"/>
                <w:sz w:val="9"/>
                <w:szCs w:val="9"/>
                <w:color w:val="auto"/>
                <w:w w:val="78"/>
              </w:rPr>
              <w:t>$</w:t>
            </w:r>
          </w:p>
        </w:tc>
        <w:tc>
          <w:tcPr>
            <w:tcW w:w="84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72</w:t>
            </w:r>
          </w:p>
        </w:tc>
        <w:tc>
          <w:tcPr>
            <w:tcW w:w="1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ind w:right="493"/>
              <w:spacing w:after="0"/>
              <w:rPr>
                <w:sz w:val="20"/>
                <w:szCs w:val="20"/>
                <w:color w:val="auto"/>
              </w:rPr>
            </w:pPr>
            <w:r>
              <w:rPr>
                <w:rFonts w:ascii="Arial" w:cs="Arial" w:eastAsia="Arial" w:hAnsi="Arial"/>
                <w:sz w:val="9"/>
                <w:szCs w:val="9"/>
                <w:color w:val="auto"/>
                <w:w w:val="78"/>
              </w:rPr>
              <w:t>$</w:t>
            </w:r>
          </w:p>
        </w:tc>
        <w:tc>
          <w:tcPr>
            <w:tcW w:w="92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2"/>
                <w:szCs w:val="12"/>
                <w:color w:val="auto"/>
              </w:rPr>
              <w:t>925</w:t>
            </w:r>
          </w:p>
        </w:tc>
        <w:tc>
          <w:tcPr>
            <w:tcW w:w="660" w:type="dxa"/>
            <w:vAlign w:val="bottom"/>
            <w:tcBorders>
              <w:top w:val="single" w:sz="8" w:color="auto"/>
            </w:tcBorders>
            <w:shd w:val="clear" w:color="auto" w:fill="CCEEFF"/>
          </w:tcPr>
          <w:p>
            <w:pPr>
              <w:jc w:val="right"/>
              <w:ind w:right="481"/>
              <w:spacing w:after="0"/>
              <w:rPr>
                <w:sz w:val="20"/>
                <w:szCs w:val="20"/>
                <w:color w:val="auto"/>
              </w:rPr>
            </w:pPr>
            <w:r>
              <w:rPr>
                <w:rFonts w:ascii="Arial" w:cs="Arial" w:eastAsia="Arial" w:hAnsi="Arial"/>
                <w:sz w:val="12"/>
                <w:szCs w:val="12"/>
                <w:color w:val="auto"/>
              </w:rPr>
              <w:t>$</w:t>
            </w:r>
          </w:p>
        </w:tc>
        <w:tc>
          <w:tcPr>
            <w:tcW w:w="86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32"/>
        </w:trPr>
        <w:tc>
          <w:tcPr>
            <w:tcW w:w="50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 before valuation allowance</w:t>
            </w:r>
          </w:p>
        </w:tc>
        <w:tc>
          <w:tcPr>
            <w:tcW w:w="6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96</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14</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61"/>
              <w:spacing w:after="0"/>
              <w:rPr>
                <w:sz w:val="20"/>
                <w:szCs w:val="20"/>
                <w:color w:val="auto"/>
              </w:rPr>
            </w:pPr>
            <w:r>
              <w:rPr>
                <w:rFonts w:ascii="Arial" w:cs="Arial" w:eastAsia="Arial" w:hAnsi="Arial"/>
                <w:sz w:val="12"/>
                <w:szCs w:val="12"/>
                <w:color w:val="auto"/>
              </w:rPr>
              <w:t>203</w:t>
            </w:r>
          </w:p>
        </w:tc>
        <w:tc>
          <w:tcPr>
            <w:tcW w:w="6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2"/>
        </w:trPr>
        <w:tc>
          <w:tcPr>
            <w:tcW w:w="5040" w:type="dxa"/>
            <w:vAlign w:val="bottom"/>
          </w:tcPr>
          <w:p>
            <w:pPr>
              <w:spacing w:after="0"/>
              <w:rPr>
                <w:sz w:val="20"/>
                <w:szCs w:val="20"/>
                <w:color w:val="auto"/>
              </w:rPr>
            </w:pPr>
            <w:r>
              <w:rPr>
                <w:rFonts w:ascii="Arial" w:cs="Arial" w:eastAsia="Arial" w:hAnsi="Arial"/>
                <w:sz w:val="12"/>
                <w:szCs w:val="12"/>
                <w:color w:val="auto"/>
              </w:rPr>
              <w:t>Change in valuation allowance</w:t>
            </w:r>
          </w:p>
        </w:tc>
        <w:tc>
          <w:tcPr>
            <w:tcW w:w="60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3"/>
                <w:szCs w:val="13"/>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jc w:val="right"/>
              <w:ind w:right="121"/>
              <w:spacing w:after="0"/>
              <w:rPr>
                <w:sz w:val="20"/>
                <w:szCs w:val="20"/>
                <w:color w:val="auto"/>
              </w:rPr>
            </w:pPr>
            <w:r>
              <w:rPr>
                <w:rFonts w:ascii="Arial" w:cs="Arial" w:eastAsia="Arial" w:hAnsi="Arial"/>
                <w:sz w:val="12"/>
                <w:szCs w:val="12"/>
                <w:color w:val="auto"/>
              </w:rPr>
              <w:t>(14)</w:t>
            </w:r>
          </w:p>
        </w:tc>
        <w:tc>
          <w:tcPr>
            <w:tcW w:w="660" w:type="dxa"/>
            <w:vAlign w:val="bottom"/>
          </w:tcPr>
          <w:p>
            <w:pPr>
              <w:spacing w:after="0"/>
              <w:rPr>
                <w:sz w:val="13"/>
                <w:szCs w:val="13"/>
                <w:color w:val="auto"/>
              </w:rPr>
            </w:pP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71"/>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Federal income tax expense (benefit)</w:t>
            </w:r>
          </w:p>
        </w:tc>
        <w:tc>
          <w:tcPr>
            <w:tcW w:w="600" w:type="dxa"/>
            <w:vAlign w:val="bottom"/>
            <w:tcBorders>
              <w:top w:val="single" w:sz="8" w:color="auto"/>
              <w:bottom w:val="single" w:sz="8" w:color="auto"/>
            </w:tcBorders>
            <w:shd w:val="clear" w:color="auto" w:fill="CCEEFF"/>
          </w:tcPr>
          <w:p>
            <w:pPr>
              <w:jc w:val="right"/>
              <w:ind w:right="493"/>
              <w:spacing w:after="0"/>
              <w:rPr>
                <w:sz w:val="20"/>
                <w:szCs w:val="20"/>
                <w:color w:val="auto"/>
              </w:rPr>
            </w:pPr>
            <w:r>
              <w:rPr>
                <w:rFonts w:ascii="Arial" w:cs="Arial" w:eastAsia="Arial" w:hAnsi="Arial"/>
                <w:sz w:val="9"/>
                <w:szCs w:val="9"/>
                <w:color w:val="auto"/>
                <w:w w:val="78"/>
              </w:rPr>
              <w:t>$</w:t>
            </w:r>
          </w:p>
        </w:tc>
        <w:tc>
          <w:tcPr>
            <w:tcW w:w="8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96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ind w:right="513"/>
              <w:spacing w:after="0"/>
              <w:rPr>
                <w:sz w:val="20"/>
                <w:szCs w:val="20"/>
                <w:color w:val="auto"/>
              </w:rPr>
            </w:pPr>
            <w:r>
              <w:rPr>
                <w:rFonts w:ascii="Arial" w:cs="Arial" w:eastAsia="Arial" w:hAnsi="Arial"/>
                <w:sz w:val="9"/>
                <w:szCs w:val="9"/>
                <w:color w:val="auto"/>
                <w:w w:val="78"/>
              </w:rPr>
              <w:t>$</w:t>
            </w:r>
          </w:p>
        </w:tc>
        <w:tc>
          <w:tcPr>
            <w:tcW w:w="84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6</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ind w:right="493"/>
              <w:spacing w:after="0"/>
              <w:rPr>
                <w:sz w:val="20"/>
                <w:szCs w:val="20"/>
                <w:color w:val="auto"/>
              </w:rPr>
            </w:pPr>
            <w:r>
              <w:rPr>
                <w:rFonts w:ascii="Arial" w:cs="Arial" w:eastAsia="Arial" w:hAnsi="Arial"/>
                <w:sz w:val="9"/>
                <w:szCs w:val="9"/>
                <w:color w:val="auto"/>
                <w:w w:val="78"/>
              </w:rPr>
              <w:t>$</w:t>
            </w:r>
          </w:p>
        </w:tc>
        <w:tc>
          <w:tcPr>
            <w:tcW w:w="92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2"/>
                <w:szCs w:val="12"/>
                <w:color w:val="auto"/>
              </w:rPr>
              <w:t>189</w:t>
            </w:r>
          </w:p>
        </w:tc>
        <w:tc>
          <w:tcPr>
            <w:tcW w:w="660" w:type="dxa"/>
            <w:vAlign w:val="bottom"/>
            <w:tcBorders>
              <w:top w:val="single" w:sz="8" w:color="auto"/>
              <w:bottom w:val="single" w:sz="8" w:color="auto"/>
            </w:tcBorders>
            <w:shd w:val="clear" w:color="auto" w:fill="CCEEFF"/>
          </w:tcPr>
          <w:p>
            <w:pPr>
              <w:jc w:val="right"/>
              <w:ind w:right="481"/>
              <w:spacing w:after="0"/>
              <w:rPr>
                <w:sz w:val="20"/>
                <w:szCs w:val="20"/>
                <w:color w:val="auto"/>
              </w:rPr>
            </w:pPr>
            <w:r>
              <w:rPr>
                <w:rFonts w:ascii="Arial" w:cs="Arial" w:eastAsia="Arial" w:hAnsi="Arial"/>
                <w:sz w:val="12"/>
                <w:szCs w:val="12"/>
                <w:color w:val="auto"/>
              </w:rPr>
              <w:t>$</w:t>
            </w:r>
          </w:p>
        </w:tc>
        <w:tc>
          <w:tcPr>
            <w:tcW w:w="86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2"/>
                <w:szCs w:val="12"/>
                <w:color w:val="auto"/>
              </w:rPr>
              <w:t>Effective rate</w:t>
            </w: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04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jc w:val="right"/>
              <w:spacing w:after="0" w:line="116" w:lineRule="exact"/>
              <w:rPr>
                <w:sz w:val="20"/>
                <w:szCs w:val="20"/>
                <w:color w:val="auto"/>
              </w:rPr>
            </w:pPr>
            <w:r>
              <w:rPr>
                <w:rFonts w:ascii="Arial" w:cs="Arial" w:eastAsia="Arial" w:hAnsi="Arial"/>
                <w:sz w:val="12"/>
                <w:szCs w:val="12"/>
                <w:color w:val="auto"/>
              </w:rPr>
              <w:t>20 %</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jc w:val="right"/>
              <w:spacing w:after="0" w:line="116" w:lineRule="exact"/>
              <w:rPr>
                <w:sz w:val="20"/>
                <w:szCs w:val="20"/>
                <w:color w:val="auto"/>
              </w:rPr>
            </w:pPr>
            <w:r>
              <w:rPr>
                <w:rFonts w:ascii="Arial" w:cs="Arial" w:eastAsia="Arial" w:hAnsi="Arial"/>
                <w:sz w:val="12"/>
                <w:szCs w:val="12"/>
                <w:color w:val="auto"/>
              </w:rPr>
              <w:t>8 %</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jc w:val="right"/>
              <w:ind w:right="21"/>
              <w:spacing w:after="0" w:line="116" w:lineRule="exact"/>
              <w:rPr>
                <w:sz w:val="20"/>
                <w:szCs w:val="20"/>
                <w:color w:val="auto"/>
              </w:rPr>
            </w:pPr>
            <w:r>
              <w:rPr>
                <w:rFonts w:ascii="Arial" w:cs="Arial" w:eastAsia="Arial" w:hAnsi="Arial"/>
                <w:sz w:val="12"/>
                <w:szCs w:val="12"/>
                <w:color w:val="auto"/>
              </w:rPr>
              <w:t>20 %</w:t>
            </w:r>
          </w:p>
        </w:tc>
        <w:tc>
          <w:tcPr>
            <w:tcW w:w="660" w:type="dxa"/>
            <w:vAlign w:val="bottom"/>
          </w:tcPr>
          <w:p>
            <w:pPr>
              <w:spacing w:after="0"/>
              <w:rPr>
                <w:sz w:val="10"/>
                <w:szCs w:val="10"/>
                <w:color w:val="auto"/>
              </w:rPr>
            </w:pPr>
          </w:p>
        </w:tc>
        <w:tc>
          <w:tcPr>
            <w:tcW w:w="860" w:type="dxa"/>
            <w:vAlign w:val="bottom"/>
          </w:tcPr>
          <w:p>
            <w:pPr>
              <w:jc w:val="right"/>
              <w:spacing w:after="0" w:line="116" w:lineRule="exact"/>
              <w:rPr>
                <w:sz w:val="20"/>
                <w:szCs w:val="20"/>
                <w:color w:val="auto"/>
              </w:rPr>
            </w:pPr>
            <w:r>
              <w:rPr>
                <w:rFonts w:ascii="Arial" w:cs="Arial" w:eastAsia="Arial" w:hAnsi="Arial"/>
                <w:sz w:val="12"/>
                <w:szCs w:val="12"/>
                <w:color w:val="auto"/>
              </w:rPr>
              <w:t>(57)%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Adjusted Net Earnings (See Non-GAAP Financial Measures section)</w:t>
      </w:r>
    </w:p>
    <w:p>
      <w:pPr>
        <w:spacing w:after="0" w:line="152" w:lineRule="exact"/>
        <w:rPr>
          <w:sz w:val="20"/>
          <w:szCs w:val="20"/>
          <w:color w:val="auto"/>
        </w:rPr>
      </w:pPr>
    </w:p>
    <w:p>
      <w:pPr>
        <w:jc w:val="both"/>
        <w:ind w:firstLine="331"/>
        <w:spacing w:after="0" w:line="266" w:lineRule="auto"/>
        <w:rPr>
          <w:sz w:val="20"/>
          <w:szCs w:val="20"/>
          <w:color w:val="auto"/>
        </w:rPr>
      </w:pPr>
      <w:r>
        <w:rPr>
          <w:rFonts w:ascii="Arial" w:cs="Arial" w:eastAsia="Arial" w:hAnsi="Arial"/>
          <w:sz w:val="15"/>
          <w:szCs w:val="15"/>
          <w:color w:val="auto"/>
        </w:rPr>
        <w:t>The table below shows the adjustments made to reconcile Net earnings from continuing operations attributable to common shareholders to Adjusted net earnings from continuing operations attributable to common shareholders (in millions):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78" w:name="page79"/>
    <w:bookmarkEnd w:id="78"/>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5260" w:type="dxa"/>
            <w:vAlign w:val="bottom"/>
          </w:tcPr>
          <w:p>
            <w:pPr>
              <w:spacing w:after="0"/>
              <w:rPr>
                <w:sz w:val="12"/>
                <w:szCs w:val="12"/>
                <w:color w:val="auto"/>
              </w:rPr>
            </w:pPr>
          </w:p>
        </w:tc>
        <w:tc>
          <w:tcPr>
            <w:tcW w:w="2660" w:type="dxa"/>
            <w:vAlign w:val="bottom"/>
            <w:tcBorders>
              <w:bottom w:val="single" w:sz="8" w:color="auto"/>
            </w:tcBorders>
            <w:gridSpan w:val="4"/>
          </w:tcPr>
          <w:p>
            <w:pPr>
              <w:jc w:val="right"/>
              <w:ind w:right="703"/>
              <w:spacing w:after="0"/>
              <w:rPr>
                <w:sz w:val="20"/>
                <w:szCs w:val="20"/>
                <w:color w:val="auto"/>
              </w:rPr>
            </w:pPr>
            <w:r>
              <w:rPr>
                <w:rFonts w:ascii="Arial" w:cs="Arial" w:eastAsia="Arial" w:hAnsi="Arial"/>
                <w:sz w:val="10"/>
                <w:szCs w:val="10"/>
                <w:b w:val="1"/>
                <w:bCs w:val="1"/>
                <w:color w:val="auto"/>
              </w:rPr>
              <w:t>Three months ended</w:t>
            </w:r>
          </w:p>
        </w:tc>
        <w:tc>
          <w:tcPr>
            <w:tcW w:w="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Nine months ended</w:t>
            </w: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222"/>
              <w:spacing w:after="0"/>
              <w:rPr>
                <w:sz w:val="20"/>
                <w:szCs w:val="20"/>
                <w:color w:val="auto"/>
              </w:rPr>
            </w:pPr>
            <w:r>
              <w:rPr>
                <w:rFonts w:ascii="Arial" w:cs="Arial" w:eastAsia="Arial" w:hAnsi="Arial"/>
                <w:sz w:val="10"/>
                <w:szCs w:val="10"/>
                <w:b w:val="1"/>
                <w:bCs w:val="1"/>
                <w:color w:val="auto"/>
              </w:rPr>
              <w:t>Four months ended</w:t>
            </w:r>
          </w:p>
        </w:tc>
        <w:tc>
          <w:tcPr>
            <w:tcW w:w="0" w:type="dxa"/>
            <w:vAlign w:val="bottom"/>
          </w:tcPr>
          <w:p>
            <w:pPr>
              <w:spacing w:after="0"/>
              <w:rPr>
                <w:sz w:val="1"/>
                <w:szCs w:val="1"/>
                <w:color w:val="auto"/>
              </w:rPr>
            </w:pPr>
          </w:p>
        </w:tc>
      </w:tr>
      <w:tr>
        <w:trPr>
          <w:trHeight w:val="137"/>
        </w:trPr>
        <w:tc>
          <w:tcPr>
            <w:tcW w:w="526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b w:val="1"/>
                <w:bCs w:val="1"/>
                <w:color w:val="auto"/>
              </w:rPr>
              <w:t>September 30, 2021</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b w:val="1"/>
                <w:bCs w:val="1"/>
                <w:color w:val="auto"/>
              </w:rPr>
              <w:t>September 30, 2020</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ind w:left="100"/>
              <w:spacing w:after="0"/>
              <w:rPr>
                <w:sz w:val="20"/>
                <w:szCs w:val="20"/>
                <w:color w:val="auto"/>
              </w:rPr>
            </w:pPr>
            <w:r>
              <w:rPr>
                <w:rFonts w:ascii="Arial" w:cs="Arial" w:eastAsia="Arial" w:hAnsi="Arial"/>
                <w:sz w:val="10"/>
                <w:szCs w:val="10"/>
                <w:b w:val="1"/>
                <w:bCs w:val="1"/>
                <w:color w:val="auto"/>
              </w:rPr>
              <w:t>September 30, 2021</w:t>
            </w:r>
          </w:p>
        </w:tc>
        <w:tc>
          <w:tcPr>
            <w:tcW w:w="180" w:type="dxa"/>
            <w:vAlign w:val="bottom"/>
          </w:tcPr>
          <w:p>
            <w:pPr>
              <w:spacing w:after="0"/>
              <w:rPr>
                <w:sz w:val="11"/>
                <w:szCs w:val="11"/>
                <w:color w:val="auto"/>
              </w:rPr>
            </w:pPr>
          </w:p>
        </w:tc>
        <w:tc>
          <w:tcPr>
            <w:tcW w:w="1240" w:type="dxa"/>
            <w:vAlign w:val="bottom"/>
          </w:tcPr>
          <w:p>
            <w:pPr>
              <w:jc w:val="right"/>
              <w:ind w:right="222"/>
              <w:spacing w:after="0"/>
              <w:rPr>
                <w:sz w:val="20"/>
                <w:szCs w:val="20"/>
                <w:color w:val="auto"/>
              </w:rPr>
            </w:pPr>
            <w:r>
              <w:rPr>
                <w:rFonts w:ascii="Arial" w:cs="Arial" w:eastAsia="Arial" w:hAnsi="Arial"/>
                <w:sz w:val="10"/>
                <w:szCs w:val="10"/>
                <w:b w:val="1"/>
                <w:bCs w:val="1"/>
                <w:color w:val="auto"/>
              </w:rPr>
              <w:t>September 30, 2020</w:t>
            </w:r>
          </w:p>
        </w:tc>
        <w:tc>
          <w:tcPr>
            <w:tcW w:w="0" w:type="dxa"/>
            <w:vAlign w:val="bottom"/>
          </w:tcPr>
          <w:p>
            <w:pPr>
              <w:spacing w:after="0"/>
              <w:rPr>
                <w:sz w:val="1"/>
                <w:szCs w:val="1"/>
                <w:color w:val="auto"/>
              </w:rPr>
            </w:pPr>
          </w:p>
        </w:tc>
      </w:tr>
      <w:tr>
        <w:trPr>
          <w:trHeight w:val="150"/>
        </w:trPr>
        <w:tc>
          <w:tcPr>
            <w:tcW w:w="526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Net earnings from continuing operations attributable to common shareholders</w:t>
            </w:r>
          </w:p>
        </w:tc>
        <w:tc>
          <w:tcPr>
            <w:tcW w:w="1140" w:type="dxa"/>
            <w:vAlign w:val="bottom"/>
            <w:tcBorders>
              <w:top w:val="single" w:sz="8" w:color="auto"/>
            </w:tcBorders>
            <w:shd w:val="clear" w:color="auto" w:fill="CCEEFF"/>
          </w:tcPr>
          <w:p>
            <w:pPr>
              <w:jc w:val="right"/>
              <w:ind w:right="1031"/>
              <w:spacing w:after="0"/>
              <w:rPr>
                <w:sz w:val="20"/>
                <w:szCs w:val="20"/>
                <w:color w:val="auto"/>
              </w:rPr>
            </w:pPr>
            <w:r>
              <w:rPr>
                <w:rFonts w:ascii="Arial" w:cs="Arial" w:eastAsia="Arial" w:hAnsi="Arial"/>
                <w:sz w:val="9"/>
                <w:szCs w:val="9"/>
                <w:color w:val="auto"/>
                <w:w w:val="7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376</w:t>
            </w: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right"/>
              <w:ind w:right="1023"/>
              <w:spacing w:after="0"/>
              <w:rPr>
                <w:sz w:val="20"/>
                <w:szCs w:val="20"/>
                <w:color w:val="auto"/>
              </w:rPr>
            </w:pPr>
            <w:r>
              <w:rPr>
                <w:rFonts w:ascii="Arial" w:cs="Arial" w:eastAsia="Arial" w:hAnsi="Arial"/>
                <w:sz w:val="12"/>
                <w:szCs w:val="12"/>
                <w:color w:val="auto"/>
                <w:w w:val="89"/>
              </w:rPr>
              <w:t>$</w:t>
            </w:r>
          </w:p>
        </w:tc>
        <w:tc>
          <w:tcPr>
            <w:tcW w:w="2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66</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736</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53"/>
        </w:trPr>
        <w:tc>
          <w:tcPr>
            <w:tcW w:w="5260" w:type="dxa"/>
            <w:vAlign w:val="bottom"/>
          </w:tcPr>
          <w:p>
            <w:pPr>
              <w:spacing w:after="0"/>
              <w:rPr>
                <w:sz w:val="20"/>
                <w:szCs w:val="20"/>
                <w:color w:val="auto"/>
              </w:rPr>
            </w:pPr>
            <w:r>
              <w:rPr>
                <w:rFonts w:ascii="Arial" w:cs="Arial" w:eastAsia="Arial" w:hAnsi="Arial"/>
                <w:sz w:val="12"/>
                <w:szCs w:val="12"/>
                <w:b w:val="1"/>
                <w:bCs w:val="1"/>
                <w:color w:val="auto"/>
              </w:rPr>
              <w:t>Non-GAAP adjustments:</w:t>
            </w: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60" w:type="dxa"/>
            <w:vAlign w:val="bottom"/>
            <w:shd w:val="clear" w:color="auto" w:fill="CCEEFF"/>
          </w:tcPr>
          <w:p>
            <w:pPr>
              <w:spacing w:after="0"/>
              <w:rPr>
                <w:sz w:val="20"/>
                <w:szCs w:val="20"/>
                <w:color w:val="auto"/>
              </w:rPr>
            </w:pPr>
            <w:r>
              <w:rPr>
                <w:rFonts w:ascii="Arial" w:cs="Arial" w:eastAsia="Arial" w:hAnsi="Arial"/>
                <w:sz w:val="12"/>
                <w:szCs w:val="12"/>
                <w:color w:val="auto"/>
              </w:rPr>
              <w:t>Recognized gains and losses, net</w:t>
            </w:r>
          </w:p>
        </w:tc>
        <w:tc>
          <w:tcPr>
            <w:tcW w:w="114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2"/>
        </w:trPr>
        <w:tc>
          <w:tcPr>
            <w:tcW w:w="5260" w:type="dxa"/>
            <w:vAlign w:val="bottom"/>
          </w:tcPr>
          <w:p>
            <w:pPr>
              <w:spacing w:after="0"/>
              <w:rPr>
                <w:sz w:val="20"/>
                <w:szCs w:val="20"/>
                <w:color w:val="auto"/>
              </w:rPr>
            </w:pPr>
            <w:r>
              <w:rPr>
                <w:rFonts w:ascii="Arial" w:cs="Arial" w:eastAsia="Arial" w:hAnsi="Arial"/>
                <w:sz w:val="12"/>
                <w:szCs w:val="12"/>
                <w:color w:val="auto"/>
              </w:rPr>
              <w:t>Indexed product related derivatives</w:t>
            </w:r>
          </w:p>
        </w:tc>
        <w:tc>
          <w:tcPr>
            <w:tcW w:w="11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jc w:val="right"/>
              <w:ind w:right="1"/>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(84)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2"/>
              <w:spacing w:after="0"/>
              <w:rPr>
                <w:sz w:val="20"/>
                <w:szCs w:val="20"/>
                <w:color w:val="auto"/>
              </w:rPr>
            </w:pPr>
            <w:r>
              <w:rPr>
                <w:rFonts w:ascii="Arial" w:cs="Arial" w:eastAsia="Arial" w:hAnsi="Arial"/>
                <w:sz w:val="12"/>
                <w:szCs w:val="12"/>
                <w:color w:val="auto"/>
              </w:rPr>
              <w:t>57</w:t>
            </w:r>
          </w:p>
        </w:tc>
        <w:tc>
          <w:tcPr>
            <w:tcW w:w="0" w:type="dxa"/>
            <w:vAlign w:val="bottom"/>
          </w:tcPr>
          <w:p>
            <w:pPr>
              <w:spacing w:after="0"/>
              <w:rPr>
                <w:sz w:val="1"/>
                <w:szCs w:val="1"/>
                <w:color w:val="auto"/>
              </w:rPr>
            </w:pPr>
          </w:p>
        </w:tc>
      </w:tr>
      <w:tr>
        <w:trPr>
          <w:trHeight w:val="157"/>
        </w:trPr>
        <w:tc>
          <w:tcPr>
            <w:tcW w:w="5260" w:type="dxa"/>
            <w:vAlign w:val="bottom"/>
            <w:shd w:val="clear" w:color="auto" w:fill="CCEEFF"/>
          </w:tcPr>
          <w:p>
            <w:pPr>
              <w:spacing w:after="0"/>
              <w:rPr>
                <w:sz w:val="20"/>
                <w:szCs w:val="20"/>
                <w:color w:val="auto"/>
              </w:rPr>
            </w:pPr>
            <w:r>
              <w:rPr>
                <w:rFonts w:ascii="Arial" w:cs="Arial" w:eastAsia="Arial" w:hAnsi="Arial"/>
                <w:sz w:val="12"/>
                <w:szCs w:val="12"/>
                <w:color w:val="auto"/>
              </w:rPr>
              <w:t>Purchase price amortization</w:t>
            </w:r>
          </w:p>
        </w:tc>
        <w:tc>
          <w:tcPr>
            <w:tcW w:w="114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52"/>
        </w:trPr>
        <w:tc>
          <w:tcPr>
            <w:tcW w:w="5260" w:type="dxa"/>
            <w:vAlign w:val="bottom"/>
          </w:tcPr>
          <w:p>
            <w:pPr>
              <w:spacing w:after="0"/>
              <w:rPr>
                <w:sz w:val="20"/>
                <w:szCs w:val="20"/>
                <w:color w:val="auto"/>
              </w:rPr>
            </w:pPr>
            <w:r>
              <w:rPr>
                <w:rFonts w:ascii="Arial" w:cs="Arial" w:eastAsia="Arial" w:hAnsi="Arial"/>
                <w:sz w:val="12"/>
                <w:szCs w:val="12"/>
                <w:color w:val="auto"/>
              </w:rPr>
              <w:t>Transaction costs</w:t>
            </w:r>
          </w:p>
        </w:tc>
        <w:tc>
          <w:tcPr>
            <w:tcW w:w="11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jc w:val="right"/>
              <w:ind w:right="1"/>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2"/>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2"/>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57"/>
        </w:trPr>
        <w:tc>
          <w:tcPr>
            <w:tcW w:w="5260" w:type="dxa"/>
            <w:vAlign w:val="bottom"/>
            <w:shd w:val="clear" w:color="auto" w:fill="CCEEFF"/>
          </w:tcPr>
          <w:p>
            <w:pPr>
              <w:spacing w:after="0"/>
              <w:rPr>
                <w:sz w:val="20"/>
                <w:szCs w:val="20"/>
                <w:color w:val="auto"/>
              </w:rPr>
            </w:pPr>
            <w:r>
              <w:rPr>
                <w:rFonts w:ascii="Arial" w:cs="Arial" w:eastAsia="Arial" w:hAnsi="Arial"/>
                <w:sz w:val="12"/>
                <w:szCs w:val="12"/>
                <w:color w:val="auto"/>
              </w:rPr>
              <w:t>Other non-recurring items (a)</w:t>
            </w:r>
          </w:p>
        </w:tc>
        <w:tc>
          <w:tcPr>
            <w:tcW w:w="114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8"/>
              </w:rPr>
              <w:t>(284)</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52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Income taxes on non-GAAP adjustments</w:t>
            </w:r>
          </w:p>
        </w:tc>
        <w:tc>
          <w:tcPr>
            <w:tcW w:w="1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w:t>
            </w:r>
          </w:p>
        </w:tc>
        <w:tc>
          <w:tcPr>
            <w:tcW w:w="1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121</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73"/>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2"/>
                <w:szCs w:val="12"/>
                <w:color w:val="auto"/>
              </w:rPr>
              <w:t>Adjusted net earnings from continuing operations attributable to common shareholders</w:t>
            </w:r>
          </w:p>
        </w:tc>
        <w:tc>
          <w:tcPr>
            <w:tcW w:w="1140" w:type="dxa"/>
            <w:vAlign w:val="bottom"/>
            <w:tcBorders>
              <w:bottom w:val="single" w:sz="8" w:color="auto"/>
            </w:tcBorders>
            <w:shd w:val="clear" w:color="auto" w:fill="CCEEFF"/>
          </w:tcPr>
          <w:p>
            <w:pPr>
              <w:jc w:val="right"/>
              <w:ind w:right="1031"/>
              <w:spacing w:after="0"/>
              <w:rPr>
                <w:sz w:val="20"/>
                <w:szCs w:val="20"/>
                <w:color w:val="auto"/>
              </w:rPr>
            </w:pPr>
            <w:r>
              <w:rPr>
                <w:rFonts w:ascii="Arial" w:cs="Arial" w:eastAsia="Arial" w:hAnsi="Arial"/>
                <w:sz w:val="9"/>
                <w:szCs w:val="9"/>
                <w:color w:val="auto"/>
                <w:w w:val="78"/>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101</w:t>
            </w:r>
          </w:p>
        </w:tc>
        <w:tc>
          <w:tcPr>
            <w:tcW w:w="1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1023"/>
              <w:spacing w:after="0"/>
              <w:rPr>
                <w:sz w:val="20"/>
                <w:szCs w:val="20"/>
                <w:color w:val="auto"/>
              </w:rPr>
            </w:pPr>
            <w:r>
              <w:rPr>
                <w:rFonts w:ascii="Arial" w:cs="Arial" w:eastAsia="Arial" w:hAnsi="Arial"/>
                <w:sz w:val="12"/>
                <w:szCs w:val="12"/>
                <w:color w:val="auto"/>
                <w:w w:val="89"/>
              </w:rPr>
              <w:t>$</w:t>
            </w:r>
          </w:p>
        </w:tc>
        <w:tc>
          <w:tcPr>
            <w:tcW w:w="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74</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271</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107</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color w:val="auto"/>
                <w:w w:val="94"/>
              </w:rPr>
              <w:t>Notable items included in adjusted net earnings attributable to common shareholders (discussed below)</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260" w:type="dxa"/>
            <w:vAlign w:val="bottom"/>
            <w:vMerge w:val="continue"/>
          </w:tcPr>
          <w:p>
            <w:pPr>
              <w:spacing w:after="0"/>
              <w:rPr>
                <w:sz w:val="9"/>
                <w:szCs w:val="9"/>
                <w:color w:val="auto"/>
              </w:rPr>
            </w:pPr>
          </w:p>
        </w:tc>
        <w:tc>
          <w:tcPr>
            <w:tcW w:w="1140" w:type="dxa"/>
            <w:vAlign w:val="bottom"/>
          </w:tcPr>
          <w:p>
            <w:pPr>
              <w:jc w:val="right"/>
              <w:ind w:right="1031"/>
              <w:spacing w:after="0"/>
              <w:rPr>
                <w:sz w:val="20"/>
                <w:szCs w:val="20"/>
                <w:color w:val="auto"/>
              </w:rPr>
            </w:pPr>
            <w:r>
              <w:rPr>
                <w:rFonts w:ascii="Arial" w:cs="Arial" w:eastAsia="Arial" w:hAnsi="Arial"/>
                <w:sz w:val="9"/>
                <w:szCs w:val="9"/>
                <w:color w:val="auto"/>
                <w:w w:val="78"/>
              </w:rPr>
              <w:t>$</w:t>
            </w:r>
          </w:p>
        </w:tc>
        <w:tc>
          <w:tcPr>
            <w:tcW w:w="260" w:type="dxa"/>
            <w:vAlign w:val="bottom"/>
          </w:tcPr>
          <w:p>
            <w:pPr>
              <w:jc w:val="right"/>
              <w:spacing w:after="0" w:line="113" w:lineRule="exact"/>
              <w:rPr>
                <w:sz w:val="20"/>
                <w:szCs w:val="20"/>
                <w:color w:val="auto"/>
              </w:rPr>
            </w:pPr>
            <w:r>
              <w:rPr>
                <w:rFonts w:ascii="Arial" w:cs="Arial" w:eastAsia="Arial" w:hAnsi="Arial"/>
                <w:sz w:val="12"/>
                <w:szCs w:val="12"/>
                <w:color w:val="auto"/>
              </w:rPr>
              <w:t>27</w:t>
            </w:r>
          </w:p>
        </w:tc>
        <w:tc>
          <w:tcPr>
            <w:tcW w:w="100" w:type="dxa"/>
            <w:vAlign w:val="bottom"/>
          </w:tcPr>
          <w:p>
            <w:pPr>
              <w:spacing w:after="0"/>
              <w:rPr>
                <w:sz w:val="9"/>
                <w:szCs w:val="9"/>
                <w:color w:val="auto"/>
              </w:rPr>
            </w:pPr>
          </w:p>
        </w:tc>
        <w:tc>
          <w:tcPr>
            <w:tcW w:w="1160" w:type="dxa"/>
            <w:vAlign w:val="bottom"/>
          </w:tcPr>
          <w:p>
            <w:pPr>
              <w:jc w:val="right"/>
              <w:ind w:right="1023"/>
              <w:spacing w:after="0" w:line="113" w:lineRule="exact"/>
              <w:rPr>
                <w:sz w:val="20"/>
                <w:szCs w:val="20"/>
                <w:color w:val="auto"/>
              </w:rPr>
            </w:pPr>
            <w:r>
              <w:rPr>
                <w:rFonts w:ascii="Arial" w:cs="Arial" w:eastAsia="Arial" w:hAnsi="Arial"/>
                <w:sz w:val="12"/>
                <w:szCs w:val="12"/>
                <w:color w:val="auto"/>
                <w:w w:val="89"/>
              </w:rPr>
              <w:t>$</w:t>
            </w:r>
          </w:p>
        </w:tc>
        <w:tc>
          <w:tcPr>
            <w:tcW w:w="260" w:type="dxa"/>
            <w:vAlign w:val="bottom"/>
          </w:tcPr>
          <w:p>
            <w:pPr>
              <w:jc w:val="right"/>
              <w:ind w:right="1"/>
              <w:spacing w:after="0" w:line="113" w:lineRule="exact"/>
              <w:rPr>
                <w:sz w:val="20"/>
                <w:szCs w:val="20"/>
                <w:color w:val="auto"/>
              </w:rPr>
            </w:pPr>
            <w:r>
              <w:rPr>
                <w:rFonts w:ascii="Arial" w:cs="Arial" w:eastAsia="Arial" w:hAnsi="Arial"/>
                <w:sz w:val="12"/>
                <w:szCs w:val="12"/>
                <w:color w:val="auto"/>
              </w:rPr>
              <w:t>10</w:t>
            </w:r>
          </w:p>
        </w:tc>
        <w:tc>
          <w:tcPr>
            <w:tcW w:w="100" w:type="dxa"/>
            <w:vAlign w:val="bottom"/>
          </w:tcPr>
          <w:p>
            <w:pPr>
              <w:spacing w:after="0"/>
              <w:rPr>
                <w:sz w:val="9"/>
                <w:szCs w:val="9"/>
                <w:color w:val="auto"/>
              </w:rPr>
            </w:pPr>
          </w:p>
        </w:tc>
        <w:tc>
          <w:tcPr>
            <w:tcW w:w="180" w:type="dxa"/>
            <w:vAlign w:val="bottom"/>
          </w:tcPr>
          <w:p>
            <w:pPr>
              <w:jc w:val="right"/>
              <w:ind w:right="41"/>
              <w:spacing w:after="0" w:line="113" w:lineRule="exact"/>
              <w:rPr>
                <w:sz w:val="20"/>
                <w:szCs w:val="20"/>
                <w:color w:val="auto"/>
              </w:rPr>
            </w:pPr>
            <w:r>
              <w:rPr>
                <w:rFonts w:ascii="Arial" w:cs="Arial" w:eastAsia="Arial" w:hAnsi="Arial"/>
                <w:sz w:val="12"/>
                <w:szCs w:val="12"/>
                <w:color w:val="auto"/>
                <w:w w:val="89"/>
              </w:rPr>
              <w:t>$</w:t>
            </w:r>
          </w:p>
        </w:tc>
        <w:tc>
          <w:tcPr>
            <w:tcW w:w="1240" w:type="dxa"/>
            <w:vAlign w:val="bottom"/>
          </w:tcPr>
          <w:p>
            <w:pPr>
              <w:jc w:val="right"/>
              <w:ind w:right="2"/>
              <w:spacing w:after="0" w:line="113" w:lineRule="exact"/>
              <w:rPr>
                <w:sz w:val="20"/>
                <w:szCs w:val="20"/>
                <w:color w:val="auto"/>
              </w:rPr>
            </w:pPr>
            <w:r>
              <w:rPr>
                <w:rFonts w:ascii="Arial" w:cs="Arial" w:eastAsia="Arial" w:hAnsi="Arial"/>
                <w:sz w:val="12"/>
                <w:szCs w:val="12"/>
                <w:color w:val="auto"/>
              </w:rPr>
              <w:t>61</w:t>
            </w:r>
          </w:p>
        </w:tc>
        <w:tc>
          <w:tcPr>
            <w:tcW w:w="100" w:type="dxa"/>
            <w:vAlign w:val="bottom"/>
          </w:tcPr>
          <w:p>
            <w:pPr>
              <w:spacing w:after="0"/>
              <w:rPr>
                <w:sz w:val="9"/>
                <w:szCs w:val="9"/>
                <w:color w:val="auto"/>
              </w:rPr>
            </w:pPr>
          </w:p>
        </w:tc>
        <w:tc>
          <w:tcPr>
            <w:tcW w:w="180" w:type="dxa"/>
            <w:vAlign w:val="bottom"/>
          </w:tcPr>
          <w:p>
            <w:pPr>
              <w:jc w:val="right"/>
              <w:ind w:right="41"/>
              <w:spacing w:after="0" w:line="113" w:lineRule="exact"/>
              <w:rPr>
                <w:sz w:val="20"/>
                <w:szCs w:val="20"/>
                <w:color w:val="auto"/>
              </w:rPr>
            </w:pPr>
            <w:r>
              <w:rPr>
                <w:rFonts w:ascii="Arial" w:cs="Arial" w:eastAsia="Arial" w:hAnsi="Arial"/>
                <w:sz w:val="12"/>
                <w:szCs w:val="12"/>
                <w:color w:val="auto"/>
                <w:w w:val="89"/>
              </w:rPr>
              <w:t>$</w:t>
            </w:r>
          </w:p>
        </w:tc>
        <w:tc>
          <w:tcPr>
            <w:tcW w:w="1240" w:type="dxa"/>
            <w:vAlign w:val="bottom"/>
          </w:tcPr>
          <w:p>
            <w:pPr>
              <w:jc w:val="right"/>
              <w:spacing w:after="0" w:line="113" w:lineRule="exact"/>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20" w:hanging="164"/>
        <w:spacing w:after="0"/>
        <w:tabs>
          <w:tab w:leader="none" w:pos="2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Reflects adjustments to benefits and other changes in policy reserves and depreciation and amortization resulting from the implementation of a new actuarial valuation system</w:t>
      </w:r>
    </w:p>
    <w:p>
      <w:pPr>
        <w:spacing w:after="0" w:line="142" w:lineRule="exact"/>
        <w:rPr>
          <w:rFonts w:ascii="Arial" w:cs="Arial" w:eastAsia="Arial" w:hAnsi="Arial"/>
          <w:sz w:val="12"/>
          <w:szCs w:val="12"/>
          <w:color w:val="auto"/>
        </w:rPr>
      </w:pPr>
    </w:p>
    <w:p>
      <w:pPr>
        <w:jc w:val="both"/>
        <w:ind w:left="540" w:hanging="267"/>
        <w:spacing w:after="0" w:line="246" w:lineRule="auto"/>
        <w:tabs>
          <w:tab w:leader="none" w:pos="536" w:val="left"/>
        </w:tabs>
        <w:numPr>
          <w:ilvl w:val="1"/>
          <w:numId w:val="26"/>
        </w:numPr>
        <w:rPr>
          <w:rFonts w:ascii="Arial" w:cs="Arial" w:eastAsia="Arial" w:hAnsi="Arial"/>
          <w:sz w:val="15"/>
          <w:szCs w:val="15"/>
          <w:color w:val="auto"/>
        </w:rPr>
      </w:pPr>
      <w:r>
        <w:rPr>
          <w:rFonts w:ascii="Arial" w:cs="Arial" w:eastAsia="Arial" w:hAnsi="Arial"/>
          <w:sz w:val="15"/>
          <w:szCs w:val="15"/>
          <w:color w:val="auto"/>
        </w:rPr>
        <w:t>Adjusted net earnings for the three months ended September 30, 2021 primarily reflects net investment income for the period, partially offset by product costs and other expenses, and includes $7 million of net favorable mortality driven by the single premium immediate annuity ("SPIA") line of business, and $20 million of other net favorable items, primarily net investment income related to CLO redemptions held at a discount to par.</w:t>
      </w:r>
    </w:p>
    <w:p>
      <w:pPr>
        <w:ind w:left="540" w:right="40" w:hanging="267"/>
        <w:spacing w:after="0" w:line="224" w:lineRule="auto"/>
        <w:tabs>
          <w:tab w:leader="none" w:pos="536" w:val="left"/>
        </w:tabs>
        <w:numPr>
          <w:ilvl w:val="1"/>
          <w:numId w:val="26"/>
        </w:numPr>
        <w:rPr>
          <w:rFonts w:ascii="Arial" w:cs="Arial" w:eastAsia="Arial" w:hAnsi="Arial"/>
          <w:sz w:val="15"/>
          <w:szCs w:val="15"/>
          <w:color w:val="auto"/>
        </w:rPr>
      </w:pPr>
      <w:r>
        <w:rPr>
          <w:rFonts w:ascii="Arial" w:cs="Arial" w:eastAsia="Arial" w:hAnsi="Arial"/>
          <w:sz w:val="15"/>
          <w:szCs w:val="15"/>
          <w:color w:val="auto"/>
        </w:rPr>
        <w:t>Adjusted net earnings for the nine months ended September 30, 2021 primarily reflects net investment income for the period, partially offset by product costs and other expenses, and includes $17 million of net favorable mortality driven by the SPIA line of business, $8 million of net benefit from lower DAC amortization from unlocking, and $36 million of other net favorable items, primarily net investment income related to CLO redemptions held at a discount to par.</w:t>
      </w:r>
    </w:p>
    <w:p>
      <w:pPr>
        <w:spacing w:after="0" w:line="34" w:lineRule="exact"/>
        <w:rPr>
          <w:rFonts w:ascii="Arial" w:cs="Arial" w:eastAsia="Arial" w:hAnsi="Arial"/>
          <w:sz w:val="15"/>
          <w:szCs w:val="15"/>
          <w:color w:val="auto"/>
        </w:rPr>
      </w:pPr>
    </w:p>
    <w:p>
      <w:pPr>
        <w:jc w:val="both"/>
        <w:ind w:left="540" w:hanging="267"/>
        <w:spacing w:after="0" w:line="255" w:lineRule="auto"/>
        <w:tabs>
          <w:tab w:leader="none" w:pos="536" w:val="left"/>
        </w:tabs>
        <w:numPr>
          <w:ilvl w:val="1"/>
          <w:numId w:val="26"/>
        </w:numPr>
        <w:rPr>
          <w:rFonts w:ascii="Arial" w:cs="Arial" w:eastAsia="Arial" w:hAnsi="Arial"/>
          <w:sz w:val="15"/>
          <w:szCs w:val="15"/>
          <w:color w:val="auto"/>
        </w:rPr>
      </w:pPr>
      <w:r>
        <w:rPr>
          <w:rFonts w:ascii="Arial" w:cs="Arial" w:eastAsia="Arial" w:hAnsi="Arial"/>
          <w:sz w:val="15"/>
          <w:szCs w:val="15"/>
          <w:color w:val="auto"/>
        </w:rPr>
        <w:t>Adjusted net earnings for the three and four months ended September 30, 2020, primarily reflects net investment income for the period, partially offset by product costs and other expenses, and included a $10 million and $14 million, respectively of net favorable actual to expected mortality within the SPIA line of business. Adjusted net earnings for the four months ended September 30, 2020 also included $4 million bond prepayment income.</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Investment Portfolio</w:t>
      </w:r>
    </w:p>
    <w:p>
      <w:pPr>
        <w:spacing w:after="0" w:line="137" w:lineRule="exact"/>
        <w:rPr>
          <w:sz w:val="20"/>
          <w:szCs w:val="20"/>
          <w:color w:val="auto"/>
        </w:rPr>
      </w:pPr>
    </w:p>
    <w:p>
      <w:pPr>
        <w:jc w:val="both"/>
        <w:ind w:firstLine="530"/>
        <w:spacing w:after="0" w:line="255" w:lineRule="auto"/>
        <w:rPr>
          <w:sz w:val="20"/>
          <w:szCs w:val="20"/>
          <w:color w:val="auto"/>
        </w:rPr>
      </w:pPr>
      <w:r>
        <w:rPr>
          <w:rFonts w:ascii="Arial" w:cs="Arial" w:eastAsia="Arial" w:hAnsi="Arial"/>
          <w:sz w:val="15"/>
          <w:szCs w:val="15"/>
          <w:color w:val="auto"/>
        </w:rPr>
        <w:t>The types of assets in which we may invest are influenced by various state laws, which prescribe qualified investment assets applicable to insurance companies. Within the parameters of these laws, we invest in assets giving consideration to four primary investment objectives: (i) maintain robust absolute returns; (ii) provide reliable yield and investment income; (iii) preserve capital and (iv) provide liquidity to meet policyholder and other corporate obligations.</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Our investment portfolio is designed to contribute stable earnings and balance risk across diverse asset classes and is primarily invested in high quality fixed income securities.</w:t>
      </w:r>
    </w:p>
    <w:p>
      <w:pPr>
        <w:spacing w:after="0" w:line="126" w:lineRule="exact"/>
        <w:rPr>
          <w:sz w:val="20"/>
          <w:szCs w:val="20"/>
          <w:color w:val="auto"/>
        </w:rPr>
      </w:pPr>
    </w:p>
    <w:p>
      <w:pPr>
        <w:jc w:val="both"/>
        <w:ind w:right="20" w:firstLine="364"/>
        <w:spacing w:after="0" w:line="266" w:lineRule="auto"/>
        <w:rPr>
          <w:sz w:val="20"/>
          <w:szCs w:val="20"/>
          <w:color w:val="auto"/>
        </w:rPr>
      </w:pPr>
      <w:r>
        <w:rPr>
          <w:rFonts w:ascii="Arial" w:cs="Arial" w:eastAsia="Arial" w:hAnsi="Arial"/>
          <w:sz w:val="15"/>
          <w:szCs w:val="15"/>
          <w:color w:val="auto"/>
        </w:rPr>
        <w:t>As of September 30, 2021 and December 31, 2020, the fair value of our investment portfolio was approximately $36 billion and $31 billion, respectively, and was divided among the following asset classes and sectors (dollars in millions):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9" w:name="page80"/>
    <w:bookmarkEnd w:id="79"/>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1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September 30, 2021</w:t>
            </w:r>
          </w:p>
        </w:tc>
        <w:tc>
          <w:tcPr>
            <w:tcW w:w="4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ind w:left="760"/>
              <w:spacing w:after="0"/>
              <w:rPr>
                <w:sz w:val="20"/>
                <w:szCs w:val="20"/>
                <w:color w:val="auto"/>
              </w:rPr>
            </w:pPr>
            <w:r>
              <w:rPr>
                <w:rFonts w:ascii="Arial" w:cs="Arial" w:eastAsia="Arial" w:hAnsi="Arial"/>
                <w:sz w:val="12"/>
                <w:szCs w:val="12"/>
                <w:b w:val="1"/>
                <w:bCs w:val="1"/>
                <w:color w:val="auto"/>
                <w:w w:val="88"/>
              </w:rPr>
              <w:t>December 31, 2020</w:t>
            </w:r>
          </w:p>
        </w:tc>
        <w:tc>
          <w:tcPr>
            <w:tcW w:w="9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9"/>
        </w:trPr>
        <w:tc>
          <w:tcPr>
            <w:tcW w:w="5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Fair Value</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ind w:left="560"/>
              <w:spacing w:after="0"/>
              <w:rPr>
                <w:sz w:val="20"/>
                <w:szCs w:val="20"/>
                <w:color w:val="auto"/>
              </w:rPr>
            </w:pPr>
            <w:r>
              <w:rPr>
                <w:rFonts w:ascii="Arial" w:cs="Arial" w:eastAsia="Arial" w:hAnsi="Arial"/>
                <w:sz w:val="12"/>
                <w:szCs w:val="12"/>
                <w:b w:val="1"/>
                <w:bCs w:val="1"/>
                <w:color w:val="auto"/>
              </w:rPr>
              <w:t>Percent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gridSpan w:val="3"/>
          </w:tcPr>
          <w:p>
            <w:pPr>
              <w:ind w:left="180"/>
              <w:spacing w:after="0"/>
              <w:rPr>
                <w:sz w:val="20"/>
                <w:szCs w:val="20"/>
                <w:color w:val="auto"/>
              </w:rPr>
            </w:pPr>
            <w:r>
              <w:rPr>
                <w:rFonts w:ascii="Arial" w:cs="Arial" w:eastAsia="Arial" w:hAnsi="Arial"/>
                <w:sz w:val="12"/>
                <w:szCs w:val="12"/>
                <w:b w:val="1"/>
                <w:bCs w:val="1"/>
                <w:color w:val="auto"/>
              </w:rPr>
              <w:t>Fair Value</w:t>
            </w:r>
          </w:p>
        </w:tc>
        <w:tc>
          <w:tcPr>
            <w:tcW w:w="980" w:type="dxa"/>
            <w:vAlign w:val="bottom"/>
          </w:tcPr>
          <w:p>
            <w:pPr>
              <w:jc w:val="right"/>
              <w:ind w:right="501"/>
              <w:spacing w:after="0"/>
              <w:rPr>
                <w:sz w:val="20"/>
                <w:szCs w:val="20"/>
                <w:color w:val="auto"/>
              </w:rPr>
            </w:pPr>
            <w:r>
              <w:rPr>
                <w:rFonts w:ascii="Arial" w:cs="Arial" w:eastAsia="Arial" w:hAnsi="Arial"/>
                <w:sz w:val="12"/>
                <w:szCs w:val="12"/>
                <w:b w:val="1"/>
                <w:bCs w:val="1"/>
                <w:color w:val="auto"/>
                <w:w w:val="90"/>
              </w:rPr>
              <w:t>Percent</w:t>
            </w:r>
          </w:p>
        </w:tc>
        <w:tc>
          <w:tcPr>
            <w:tcW w:w="80" w:type="dxa"/>
            <w:vAlign w:val="bottom"/>
          </w:tcPr>
          <w:p>
            <w:pPr>
              <w:spacing w:after="0"/>
              <w:rPr>
                <w:sz w:val="12"/>
                <w:szCs w:val="12"/>
                <w:color w:val="auto"/>
              </w:rPr>
            </w:pPr>
          </w:p>
        </w:tc>
      </w:tr>
      <w:tr>
        <w:trPr>
          <w:trHeight w:val="158"/>
        </w:trPr>
        <w:tc>
          <w:tcPr>
            <w:tcW w:w="51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r>
      <w:tr>
        <w:trPr>
          <w:trHeight w:val="152"/>
        </w:trPr>
        <w:tc>
          <w:tcPr>
            <w:tcW w:w="5180" w:type="dxa"/>
            <w:vAlign w:val="bottom"/>
          </w:tcPr>
          <w:p>
            <w:pPr>
              <w:ind w:left="20"/>
              <w:spacing w:after="0"/>
              <w:rPr>
                <w:sz w:val="20"/>
                <w:szCs w:val="20"/>
                <w:color w:val="auto"/>
              </w:rPr>
            </w:pPr>
            <w:r>
              <w:rPr>
                <w:rFonts w:ascii="Arial" w:cs="Arial" w:eastAsia="Arial" w:hAnsi="Arial"/>
                <w:sz w:val="12"/>
                <w:szCs w:val="12"/>
                <w:color w:val="auto"/>
              </w:rPr>
              <w:t>Fixed maturity securities, available for sale:</w:t>
            </w: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51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United States Government full faith and credit</w:t>
            </w:r>
          </w:p>
        </w:tc>
        <w:tc>
          <w:tcPr>
            <w:tcW w:w="960" w:type="dxa"/>
            <w:vAlign w:val="bottom"/>
            <w:shd w:val="clear" w:color="auto" w:fill="CCEEFF"/>
          </w:tcPr>
          <w:p>
            <w:pPr>
              <w:jc w:val="right"/>
              <w:ind w:right="849"/>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472</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1 %</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45</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 %</w:t>
            </w:r>
          </w:p>
        </w:tc>
      </w:tr>
      <w:tr>
        <w:trPr>
          <w:trHeight w:val="152"/>
        </w:trPr>
        <w:tc>
          <w:tcPr>
            <w:tcW w:w="5180" w:type="dxa"/>
            <w:vAlign w:val="bottom"/>
          </w:tcPr>
          <w:p>
            <w:pPr>
              <w:ind w:left="140"/>
              <w:spacing w:after="0"/>
              <w:rPr>
                <w:sz w:val="20"/>
                <w:szCs w:val="20"/>
                <w:color w:val="auto"/>
              </w:rPr>
            </w:pPr>
            <w:r>
              <w:rPr>
                <w:rFonts w:ascii="Arial" w:cs="Arial" w:eastAsia="Arial" w:hAnsi="Arial"/>
                <w:sz w:val="12"/>
                <w:szCs w:val="12"/>
                <w:color w:val="auto"/>
              </w:rPr>
              <w:t>United States Government sponsored entities</w:t>
            </w:r>
          </w:p>
        </w:tc>
        <w:tc>
          <w:tcPr>
            <w:tcW w:w="960" w:type="dxa"/>
            <w:vAlign w:val="bottom"/>
          </w:tcPr>
          <w:p>
            <w:pPr>
              <w:spacing w:after="0"/>
              <w:rPr>
                <w:sz w:val="13"/>
                <w:szCs w:val="13"/>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85</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 %</w:t>
            </w:r>
          </w:p>
        </w:tc>
        <w:tc>
          <w:tcPr>
            <w:tcW w:w="26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106</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 %</w:t>
            </w:r>
          </w:p>
        </w:tc>
      </w:tr>
      <w:tr>
        <w:trPr>
          <w:trHeight w:val="157"/>
        </w:trPr>
        <w:tc>
          <w:tcPr>
            <w:tcW w:w="51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United States municipalities, states and territories</w:t>
            </w:r>
          </w:p>
        </w:tc>
        <w:tc>
          <w:tcPr>
            <w:tcW w:w="96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1,301</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4 %</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1,309</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4 %</w:t>
            </w:r>
          </w:p>
        </w:tc>
        <w:tc>
          <w:tcPr>
            <w:tcW w:w="80" w:type="dxa"/>
            <w:vAlign w:val="bottom"/>
            <w:shd w:val="clear" w:color="auto" w:fill="CCEEFF"/>
          </w:tcPr>
          <w:p>
            <w:pPr>
              <w:spacing w:after="0"/>
              <w:rPr>
                <w:sz w:val="13"/>
                <w:szCs w:val="13"/>
                <w:color w:val="auto"/>
              </w:rPr>
            </w:pPr>
          </w:p>
        </w:tc>
      </w:tr>
      <w:tr>
        <w:trPr>
          <w:trHeight w:val="152"/>
        </w:trPr>
        <w:tc>
          <w:tcPr>
            <w:tcW w:w="5180" w:type="dxa"/>
            <w:vAlign w:val="bottom"/>
          </w:tcPr>
          <w:p>
            <w:pPr>
              <w:ind w:left="140"/>
              <w:spacing w:after="0"/>
              <w:rPr>
                <w:sz w:val="20"/>
                <w:szCs w:val="20"/>
                <w:color w:val="auto"/>
              </w:rPr>
            </w:pPr>
            <w:r>
              <w:rPr>
                <w:rFonts w:ascii="Arial" w:cs="Arial" w:eastAsia="Arial" w:hAnsi="Arial"/>
                <w:sz w:val="12"/>
                <w:szCs w:val="12"/>
                <w:color w:val="auto"/>
              </w:rPr>
              <w:t>Foreign Governments</w:t>
            </w:r>
          </w:p>
        </w:tc>
        <w:tc>
          <w:tcPr>
            <w:tcW w:w="960" w:type="dxa"/>
            <w:vAlign w:val="bottom"/>
          </w:tcPr>
          <w:p>
            <w:pPr>
              <w:spacing w:after="0"/>
              <w:rPr>
                <w:sz w:val="13"/>
                <w:szCs w:val="13"/>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137</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140</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 %</w:t>
            </w:r>
          </w:p>
        </w:tc>
      </w:tr>
      <w:tr>
        <w:trPr>
          <w:trHeight w:val="157"/>
        </w:trPr>
        <w:tc>
          <w:tcPr>
            <w:tcW w:w="5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Corporate securities:</w:t>
            </w:r>
          </w:p>
        </w:tc>
        <w:tc>
          <w:tcPr>
            <w:tcW w:w="9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5180" w:type="dxa"/>
            <w:vAlign w:val="bottom"/>
          </w:tcPr>
          <w:p>
            <w:pPr>
              <w:ind w:left="140"/>
              <w:spacing w:after="0"/>
              <w:rPr>
                <w:sz w:val="20"/>
                <w:szCs w:val="20"/>
                <w:color w:val="auto"/>
              </w:rPr>
            </w:pPr>
            <w:r>
              <w:rPr>
                <w:rFonts w:ascii="Arial" w:cs="Arial" w:eastAsia="Arial" w:hAnsi="Arial"/>
                <w:sz w:val="12"/>
                <w:szCs w:val="12"/>
                <w:color w:val="auto"/>
              </w:rPr>
              <w:t>Finance, insurance and real estate</w:t>
            </w:r>
          </w:p>
        </w:tc>
        <w:tc>
          <w:tcPr>
            <w:tcW w:w="960" w:type="dxa"/>
            <w:vAlign w:val="bottom"/>
          </w:tcPr>
          <w:p>
            <w:pPr>
              <w:spacing w:after="0"/>
              <w:rPr>
                <w:sz w:val="13"/>
                <w:szCs w:val="13"/>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4,758</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13 %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4,572</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15 %</w:t>
            </w:r>
          </w:p>
        </w:tc>
        <w:tc>
          <w:tcPr>
            <w:tcW w:w="80" w:type="dxa"/>
            <w:vAlign w:val="bottom"/>
          </w:tcPr>
          <w:p>
            <w:pPr>
              <w:spacing w:after="0"/>
              <w:rPr>
                <w:sz w:val="13"/>
                <w:szCs w:val="13"/>
                <w:color w:val="auto"/>
              </w:rPr>
            </w:pPr>
          </w:p>
        </w:tc>
      </w:tr>
      <w:tr>
        <w:trPr>
          <w:trHeight w:val="157"/>
        </w:trPr>
        <w:tc>
          <w:tcPr>
            <w:tcW w:w="51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Manufacturing, construction and mining</w:t>
            </w:r>
          </w:p>
        </w:tc>
        <w:tc>
          <w:tcPr>
            <w:tcW w:w="96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920</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3 %</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936</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3 %</w:t>
            </w:r>
          </w:p>
        </w:tc>
        <w:tc>
          <w:tcPr>
            <w:tcW w:w="80" w:type="dxa"/>
            <w:vAlign w:val="bottom"/>
            <w:shd w:val="clear" w:color="auto" w:fill="CCEEFF"/>
          </w:tcPr>
          <w:p>
            <w:pPr>
              <w:spacing w:after="0"/>
              <w:rPr>
                <w:sz w:val="13"/>
                <w:szCs w:val="13"/>
                <w:color w:val="auto"/>
              </w:rPr>
            </w:pPr>
          </w:p>
        </w:tc>
      </w:tr>
      <w:tr>
        <w:trPr>
          <w:trHeight w:val="152"/>
        </w:trPr>
        <w:tc>
          <w:tcPr>
            <w:tcW w:w="5180" w:type="dxa"/>
            <w:vAlign w:val="bottom"/>
          </w:tcPr>
          <w:p>
            <w:pPr>
              <w:ind w:left="140"/>
              <w:spacing w:after="0"/>
              <w:rPr>
                <w:sz w:val="20"/>
                <w:szCs w:val="20"/>
                <w:color w:val="auto"/>
              </w:rPr>
            </w:pPr>
            <w:r>
              <w:rPr>
                <w:rFonts w:ascii="Arial" w:cs="Arial" w:eastAsia="Arial" w:hAnsi="Arial"/>
                <w:sz w:val="12"/>
                <w:szCs w:val="12"/>
                <w:color w:val="auto"/>
              </w:rPr>
              <w:t>Utilities, energy and related sectors</w:t>
            </w:r>
          </w:p>
        </w:tc>
        <w:tc>
          <w:tcPr>
            <w:tcW w:w="960" w:type="dxa"/>
            <w:vAlign w:val="bottom"/>
          </w:tcPr>
          <w:p>
            <w:pPr>
              <w:spacing w:after="0"/>
              <w:rPr>
                <w:sz w:val="13"/>
                <w:szCs w:val="13"/>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2,764</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9 %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2,762</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9 %</w:t>
            </w:r>
          </w:p>
        </w:tc>
        <w:tc>
          <w:tcPr>
            <w:tcW w:w="80" w:type="dxa"/>
            <w:vAlign w:val="bottom"/>
          </w:tcPr>
          <w:p>
            <w:pPr>
              <w:spacing w:after="0"/>
              <w:rPr>
                <w:sz w:val="13"/>
                <w:szCs w:val="13"/>
                <w:color w:val="auto"/>
              </w:rPr>
            </w:pPr>
          </w:p>
        </w:tc>
      </w:tr>
      <w:tr>
        <w:trPr>
          <w:trHeight w:val="157"/>
        </w:trPr>
        <w:tc>
          <w:tcPr>
            <w:tcW w:w="51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Wholesale/retail trade</w:t>
            </w:r>
          </w:p>
        </w:tc>
        <w:tc>
          <w:tcPr>
            <w:tcW w:w="96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2,345</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6 %</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2,106</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7 %</w:t>
            </w:r>
          </w:p>
        </w:tc>
        <w:tc>
          <w:tcPr>
            <w:tcW w:w="80" w:type="dxa"/>
            <w:vAlign w:val="bottom"/>
            <w:shd w:val="clear" w:color="auto" w:fill="CCEEFF"/>
          </w:tcPr>
          <w:p>
            <w:pPr>
              <w:spacing w:after="0"/>
              <w:rPr>
                <w:sz w:val="13"/>
                <w:szCs w:val="13"/>
                <w:color w:val="auto"/>
              </w:rPr>
            </w:pPr>
          </w:p>
        </w:tc>
      </w:tr>
      <w:tr>
        <w:trPr>
          <w:trHeight w:val="152"/>
        </w:trPr>
        <w:tc>
          <w:tcPr>
            <w:tcW w:w="5180" w:type="dxa"/>
            <w:vAlign w:val="bottom"/>
          </w:tcPr>
          <w:p>
            <w:pPr>
              <w:ind w:left="140"/>
              <w:spacing w:after="0"/>
              <w:rPr>
                <w:sz w:val="20"/>
                <w:szCs w:val="20"/>
                <w:color w:val="auto"/>
              </w:rPr>
            </w:pPr>
            <w:r>
              <w:rPr>
                <w:rFonts w:ascii="Arial" w:cs="Arial" w:eastAsia="Arial" w:hAnsi="Arial"/>
                <w:sz w:val="12"/>
                <w:szCs w:val="12"/>
                <w:color w:val="auto"/>
              </w:rPr>
              <w:t>Services, media and other</w:t>
            </w:r>
          </w:p>
        </w:tc>
        <w:tc>
          <w:tcPr>
            <w:tcW w:w="960" w:type="dxa"/>
            <w:vAlign w:val="bottom"/>
          </w:tcPr>
          <w:p>
            <w:pPr>
              <w:spacing w:after="0"/>
              <w:rPr>
                <w:sz w:val="13"/>
                <w:szCs w:val="13"/>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3,032</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2,793</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9 %</w:t>
            </w:r>
          </w:p>
        </w:tc>
        <w:tc>
          <w:tcPr>
            <w:tcW w:w="80" w:type="dxa"/>
            <w:vAlign w:val="bottom"/>
          </w:tcPr>
          <w:p>
            <w:pPr>
              <w:spacing w:after="0"/>
              <w:rPr>
                <w:sz w:val="13"/>
                <w:szCs w:val="13"/>
                <w:color w:val="auto"/>
              </w:rPr>
            </w:pPr>
          </w:p>
        </w:tc>
      </w:tr>
      <w:tr>
        <w:trPr>
          <w:trHeight w:val="157"/>
        </w:trPr>
        <w:tc>
          <w:tcPr>
            <w:tcW w:w="5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Hybrid securities</w:t>
            </w:r>
          </w:p>
        </w:tc>
        <w:tc>
          <w:tcPr>
            <w:tcW w:w="96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893</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2 %</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963</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3 %</w:t>
            </w:r>
          </w:p>
        </w:tc>
        <w:tc>
          <w:tcPr>
            <w:tcW w:w="80" w:type="dxa"/>
            <w:vAlign w:val="bottom"/>
            <w:shd w:val="clear" w:color="auto" w:fill="CCEEFF"/>
          </w:tcPr>
          <w:p>
            <w:pPr>
              <w:spacing w:after="0"/>
              <w:rPr>
                <w:sz w:val="13"/>
                <w:szCs w:val="13"/>
                <w:color w:val="auto"/>
              </w:rPr>
            </w:pPr>
          </w:p>
        </w:tc>
      </w:tr>
      <w:tr>
        <w:trPr>
          <w:trHeight w:val="152"/>
        </w:trPr>
        <w:tc>
          <w:tcPr>
            <w:tcW w:w="5180" w:type="dxa"/>
            <w:vAlign w:val="bottom"/>
          </w:tcPr>
          <w:p>
            <w:pPr>
              <w:ind w:left="20"/>
              <w:spacing w:after="0"/>
              <w:rPr>
                <w:sz w:val="20"/>
                <w:szCs w:val="20"/>
                <w:color w:val="auto"/>
              </w:rPr>
            </w:pPr>
            <w:r>
              <w:rPr>
                <w:rFonts w:ascii="Arial" w:cs="Arial" w:eastAsia="Arial" w:hAnsi="Arial"/>
                <w:sz w:val="12"/>
                <w:szCs w:val="12"/>
                <w:color w:val="auto"/>
              </w:rPr>
              <w:t>Non-agency residential mortgage-backed securities</w:t>
            </w:r>
          </w:p>
        </w:tc>
        <w:tc>
          <w:tcPr>
            <w:tcW w:w="960" w:type="dxa"/>
            <w:vAlign w:val="bottom"/>
          </w:tcPr>
          <w:p>
            <w:pPr>
              <w:spacing w:after="0"/>
              <w:rPr>
                <w:sz w:val="13"/>
                <w:szCs w:val="13"/>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646</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694</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2 %</w:t>
            </w:r>
          </w:p>
        </w:tc>
        <w:tc>
          <w:tcPr>
            <w:tcW w:w="80" w:type="dxa"/>
            <w:vAlign w:val="bottom"/>
          </w:tcPr>
          <w:p>
            <w:pPr>
              <w:spacing w:after="0"/>
              <w:rPr>
                <w:sz w:val="13"/>
                <w:szCs w:val="13"/>
                <w:color w:val="auto"/>
              </w:rPr>
            </w:pPr>
          </w:p>
        </w:tc>
      </w:tr>
      <w:tr>
        <w:trPr>
          <w:trHeight w:val="157"/>
        </w:trPr>
        <w:tc>
          <w:tcPr>
            <w:tcW w:w="5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Commercial mortgage-backed securities</w:t>
            </w:r>
          </w:p>
        </w:tc>
        <w:tc>
          <w:tcPr>
            <w:tcW w:w="96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3,006</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8 %</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2,806</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9 %</w:t>
            </w:r>
          </w:p>
        </w:tc>
        <w:tc>
          <w:tcPr>
            <w:tcW w:w="80" w:type="dxa"/>
            <w:vAlign w:val="bottom"/>
            <w:shd w:val="clear" w:color="auto" w:fill="CCEEFF"/>
          </w:tcPr>
          <w:p>
            <w:pPr>
              <w:spacing w:after="0"/>
              <w:rPr>
                <w:sz w:val="13"/>
                <w:szCs w:val="13"/>
                <w:color w:val="auto"/>
              </w:rPr>
            </w:pPr>
          </w:p>
        </w:tc>
      </w:tr>
      <w:tr>
        <w:trPr>
          <w:trHeight w:val="152"/>
        </w:trPr>
        <w:tc>
          <w:tcPr>
            <w:tcW w:w="5180" w:type="dxa"/>
            <w:vAlign w:val="bottom"/>
          </w:tcPr>
          <w:p>
            <w:pPr>
              <w:ind w:left="20"/>
              <w:spacing w:after="0"/>
              <w:rPr>
                <w:sz w:val="20"/>
                <w:szCs w:val="20"/>
                <w:color w:val="auto"/>
              </w:rPr>
            </w:pPr>
            <w:r>
              <w:rPr>
                <w:rFonts w:ascii="Arial" w:cs="Arial" w:eastAsia="Arial" w:hAnsi="Arial"/>
                <w:sz w:val="12"/>
                <w:szCs w:val="12"/>
                <w:color w:val="auto"/>
              </w:rPr>
              <w:t>Asset-backed securities</w:t>
            </w:r>
          </w:p>
        </w:tc>
        <w:tc>
          <w:tcPr>
            <w:tcW w:w="960" w:type="dxa"/>
            <w:vAlign w:val="bottom"/>
          </w:tcPr>
          <w:p>
            <w:pPr>
              <w:spacing w:after="0"/>
              <w:rPr>
                <w:sz w:val="13"/>
                <w:szCs w:val="13"/>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3,830</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11 %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1,999</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6 %</w:t>
            </w:r>
          </w:p>
        </w:tc>
        <w:tc>
          <w:tcPr>
            <w:tcW w:w="80" w:type="dxa"/>
            <w:vAlign w:val="bottom"/>
          </w:tcPr>
          <w:p>
            <w:pPr>
              <w:spacing w:after="0"/>
              <w:rPr>
                <w:sz w:val="13"/>
                <w:szCs w:val="13"/>
                <w:color w:val="auto"/>
              </w:rPr>
            </w:pPr>
          </w:p>
        </w:tc>
      </w:tr>
      <w:tr>
        <w:trPr>
          <w:trHeight w:val="157"/>
        </w:trPr>
        <w:tc>
          <w:tcPr>
            <w:tcW w:w="5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Collateral loan obligations ("CLO")</w:t>
            </w:r>
          </w:p>
        </w:tc>
        <w:tc>
          <w:tcPr>
            <w:tcW w:w="9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4,361</w:t>
            </w:r>
          </w:p>
        </w:tc>
        <w:tc>
          <w:tcPr>
            <w:tcW w:w="8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12 %</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4,268</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14 %</w:t>
            </w:r>
          </w:p>
        </w:tc>
        <w:tc>
          <w:tcPr>
            <w:tcW w:w="80" w:type="dxa"/>
            <w:vAlign w:val="bottom"/>
            <w:shd w:val="clear" w:color="auto" w:fill="CCEEFF"/>
          </w:tcPr>
          <w:p>
            <w:pPr>
              <w:spacing w:after="0"/>
              <w:rPr>
                <w:sz w:val="13"/>
                <w:szCs w:val="13"/>
                <w:color w:val="auto"/>
              </w:rPr>
            </w:pPr>
          </w:p>
        </w:tc>
      </w:tr>
      <w:tr>
        <w:trPr>
          <w:trHeight w:val="143"/>
        </w:trPr>
        <w:tc>
          <w:tcPr>
            <w:tcW w:w="51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Total fixed maturity available for sale securities</w:t>
            </w:r>
          </w:p>
        </w:tc>
        <w:tc>
          <w:tcPr>
            <w:tcW w:w="960" w:type="dxa"/>
            <w:vAlign w:val="bottom"/>
          </w:tcPr>
          <w:p>
            <w:pPr>
              <w:spacing w:after="0"/>
              <w:rPr>
                <w:sz w:val="12"/>
                <w:szCs w:val="12"/>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color w:val="auto"/>
                <w:w w:val="92"/>
              </w:rPr>
              <w:t>28,550</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80 %</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25,499</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81 %</w:t>
            </w:r>
          </w:p>
        </w:tc>
        <w:tc>
          <w:tcPr>
            <w:tcW w:w="80" w:type="dxa"/>
            <w:vAlign w:val="bottom"/>
          </w:tcPr>
          <w:p>
            <w:pPr>
              <w:spacing w:after="0"/>
              <w:rPr>
                <w:sz w:val="12"/>
                <w:szCs w:val="12"/>
                <w:color w:val="auto"/>
              </w:rPr>
            </w:pPr>
          </w:p>
        </w:tc>
      </w:tr>
      <w:tr>
        <w:trPr>
          <w:trHeight w:val="157"/>
        </w:trPr>
        <w:tc>
          <w:tcPr>
            <w:tcW w:w="5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Alternative investments:</w:t>
            </w:r>
          </w:p>
        </w:tc>
        <w:tc>
          <w:tcPr>
            <w:tcW w:w="9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5180" w:type="dxa"/>
            <w:vAlign w:val="bottom"/>
          </w:tcPr>
          <w:p>
            <w:pPr>
              <w:ind w:left="120"/>
              <w:spacing w:after="0"/>
              <w:rPr>
                <w:sz w:val="20"/>
                <w:szCs w:val="20"/>
                <w:color w:val="auto"/>
              </w:rPr>
            </w:pPr>
            <w:r>
              <w:rPr>
                <w:rFonts w:ascii="Arial" w:cs="Arial" w:eastAsia="Arial" w:hAnsi="Arial"/>
                <w:sz w:val="12"/>
                <w:szCs w:val="12"/>
                <w:color w:val="auto"/>
              </w:rPr>
              <w:t>Private equity</w:t>
            </w:r>
          </w:p>
        </w:tc>
        <w:tc>
          <w:tcPr>
            <w:tcW w:w="960" w:type="dxa"/>
            <w:vAlign w:val="bottom"/>
          </w:tcPr>
          <w:p>
            <w:pPr>
              <w:spacing w:after="0"/>
              <w:rPr>
                <w:sz w:val="13"/>
                <w:szCs w:val="13"/>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933</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614</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2 %</w:t>
            </w:r>
          </w:p>
        </w:tc>
        <w:tc>
          <w:tcPr>
            <w:tcW w:w="80" w:type="dxa"/>
            <w:vAlign w:val="bottom"/>
          </w:tcPr>
          <w:p>
            <w:pPr>
              <w:spacing w:after="0"/>
              <w:rPr>
                <w:sz w:val="13"/>
                <w:szCs w:val="13"/>
                <w:color w:val="auto"/>
              </w:rPr>
            </w:pPr>
          </w:p>
        </w:tc>
      </w:tr>
      <w:tr>
        <w:trPr>
          <w:trHeight w:val="157"/>
        </w:trPr>
        <w:tc>
          <w:tcPr>
            <w:tcW w:w="51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Real assets</w:t>
            </w:r>
          </w:p>
        </w:tc>
        <w:tc>
          <w:tcPr>
            <w:tcW w:w="96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321</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1 %</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288</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1 %</w:t>
            </w:r>
          </w:p>
        </w:tc>
        <w:tc>
          <w:tcPr>
            <w:tcW w:w="80" w:type="dxa"/>
            <w:vAlign w:val="bottom"/>
            <w:shd w:val="clear" w:color="auto" w:fill="CCEEFF"/>
          </w:tcPr>
          <w:p>
            <w:pPr>
              <w:spacing w:after="0"/>
              <w:rPr>
                <w:sz w:val="13"/>
                <w:szCs w:val="13"/>
                <w:color w:val="auto"/>
              </w:rPr>
            </w:pPr>
          </w:p>
        </w:tc>
      </w:tr>
      <w:tr>
        <w:trPr>
          <w:trHeight w:val="152"/>
        </w:trPr>
        <w:tc>
          <w:tcPr>
            <w:tcW w:w="5180" w:type="dxa"/>
            <w:vAlign w:val="bottom"/>
          </w:tcPr>
          <w:p>
            <w:pPr>
              <w:ind w:left="120"/>
              <w:spacing w:after="0"/>
              <w:rPr>
                <w:sz w:val="20"/>
                <w:szCs w:val="20"/>
                <w:color w:val="auto"/>
              </w:rPr>
            </w:pPr>
            <w:r>
              <w:rPr>
                <w:rFonts w:ascii="Arial" w:cs="Arial" w:eastAsia="Arial" w:hAnsi="Arial"/>
                <w:sz w:val="12"/>
                <w:szCs w:val="12"/>
                <w:color w:val="auto"/>
              </w:rPr>
              <w:t>Credit</w:t>
            </w:r>
          </w:p>
        </w:tc>
        <w:tc>
          <w:tcPr>
            <w:tcW w:w="960" w:type="dxa"/>
            <w:vAlign w:val="bottom"/>
          </w:tcPr>
          <w:p>
            <w:pPr>
              <w:spacing w:after="0"/>
              <w:rPr>
                <w:sz w:val="13"/>
                <w:szCs w:val="13"/>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768</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254</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1 %</w:t>
            </w:r>
          </w:p>
        </w:tc>
        <w:tc>
          <w:tcPr>
            <w:tcW w:w="80" w:type="dxa"/>
            <w:vAlign w:val="bottom"/>
          </w:tcPr>
          <w:p>
            <w:pPr>
              <w:spacing w:after="0"/>
              <w:rPr>
                <w:sz w:val="13"/>
                <w:szCs w:val="13"/>
                <w:color w:val="auto"/>
              </w:rPr>
            </w:pPr>
          </w:p>
        </w:tc>
      </w:tr>
      <w:tr>
        <w:trPr>
          <w:trHeight w:val="157"/>
        </w:trPr>
        <w:tc>
          <w:tcPr>
            <w:tcW w:w="5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 securities (a)</w:t>
            </w:r>
          </w:p>
        </w:tc>
        <w:tc>
          <w:tcPr>
            <w:tcW w:w="96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1,026</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2 %</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1,047</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3 %</w:t>
            </w:r>
          </w:p>
        </w:tc>
        <w:tc>
          <w:tcPr>
            <w:tcW w:w="80" w:type="dxa"/>
            <w:vAlign w:val="bottom"/>
            <w:shd w:val="clear" w:color="auto" w:fill="CCEEFF"/>
          </w:tcPr>
          <w:p>
            <w:pPr>
              <w:spacing w:after="0"/>
              <w:rPr>
                <w:sz w:val="13"/>
                <w:szCs w:val="13"/>
                <w:color w:val="auto"/>
              </w:rPr>
            </w:pPr>
          </w:p>
        </w:tc>
      </w:tr>
      <w:tr>
        <w:trPr>
          <w:trHeight w:val="152"/>
        </w:trPr>
        <w:tc>
          <w:tcPr>
            <w:tcW w:w="5180" w:type="dxa"/>
            <w:vAlign w:val="bottom"/>
          </w:tcPr>
          <w:p>
            <w:pPr>
              <w:ind w:left="20"/>
              <w:spacing w:after="0"/>
              <w:rPr>
                <w:sz w:val="20"/>
                <w:szCs w:val="20"/>
                <w:color w:val="auto"/>
              </w:rPr>
            </w:pPr>
            <w:r>
              <w:rPr>
                <w:rFonts w:ascii="Arial" w:cs="Arial" w:eastAsia="Arial" w:hAnsi="Arial"/>
                <w:sz w:val="12"/>
                <w:szCs w:val="12"/>
                <w:color w:val="auto"/>
              </w:rPr>
              <w:t>Commercial mortgage loans</w:t>
            </w:r>
          </w:p>
        </w:tc>
        <w:tc>
          <w:tcPr>
            <w:tcW w:w="960" w:type="dxa"/>
            <w:vAlign w:val="bottom"/>
          </w:tcPr>
          <w:p>
            <w:pPr>
              <w:spacing w:after="0"/>
              <w:rPr>
                <w:sz w:val="13"/>
                <w:szCs w:val="13"/>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2,011</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926</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3 %</w:t>
            </w:r>
          </w:p>
        </w:tc>
        <w:tc>
          <w:tcPr>
            <w:tcW w:w="80" w:type="dxa"/>
            <w:vAlign w:val="bottom"/>
          </w:tcPr>
          <w:p>
            <w:pPr>
              <w:spacing w:after="0"/>
              <w:rPr>
                <w:sz w:val="13"/>
                <w:szCs w:val="13"/>
                <w:color w:val="auto"/>
              </w:rPr>
            </w:pPr>
          </w:p>
        </w:tc>
      </w:tr>
      <w:tr>
        <w:trPr>
          <w:trHeight w:val="157"/>
        </w:trPr>
        <w:tc>
          <w:tcPr>
            <w:tcW w:w="5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Residential mortgage loans</w:t>
            </w:r>
          </w:p>
        </w:tc>
        <w:tc>
          <w:tcPr>
            <w:tcW w:w="96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1,473</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4 %</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1,123</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4 %</w:t>
            </w:r>
          </w:p>
        </w:tc>
        <w:tc>
          <w:tcPr>
            <w:tcW w:w="80" w:type="dxa"/>
            <w:vAlign w:val="bottom"/>
            <w:shd w:val="clear" w:color="auto" w:fill="CCEEFF"/>
          </w:tcPr>
          <w:p>
            <w:pPr>
              <w:spacing w:after="0"/>
              <w:rPr>
                <w:sz w:val="13"/>
                <w:szCs w:val="13"/>
                <w:color w:val="auto"/>
              </w:rPr>
            </w:pPr>
          </w:p>
        </w:tc>
      </w:tr>
      <w:tr>
        <w:trPr>
          <w:trHeight w:val="152"/>
        </w:trPr>
        <w:tc>
          <w:tcPr>
            <w:tcW w:w="5180" w:type="dxa"/>
            <w:vAlign w:val="bottom"/>
          </w:tcPr>
          <w:p>
            <w:pPr>
              <w:ind w:left="20"/>
              <w:spacing w:after="0"/>
              <w:rPr>
                <w:sz w:val="20"/>
                <w:szCs w:val="20"/>
                <w:color w:val="auto"/>
              </w:rPr>
            </w:pPr>
            <w:r>
              <w:rPr>
                <w:rFonts w:ascii="Arial" w:cs="Arial" w:eastAsia="Arial" w:hAnsi="Arial"/>
                <w:sz w:val="12"/>
                <w:szCs w:val="12"/>
                <w:color w:val="auto"/>
              </w:rPr>
              <w:t>Other (primarily derivatives and company owned life insurance)</w:t>
            </w:r>
          </w:p>
        </w:tc>
        <w:tc>
          <w:tcPr>
            <w:tcW w:w="960" w:type="dxa"/>
            <w:vAlign w:val="bottom"/>
          </w:tcPr>
          <w:p>
            <w:pPr>
              <w:spacing w:after="0"/>
              <w:rPr>
                <w:sz w:val="13"/>
                <w:szCs w:val="13"/>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1,035</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997</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4 %</w:t>
            </w:r>
          </w:p>
        </w:tc>
        <w:tc>
          <w:tcPr>
            <w:tcW w:w="80" w:type="dxa"/>
            <w:vAlign w:val="bottom"/>
          </w:tcPr>
          <w:p>
            <w:pPr>
              <w:spacing w:after="0"/>
              <w:rPr>
                <w:sz w:val="13"/>
                <w:szCs w:val="13"/>
                <w:color w:val="auto"/>
              </w:rPr>
            </w:pPr>
          </w:p>
        </w:tc>
      </w:tr>
      <w:tr>
        <w:trPr>
          <w:trHeight w:val="155"/>
        </w:trPr>
        <w:tc>
          <w:tcPr>
            <w:tcW w:w="5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Short term investments</w:t>
            </w:r>
          </w:p>
        </w:tc>
        <w:tc>
          <w:tcPr>
            <w:tcW w:w="9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258</w:t>
            </w:r>
          </w:p>
        </w:tc>
        <w:tc>
          <w:tcPr>
            <w:tcW w:w="8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1 %</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456</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1 %</w:t>
            </w:r>
          </w:p>
        </w:tc>
        <w:tc>
          <w:tcPr>
            <w:tcW w:w="80" w:type="dxa"/>
            <w:vAlign w:val="bottom"/>
            <w:shd w:val="clear" w:color="auto" w:fill="CCEEFF"/>
          </w:tcPr>
          <w:p>
            <w:pPr>
              <w:spacing w:after="0"/>
              <w:rPr>
                <w:sz w:val="13"/>
                <w:szCs w:val="13"/>
                <w:color w:val="auto"/>
              </w:rPr>
            </w:pPr>
          </w:p>
        </w:tc>
      </w:tr>
      <w:tr>
        <w:trPr>
          <w:trHeight w:val="148"/>
        </w:trPr>
        <w:tc>
          <w:tcPr>
            <w:tcW w:w="5180" w:type="dxa"/>
            <w:vAlign w:val="bottom"/>
          </w:tcPr>
          <w:p>
            <w:pPr>
              <w:ind w:left="120"/>
              <w:spacing w:after="0"/>
              <w:rPr>
                <w:sz w:val="20"/>
                <w:szCs w:val="20"/>
                <w:color w:val="auto"/>
              </w:rPr>
            </w:pPr>
            <w:r>
              <w:rPr>
                <w:rFonts w:ascii="Arial" w:cs="Arial" w:eastAsia="Arial" w:hAnsi="Arial"/>
                <w:sz w:val="12"/>
                <w:szCs w:val="12"/>
                <w:b w:val="1"/>
                <w:bCs w:val="1"/>
                <w:color w:val="auto"/>
              </w:rPr>
              <w:t>Total investments</w:t>
            </w:r>
          </w:p>
        </w:tc>
        <w:tc>
          <w:tcPr>
            <w:tcW w:w="960" w:type="dxa"/>
            <w:vAlign w:val="bottom"/>
            <w:tcBorders>
              <w:bottom w:val="single" w:sz="8" w:color="auto"/>
            </w:tcBorders>
          </w:tcPr>
          <w:p>
            <w:pPr>
              <w:jc w:val="right"/>
              <w:ind w:right="849"/>
              <w:spacing w:after="0"/>
              <w:rPr>
                <w:sz w:val="20"/>
                <w:szCs w:val="20"/>
                <w:color w:val="auto"/>
              </w:rPr>
            </w:pPr>
            <w:r>
              <w:rPr>
                <w:rFonts w:ascii="Arial" w:cs="Arial" w:eastAsia="Arial" w:hAnsi="Arial"/>
                <w:sz w:val="9"/>
                <w:szCs w:val="9"/>
                <w:color w:val="auto"/>
                <w:w w:val="78"/>
              </w:rPr>
              <w:t>$</w:t>
            </w:r>
          </w:p>
        </w:tc>
        <w:tc>
          <w:tcPr>
            <w:tcW w:w="4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w w:val="92"/>
              </w:rPr>
              <w:t>36,375</w:t>
            </w:r>
          </w:p>
        </w:tc>
        <w:tc>
          <w:tcPr>
            <w:tcW w:w="8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100 %</w:t>
            </w: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121"/>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31,204</w:t>
            </w:r>
          </w:p>
        </w:tc>
        <w:tc>
          <w:tcPr>
            <w:tcW w:w="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100 %</w:t>
            </w:r>
          </w:p>
        </w:tc>
        <w:tc>
          <w:tcPr>
            <w:tcW w:w="80" w:type="dxa"/>
            <w:vAlign w:val="bottom"/>
          </w:tcPr>
          <w:p>
            <w:pPr>
              <w:spacing w:after="0"/>
              <w:rPr>
                <w:sz w:val="12"/>
                <w:szCs w:val="12"/>
                <w:color w:val="auto"/>
              </w:rPr>
            </w:pPr>
          </w:p>
        </w:tc>
      </w:tr>
      <w:tr>
        <w:trPr>
          <w:trHeight w:val="20"/>
        </w:trPr>
        <w:tc>
          <w:tcPr>
            <w:tcW w:w="5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(a) Includes investment grade non-redeemable preferred stocks ($755 million and $853 million, respectively).</w:t>
      </w:r>
    </w:p>
    <w:p>
      <w:pPr>
        <w:spacing w:after="0" w:line="176" w:lineRule="exact"/>
        <w:rPr>
          <w:sz w:val="20"/>
          <w:szCs w:val="20"/>
          <w:color w:val="auto"/>
        </w:rPr>
      </w:pPr>
    </w:p>
    <w:p>
      <w:pPr>
        <w:jc w:val="both"/>
        <w:ind w:firstLine="331"/>
        <w:spacing w:after="0" w:line="252" w:lineRule="auto"/>
        <w:rPr>
          <w:sz w:val="20"/>
          <w:szCs w:val="20"/>
          <w:color w:val="auto"/>
        </w:rPr>
      </w:pPr>
      <w:r>
        <w:rPr>
          <w:rFonts w:ascii="Arial" w:cs="Arial" w:eastAsia="Arial" w:hAnsi="Arial"/>
          <w:sz w:val="15"/>
          <w:szCs w:val="15"/>
          <w:color w:val="auto"/>
        </w:rPr>
        <w:t>Insurance statutes regulate the type of investments that our life insurance subsidiaries are permitted to make and limit the amount of funds that may be used for any one type of investment. In light of these statutes and regulations, and our business and investment strategy, we generally seek to invest in (i) corporate securities rated investment grade by established nationally recognized statistical rating organizations (each, an “NRSRO”), (ii) U.S. Government and government-sponsored agency securities, or (iii) securities of comparable investment quality, if not rated.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0" w:name="page81"/>
    <w:bookmarkEnd w:id="80"/>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31"/>
        <w:spacing w:after="0" w:line="266" w:lineRule="auto"/>
        <w:rPr>
          <w:sz w:val="20"/>
          <w:szCs w:val="20"/>
          <w:color w:val="auto"/>
        </w:rPr>
      </w:pPr>
      <w:r>
        <w:rPr>
          <w:rFonts w:ascii="Arial" w:cs="Arial" w:eastAsia="Arial" w:hAnsi="Arial"/>
          <w:sz w:val="15"/>
          <w:szCs w:val="15"/>
          <w:color w:val="auto"/>
        </w:rPr>
        <w:t>As of September 30, 2021 and December 31, 2020, our fixed maturity available-for-sale ("AFS") securities portfolio was approximately $29 billion and $25 billion, respectively. The following table summarizes the credit quality, by NRSRO rating, of our fixed income portfolio (dollars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1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September 30, 2021</w:t>
            </w:r>
          </w:p>
        </w:tc>
        <w:tc>
          <w:tcPr>
            <w:tcW w:w="4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ind w:left="760"/>
              <w:spacing w:after="0"/>
              <w:rPr>
                <w:sz w:val="20"/>
                <w:szCs w:val="20"/>
                <w:color w:val="auto"/>
              </w:rPr>
            </w:pPr>
            <w:r>
              <w:rPr>
                <w:rFonts w:ascii="Arial" w:cs="Arial" w:eastAsia="Arial" w:hAnsi="Arial"/>
                <w:sz w:val="12"/>
                <w:szCs w:val="12"/>
                <w:b w:val="1"/>
                <w:bCs w:val="1"/>
                <w:color w:val="auto"/>
                <w:w w:val="88"/>
              </w:rPr>
              <w:t>December 31, 2020</w:t>
            </w:r>
          </w:p>
        </w:tc>
        <w:tc>
          <w:tcPr>
            <w:tcW w:w="9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3"/>
        </w:trPr>
        <w:tc>
          <w:tcPr>
            <w:tcW w:w="5180" w:type="dxa"/>
            <w:vAlign w:val="bottom"/>
          </w:tcPr>
          <w:p>
            <w:pPr>
              <w:ind w:left="20"/>
              <w:spacing w:after="0"/>
              <w:rPr>
                <w:sz w:val="20"/>
                <w:szCs w:val="20"/>
                <w:color w:val="auto"/>
              </w:rPr>
            </w:pPr>
            <w:r>
              <w:rPr>
                <w:rFonts w:ascii="Arial" w:cs="Arial" w:eastAsia="Arial" w:hAnsi="Arial"/>
                <w:sz w:val="12"/>
                <w:szCs w:val="12"/>
                <w:b w:val="1"/>
                <w:bCs w:val="1"/>
                <w:color w:val="auto"/>
              </w:rPr>
              <w:t>Rating</w:t>
            </w: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Fair Value</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ind w:left="560"/>
              <w:spacing w:after="0"/>
              <w:rPr>
                <w:sz w:val="20"/>
                <w:szCs w:val="20"/>
                <w:color w:val="auto"/>
              </w:rPr>
            </w:pPr>
            <w:r>
              <w:rPr>
                <w:rFonts w:ascii="Arial" w:cs="Arial" w:eastAsia="Arial" w:hAnsi="Arial"/>
                <w:sz w:val="12"/>
                <w:szCs w:val="12"/>
                <w:b w:val="1"/>
                <w:bCs w:val="1"/>
                <w:color w:val="auto"/>
              </w:rPr>
              <w:t>Percent</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gridSpan w:val="3"/>
          </w:tcPr>
          <w:p>
            <w:pPr>
              <w:ind w:left="180"/>
              <w:spacing w:after="0"/>
              <w:rPr>
                <w:sz w:val="20"/>
                <w:szCs w:val="20"/>
                <w:color w:val="auto"/>
              </w:rPr>
            </w:pPr>
            <w:r>
              <w:rPr>
                <w:rFonts w:ascii="Arial" w:cs="Arial" w:eastAsia="Arial" w:hAnsi="Arial"/>
                <w:sz w:val="12"/>
                <w:szCs w:val="12"/>
                <w:b w:val="1"/>
                <w:bCs w:val="1"/>
                <w:color w:val="auto"/>
              </w:rPr>
              <w:t>Fair Value</w:t>
            </w:r>
          </w:p>
        </w:tc>
        <w:tc>
          <w:tcPr>
            <w:tcW w:w="980" w:type="dxa"/>
            <w:vAlign w:val="bottom"/>
          </w:tcPr>
          <w:p>
            <w:pPr>
              <w:jc w:val="right"/>
              <w:ind w:right="501"/>
              <w:spacing w:after="0"/>
              <w:rPr>
                <w:sz w:val="20"/>
                <w:szCs w:val="20"/>
                <w:color w:val="auto"/>
              </w:rPr>
            </w:pPr>
            <w:r>
              <w:rPr>
                <w:rFonts w:ascii="Arial" w:cs="Arial" w:eastAsia="Arial" w:hAnsi="Arial"/>
                <w:sz w:val="12"/>
                <w:szCs w:val="12"/>
                <w:b w:val="1"/>
                <w:bCs w:val="1"/>
                <w:color w:val="auto"/>
                <w:w w:val="90"/>
              </w:rPr>
              <w:t>Percent</w:t>
            </w:r>
          </w:p>
        </w:tc>
        <w:tc>
          <w:tcPr>
            <w:tcW w:w="80" w:type="dxa"/>
            <w:vAlign w:val="bottom"/>
          </w:tcPr>
          <w:p>
            <w:pPr>
              <w:spacing w:after="0"/>
              <w:rPr>
                <w:sz w:val="13"/>
                <w:szCs w:val="13"/>
                <w:color w:val="auto"/>
              </w:rPr>
            </w:pPr>
          </w:p>
        </w:tc>
      </w:tr>
      <w:tr>
        <w:trPr>
          <w:trHeight w:val="147"/>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AAA</w:t>
            </w:r>
          </w:p>
        </w:tc>
        <w:tc>
          <w:tcPr>
            <w:tcW w:w="960" w:type="dxa"/>
            <w:vAlign w:val="bottom"/>
            <w:tcBorders>
              <w:top w:val="single" w:sz="8" w:color="auto"/>
            </w:tcBorders>
            <w:shd w:val="clear" w:color="auto" w:fill="CCEEFF"/>
          </w:tcPr>
          <w:p>
            <w:pPr>
              <w:jc w:val="right"/>
              <w:ind w:right="849"/>
              <w:spacing w:after="0"/>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982</w:t>
            </w:r>
          </w:p>
        </w:tc>
        <w:tc>
          <w:tcPr>
            <w:tcW w:w="8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3 %</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488</w:t>
            </w: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2 %</w:t>
            </w:r>
          </w:p>
        </w:tc>
        <w:tc>
          <w:tcPr>
            <w:tcW w:w="80" w:type="dxa"/>
            <w:vAlign w:val="bottom"/>
            <w:tcBorders>
              <w:top w:val="single" w:sz="8" w:color="CCEEFF"/>
            </w:tcBorders>
            <w:shd w:val="clear" w:color="auto" w:fill="CCEEFF"/>
          </w:tcPr>
          <w:p>
            <w:pPr>
              <w:spacing w:after="0"/>
              <w:rPr>
                <w:sz w:val="12"/>
                <w:szCs w:val="12"/>
                <w:color w:val="auto"/>
              </w:rPr>
            </w:pPr>
          </w:p>
        </w:tc>
      </w:tr>
      <w:tr>
        <w:trPr>
          <w:trHeight w:val="152"/>
        </w:trPr>
        <w:tc>
          <w:tcPr>
            <w:tcW w:w="5180" w:type="dxa"/>
            <w:vAlign w:val="bottom"/>
          </w:tcPr>
          <w:p>
            <w:pPr>
              <w:ind w:left="20"/>
              <w:spacing w:after="0"/>
              <w:rPr>
                <w:sz w:val="20"/>
                <w:szCs w:val="20"/>
                <w:color w:val="auto"/>
              </w:rPr>
            </w:pPr>
            <w:r>
              <w:rPr>
                <w:rFonts w:ascii="Arial" w:cs="Arial" w:eastAsia="Arial" w:hAnsi="Arial"/>
                <w:sz w:val="12"/>
                <w:szCs w:val="12"/>
                <w:color w:val="auto"/>
              </w:rPr>
              <w:t>AA</w:t>
            </w:r>
          </w:p>
        </w:tc>
        <w:tc>
          <w:tcPr>
            <w:tcW w:w="960" w:type="dxa"/>
            <w:vAlign w:val="bottom"/>
          </w:tcPr>
          <w:p>
            <w:pPr>
              <w:spacing w:after="0"/>
              <w:rPr>
                <w:sz w:val="13"/>
                <w:szCs w:val="13"/>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1,921</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7 %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1,590</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6 %</w:t>
            </w:r>
          </w:p>
        </w:tc>
        <w:tc>
          <w:tcPr>
            <w:tcW w:w="80" w:type="dxa"/>
            <w:vAlign w:val="bottom"/>
          </w:tcPr>
          <w:p>
            <w:pPr>
              <w:spacing w:after="0"/>
              <w:rPr>
                <w:sz w:val="13"/>
                <w:szCs w:val="13"/>
                <w:color w:val="auto"/>
              </w:rPr>
            </w:pPr>
          </w:p>
        </w:tc>
      </w:tr>
      <w:tr>
        <w:trPr>
          <w:trHeight w:val="157"/>
        </w:trPr>
        <w:tc>
          <w:tcPr>
            <w:tcW w:w="5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w:t>
            </w:r>
          </w:p>
        </w:tc>
        <w:tc>
          <w:tcPr>
            <w:tcW w:w="96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7,273</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25 %</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7,040</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28 %</w:t>
            </w:r>
          </w:p>
        </w:tc>
        <w:tc>
          <w:tcPr>
            <w:tcW w:w="80" w:type="dxa"/>
            <w:vAlign w:val="bottom"/>
            <w:shd w:val="clear" w:color="auto" w:fill="CCEEFF"/>
          </w:tcPr>
          <w:p>
            <w:pPr>
              <w:spacing w:after="0"/>
              <w:rPr>
                <w:sz w:val="13"/>
                <w:szCs w:val="13"/>
                <w:color w:val="auto"/>
              </w:rPr>
            </w:pPr>
          </w:p>
        </w:tc>
      </w:tr>
      <w:tr>
        <w:trPr>
          <w:trHeight w:val="152"/>
        </w:trPr>
        <w:tc>
          <w:tcPr>
            <w:tcW w:w="5180" w:type="dxa"/>
            <w:vAlign w:val="bottom"/>
          </w:tcPr>
          <w:p>
            <w:pPr>
              <w:ind w:left="20"/>
              <w:spacing w:after="0"/>
              <w:rPr>
                <w:sz w:val="20"/>
                <w:szCs w:val="20"/>
                <w:color w:val="auto"/>
              </w:rPr>
            </w:pPr>
            <w:r>
              <w:rPr>
                <w:rFonts w:ascii="Arial" w:cs="Arial" w:eastAsia="Arial" w:hAnsi="Arial"/>
                <w:sz w:val="12"/>
                <w:szCs w:val="12"/>
                <w:color w:val="auto"/>
              </w:rPr>
              <w:t>BBB</w:t>
            </w:r>
          </w:p>
        </w:tc>
        <w:tc>
          <w:tcPr>
            <w:tcW w:w="960" w:type="dxa"/>
            <w:vAlign w:val="bottom"/>
          </w:tcPr>
          <w:p>
            <w:pPr>
              <w:spacing w:after="0"/>
              <w:rPr>
                <w:sz w:val="13"/>
                <w:szCs w:val="13"/>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9,804</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34 %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9,669</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38 %</w:t>
            </w:r>
          </w:p>
        </w:tc>
        <w:tc>
          <w:tcPr>
            <w:tcW w:w="80" w:type="dxa"/>
            <w:vAlign w:val="bottom"/>
          </w:tcPr>
          <w:p>
            <w:pPr>
              <w:spacing w:after="0"/>
              <w:rPr>
                <w:sz w:val="13"/>
                <w:szCs w:val="13"/>
                <w:color w:val="auto"/>
              </w:rPr>
            </w:pPr>
          </w:p>
        </w:tc>
      </w:tr>
      <w:tr>
        <w:trPr>
          <w:trHeight w:val="157"/>
        </w:trPr>
        <w:tc>
          <w:tcPr>
            <w:tcW w:w="5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Not rated (b)</w:t>
            </w:r>
          </w:p>
        </w:tc>
        <w:tc>
          <w:tcPr>
            <w:tcW w:w="9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5,869</w:t>
            </w:r>
          </w:p>
        </w:tc>
        <w:tc>
          <w:tcPr>
            <w:tcW w:w="8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21 %</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4,336</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17 %</w:t>
            </w:r>
          </w:p>
        </w:tc>
        <w:tc>
          <w:tcPr>
            <w:tcW w:w="80" w:type="dxa"/>
            <w:vAlign w:val="bottom"/>
            <w:shd w:val="clear" w:color="auto" w:fill="CCEEFF"/>
          </w:tcPr>
          <w:p>
            <w:pPr>
              <w:spacing w:after="0"/>
              <w:rPr>
                <w:sz w:val="13"/>
                <w:szCs w:val="13"/>
                <w:color w:val="auto"/>
              </w:rPr>
            </w:pPr>
          </w:p>
        </w:tc>
      </w:tr>
      <w:tr>
        <w:trPr>
          <w:trHeight w:val="143"/>
        </w:trPr>
        <w:tc>
          <w:tcPr>
            <w:tcW w:w="5180" w:type="dxa"/>
            <w:vAlign w:val="bottom"/>
            <w:tcBorders>
              <w:bottom w:val="single" w:sz="8" w:color="CCEEFF"/>
            </w:tcBorders>
          </w:tcPr>
          <w:p>
            <w:pPr>
              <w:ind w:left="20"/>
              <w:spacing w:after="0" w:line="136" w:lineRule="exact"/>
              <w:rPr>
                <w:sz w:val="20"/>
                <w:szCs w:val="20"/>
                <w:color w:val="auto"/>
              </w:rPr>
            </w:pPr>
            <w:r>
              <w:rPr>
                <w:rFonts w:ascii="Arial" w:cs="Arial" w:eastAsia="Arial" w:hAnsi="Arial"/>
                <w:sz w:val="12"/>
                <w:szCs w:val="12"/>
                <w:color w:val="auto"/>
              </w:rPr>
              <w:t>Total investment grade</w:t>
            </w:r>
          </w:p>
        </w:tc>
        <w:tc>
          <w:tcPr>
            <w:tcW w:w="9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w w:val="92"/>
              </w:rPr>
              <w:t>25,849</w:t>
            </w:r>
          </w:p>
        </w:tc>
        <w:tc>
          <w:tcPr>
            <w:tcW w:w="8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90 %</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23,123</w:t>
            </w:r>
          </w:p>
        </w:tc>
        <w:tc>
          <w:tcPr>
            <w:tcW w:w="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91 %</w:t>
            </w:r>
          </w:p>
        </w:tc>
        <w:tc>
          <w:tcPr>
            <w:tcW w:w="80" w:type="dxa"/>
            <w:vAlign w:val="bottom"/>
            <w:tcBorders>
              <w:bottom w:val="single" w:sz="8" w:color="CCEEFF"/>
            </w:tcBorders>
          </w:tcPr>
          <w:p>
            <w:pPr>
              <w:spacing w:after="0"/>
              <w:rPr>
                <w:sz w:val="12"/>
                <w:szCs w:val="12"/>
                <w:color w:val="auto"/>
              </w:rPr>
            </w:pPr>
          </w:p>
        </w:tc>
      </w:tr>
      <w:tr>
        <w:trPr>
          <w:trHeight w:val="148"/>
        </w:trPr>
        <w:tc>
          <w:tcPr>
            <w:tcW w:w="5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BB</w:t>
            </w:r>
          </w:p>
        </w:tc>
        <w:tc>
          <w:tcPr>
            <w:tcW w:w="96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1,621</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6 %</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1,493</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6 %</w:t>
            </w:r>
          </w:p>
        </w:tc>
        <w:tc>
          <w:tcPr>
            <w:tcW w:w="80" w:type="dxa"/>
            <w:vAlign w:val="bottom"/>
            <w:shd w:val="clear" w:color="auto" w:fill="CCEEFF"/>
          </w:tcPr>
          <w:p>
            <w:pPr>
              <w:spacing w:after="0"/>
              <w:rPr>
                <w:sz w:val="12"/>
                <w:szCs w:val="12"/>
                <w:color w:val="auto"/>
              </w:rPr>
            </w:pPr>
          </w:p>
        </w:tc>
      </w:tr>
      <w:tr>
        <w:trPr>
          <w:trHeight w:val="152"/>
        </w:trPr>
        <w:tc>
          <w:tcPr>
            <w:tcW w:w="5180" w:type="dxa"/>
            <w:vAlign w:val="bottom"/>
          </w:tcPr>
          <w:p>
            <w:pPr>
              <w:ind w:left="20"/>
              <w:spacing w:after="0"/>
              <w:rPr>
                <w:sz w:val="20"/>
                <w:szCs w:val="20"/>
                <w:color w:val="auto"/>
              </w:rPr>
            </w:pPr>
            <w:r>
              <w:rPr>
                <w:rFonts w:ascii="Arial" w:cs="Arial" w:eastAsia="Arial" w:hAnsi="Arial"/>
                <w:sz w:val="12"/>
                <w:szCs w:val="12"/>
                <w:color w:val="auto"/>
              </w:rPr>
              <w:t>B and below (a)</w:t>
            </w:r>
          </w:p>
        </w:tc>
        <w:tc>
          <w:tcPr>
            <w:tcW w:w="960" w:type="dxa"/>
            <w:vAlign w:val="bottom"/>
          </w:tcPr>
          <w:p>
            <w:pPr>
              <w:spacing w:after="0"/>
              <w:rPr>
                <w:sz w:val="13"/>
                <w:szCs w:val="13"/>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565</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612</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2 %</w:t>
            </w:r>
          </w:p>
        </w:tc>
        <w:tc>
          <w:tcPr>
            <w:tcW w:w="80" w:type="dxa"/>
            <w:vAlign w:val="bottom"/>
          </w:tcPr>
          <w:p>
            <w:pPr>
              <w:spacing w:after="0"/>
              <w:rPr>
                <w:sz w:val="13"/>
                <w:szCs w:val="13"/>
                <w:color w:val="auto"/>
              </w:rPr>
            </w:pPr>
          </w:p>
        </w:tc>
      </w:tr>
      <w:tr>
        <w:trPr>
          <w:trHeight w:val="157"/>
        </w:trPr>
        <w:tc>
          <w:tcPr>
            <w:tcW w:w="5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Not rated (b)</w:t>
            </w:r>
          </w:p>
        </w:tc>
        <w:tc>
          <w:tcPr>
            <w:tcW w:w="9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515</w:t>
            </w:r>
          </w:p>
        </w:tc>
        <w:tc>
          <w:tcPr>
            <w:tcW w:w="8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2 %</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271</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1 %</w:t>
            </w:r>
          </w:p>
        </w:tc>
        <w:tc>
          <w:tcPr>
            <w:tcW w:w="80" w:type="dxa"/>
            <w:vAlign w:val="bottom"/>
            <w:shd w:val="clear" w:color="auto" w:fill="CCEEFF"/>
          </w:tcPr>
          <w:p>
            <w:pPr>
              <w:spacing w:after="0"/>
              <w:rPr>
                <w:sz w:val="13"/>
                <w:szCs w:val="13"/>
                <w:color w:val="auto"/>
              </w:rPr>
            </w:pPr>
          </w:p>
        </w:tc>
      </w:tr>
      <w:tr>
        <w:trPr>
          <w:trHeight w:val="143"/>
        </w:trPr>
        <w:tc>
          <w:tcPr>
            <w:tcW w:w="5180" w:type="dxa"/>
            <w:vAlign w:val="bottom"/>
            <w:tcBorders>
              <w:bottom w:val="single" w:sz="8" w:color="CCEEFF"/>
            </w:tcBorders>
          </w:tcPr>
          <w:p>
            <w:pPr>
              <w:ind w:left="20"/>
              <w:spacing w:after="0" w:line="136" w:lineRule="exact"/>
              <w:rPr>
                <w:sz w:val="20"/>
                <w:szCs w:val="20"/>
                <w:color w:val="auto"/>
              </w:rPr>
            </w:pPr>
            <w:r>
              <w:rPr>
                <w:rFonts w:ascii="Arial" w:cs="Arial" w:eastAsia="Arial" w:hAnsi="Arial"/>
                <w:sz w:val="12"/>
                <w:szCs w:val="12"/>
                <w:color w:val="auto"/>
              </w:rPr>
              <w:t>Total below investment grade</w:t>
            </w:r>
          </w:p>
        </w:tc>
        <w:tc>
          <w:tcPr>
            <w:tcW w:w="9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2,701</w:t>
            </w:r>
          </w:p>
        </w:tc>
        <w:tc>
          <w:tcPr>
            <w:tcW w:w="8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10 %</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2,376</w:t>
            </w:r>
          </w:p>
        </w:tc>
        <w:tc>
          <w:tcPr>
            <w:tcW w:w="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9 %</w:t>
            </w:r>
          </w:p>
        </w:tc>
        <w:tc>
          <w:tcPr>
            <w:tcW w:w="80" w:type="dxa"/>
            <w:vAlign w:val="bottom"/>
            <w:tcBorders>
              <w:bottom w:val="single" w:sz="8" w:color="CCEEFF"/>
            </w:tcBorders>
          </w:tcPr>
          <w:p>
            <w:pPr>
              <w:spacing w:after="0"/>
              <w:rPr>
                <w:sz w:val="12"/>
                <w:szCs w:val="12"/>
                <w:color w:val="auto"/>
              </w:rPr>
            </w:pPr>
          </w:p>
        </w:tc>
      </w:tr>
      <w:tr>
        <w:trPr>
          <w:trHeight w:val="173"/>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b w:val="1"/>
                <w:bCs w:val="1"/>
                <w:color w:val="auto"/>
              </w:rPr>
              <w:t>Total</w:t>
            </w:r>
          </w:p>
        </w:tc>
        <w:tc>
          <w:tcPr>
            <w:tcW w:w="960" w:type="dxa"/>
            <w:vAlign w:val="bottom"/>
            <w:tcBorders>
              <w:bottom w:val="single" w:sz="8" w:color="auto"/>
            </w:tcBorders>
            <w:shd w:val="clear" w:color="auto" w:fill="CCEEFF"/>
          </w:tcPr>
          <w:p>
            <w:pPr>
              <w:jc w:val="right"/>
              <w:ind w:right="849"/>
              <w:spacing w:after="0"/>
              <w:rPr>
                <w:sz w:val="20"/>
                <w:szCs w:val="20"/>
                <w:color w:val="auto"/>
              </w:rPr>
            </w:pPr>
            <w:r>
              <w:rPr>
                <w:rFonts w:ascii="Arial" w:cs="Arial" w:eastAsia="Arial" w:hAnsi="Arial"/>
                <w:sz w:val="9"/>
                <w:szCs w:val="9"/>
                <w:color w:val="auto"/>
                <w:w w:val="78"/>
              </w:rPr>
              <w:t>$</w:t>
            </w: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92"/>
              </w:rPr>
              <w:t>28,550</w:t>
            </w:r>
          </w:p>
        </w:tc>
        <w:tc>
          <w:tcPr>
            <w:tcW w:w="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25,499</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80" w:type="dxa"/>
            <w:vAlign w:val="bottom"/>
            <w:tcBorders>
              <w:bottom w:val="single" w:sz="8" w:color="CCEEFF"/>
            </w:tcBorders>
            <w:shd w:val="clear" w:color="auto" w:fill="CCEEFF"/>
          </w:tcPr>
          <w:p>
            <w:pPr>
              <w:spacing w:after="0"/>
              <w:rPr>
                <w:sz w:val="14"/>
                <w:szCs w:val="14"/>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62" w:lineRule="exact"/>
        <w:rPr>
          <w:sz w:val="20"/>
          <w:szCs w:val="20"/>
          <w:color w:val="auto"/>
        </w:rPr>
      </w:pPr>
    </w:p>
    <w:p>
      <w:pPr>
        <w:ind w:left="160" w:hanging="152"/>
        <w:spacing w:after="0"/>
        <w:tabs>
          <w:tab w:leader="none" w:pos="1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Includes $83 million and $106 million at September 30, 2021 and December 31, 2020, respectively, of non-agency residential mortgage-backed securities ("RMBS") that carry a NAIC 1 designation.</w:t>
      </w:r>
    </w:p>
    <w:p>
      <w:pPr>
        <w:spacing w:after="0" w:line="38" w:lineRule="exact"/>
        <w:rPr>
          <w:rFonts w:ascii="Arial" w:cs="Arial" w:eastAsia="Arial" w:hAnsi="Arial"/>
          <w:sz w:val="12"/>
          <w:szCs w:val="12"/>
          <w:color w:val="auto"/>
        </w:rPr>
      </w:pPr>
    </w:p>
    <w:p>
      <w:pPr>
        <w:ind w:left="180" w:hanging="172"/>
        <w:spacing w:after="0"/>
        <w:tabs>
          <w:tab w:leader="none" w:pos="1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Securities denoted as not-rated by an NRSRO were classified as investment or non-investment grade according to the securities' respective NAIC designation.</w:t>
      </w:r>
    </w:p>
    <w:p>
      <w:pPr>
        <w:spacing w:after="0" w:line="176" w:lineRule="exact"/>
        <w:rPr>
          <w:sz w:val="20"/>
          <w:szCs w:val="20"/>
          <w:color w:val="auto"/>
        </w:rPr>
      </w:pPr>
    </w:p>
    <w:p>
      <w:pPr>
        <w:jc w:val="both"/>
        <w:ind w:firstLine="331"/>
        <w:spacing w:after="0" w:line="252" w:lineRule="auto"/>
        <w:rPr>
          <w:sz w:val="20"/>
          <w:szCs w:val="20"/>
          <w:color w:val="auto"/>
        </w:rPr>
      </w:pPr>
      <w:r>
        <w:rPr>
          <w:rFonts w:ascii="Arial" w:cs="Arial" w:eastAsia="Arial" w:hAnsi="Arial"/>
          <w:sz w:val="15"/>
          <w:szCs w:val="15"/>
          <w:color w:val="auto"/>
        </w:rPr>
        <w:t>The NAIC’s Securities Valuation Office ("SVO") is responsible for the day-to-day credit quality assessment and valuation of securities owned by state regulated insurance companies. Insurance companies report ownership of securities to the SVO when such securities are eligible for regulatory filings. The SVO conducts credit analysis on these securities for the purpose of assigning an NAIC designation or unit price. Typically, if a security has been rated by an NRSRO, the SVO utilizes that rating and assigns an NAIC designation based upon the following system:</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56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NAIC Designation</w:t>
            </w:r>
          </w:p>
        </w:tc>
        <w:tc>
          <w:tcPr>
            <w:tcW w:w="5560" w:type="dxa"/>
            <w:vAlign w:val="bottom"/>
          </w:tcPr>
          <w:p>
            <w:pPr>
              <w:jc w:val="center"/>
              <w:spacing w:after="0"/>
              <w:rPr>
                <w:sz w:val="20"/>
                <w:szCs w:val="20"/>
                <w:color w:val="auto"/>
              </w:rPr>
            </w:pPr>
            <w:r>
              <w:rPr>
                <w:rFonts w:ascii="Arial" w:cs="Arial" w:eastAsia="Arial" w:hAnsi="Arial"/>
                <w:sz w:val="12"/>
                <w:szCs w:val="12"/>
                <w:b w:val="1"/>
                <w:bCs w:val="1"/>
                <w:color w:val="auto"/>
                <w:w w:val="91"/>
              </w:rPr>
              <w:t>NRSRO Equivalent Rating</w:t>
            </w:r>
          </w:p>
        </w:tc>
      </w:tr>
      <w:tr>
        <w:trPr>
          <w:trHeight w:val="151"/>
        </w:trPr>
        <w:tc>
          <w:tcPr>
            <w:tcW w:w="5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1</w:t>
            </w:r>
          </w:p>
        </w:tc>
        <w:tc>
          <w:tcPr>
            <w:tcW w:w="120" w:type="dxa"/>
            <w:vAlign w:val="bottom"/>
            <w:tcBorders>
              <w:top w:val="single" w:sz="8" w:color="CCEEFF"/>
            </w:tcBorders>
            <w:shd w:val="clear" w:color="auto" w:fill="CCEEFF"/>
          </w:tcPr>
          <w:p>
            <w:pPr>
              <w:spacing w:after="0"/>
              <w:rPr>
                <w:sz w:val="13"/>
                <w:szCs w:val="13"/>
                <w:color w:val="auto"/>
              </w:rPr>
            </w:pPr>
          </w:p>
        </w:tc>
        <w:tc>
          <w:tcPr>
            <w:tcW w:w="5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rPr>
              <w:t>AAA/AA/A</w:t>
            </w:r>
          </w:p>
        </w:tc>
      </w:tr>
      <w:tr>
        <w:trPr>
          <w:trHeight w:val="152"/>
        </w:trPr>
        <w:tc>
          <w:tcPr>
            <w:tcW w:w="5560" w:type="dxa"/>
            <w:vAlign w:val="bottom"/>
          </w:tcPr>
          <w:p>
            <w:pPr>
              <w:jc w:val="center"/>
              <w:spacing w:after="0"/>
              <w:rPr>
                <w:sz w:val="20"/>
                <w:szCs w:val="20"/>
                <w:color w:val="auto"/>
              </w:rPr>
            </w:pPr>
            <w:r>
              <w:rPr>
                <w:rFonts w:ascii="Arial" w:cs="Arial" w:eastAsia="Arial" w:hAnsi="Arial"/>
                <w:sz w:val="12"/>
                <w:szCs w:val="12"/>
                <w:color w:val="auto"/>
                <w:w w:val="89"/>
              </w:rPr>
              <w:t>2</w:t>
            </w:r>
          </w:p>
        </w:tc>
        <w:tc>
          <w:tcPr>
            <w:tcW w:w="120" w:type="dxa"/>
            <w:vAlign w:val="bottom"/>
          </w:tcPr>
          <w:p>
            <w:pPr>
              <w:spacing w:after="0"/>
              <w:rPr>
                <w:sz w:val="13"/>
                <w:szCs w:val="13"/>
                <w:color w:val="auto"/>
              </w:rPr>
            </w:pPr>
          </w:p>
        </w:tc>
        <w:tc>
          <w:tcPr>
            <w:tcW w:w="5560" w:type="dxa"/>
            <w:vAlign w:val="bottom"/>
          </w:tcPr>
          <w:p>
            <w:pPr>
              <w:jc w:val="center"/>
              <w:spacing w:after="0"/>
              <w:rPr>
                <w:sz w:val="20"/>
                <w:szCs w:val="20"/>
                <w:color w:val="auto"/>
              </w:rPr>
            </w:pPr>
            <w:r>
              <w:rPr>
                <w:rFonts w:ascii="Arial" w:cs="Arial" w:eastAsia="Arial" w:hAnsi="Arial"/>
                <w:sz w:val="12"/>
                <w:szCs w:val="12"/>
                <w:color w:val="auto"/>
                <w:w w:val="99"/>
              </w:rPr>
              <w:t>BBB</w:t>
            </w:r>
          </w:p>
        </w:tc>
      </w:tr>
      <w:tr>
        <w:trPr>
          <w:trHeight w:val="157"/>
        </w:trPr>
        <w:tc>
          <w:tcPr>
            <w:tcW w:w="55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3</w:t>
            </w:r>
          </w:p>
        </w:tc>
        <w:tc>
          <w:tcPr>
            <w:tcW w:w="120" w:type="dxa"/>
            <w:vAlign w:val="bottom"/>
            <w:shd w:val="clear" w:color="auto" w:fill="CCEEFF"/>
          </w:tcPr>
          <w:p>
            <w:pPr>
              <w:spacing w:after="0"/>
              <w:rPr>
                <w:sz w:val="13"/>
                <w:szCs w:val="13"/>
                <w:color w:val="auto"/>
              </w:rPr>
            </w:pPr>
          </w:p>
        </w:tc>
        <w:tc>
          <w:tcPr>
            <w:tcW w:w="55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BB</w:t>
            </w:r>
          </w:p>
        </w:tc>
      </w:tr>
      <w:tr>
        <w:trPr>
          <w:trHeight w:val="152"/>
        </w:trPr>
        <w:tc>
          <w:tcPr>
            <w:tcW w:w="5560" w:type="dxa"/>
            <w:vAlign w:val="bottom"/>
          </w:tcPr>
          <w:p>
            <w:pPr>
              <w:jc w:val="center"/>
              <w:spacing w:after="0"/>
              <w:rPr>
                <w:sz w:val="20"/>
                <w:szCs w:val="20"/>
                <w:color w:val="auto"/>
              </w:rPr>
            </w:pPr>
            <w:r>
              <w:rPr>
                <w:rFonts w:ascii="Arial" w:cs="Arial" w:eastAsia="Arial" w:hAnsi="Arial"/>
                <w:sz w:val="12"/>
                <w:szCs w:val="12"/>
                <w:color w:val="auto"/>
                <w:w w:val="89"/>
              </w:rPr>
              <w:t>4</w:t>
            </w:r>
          </w:p>
        </w:tc>
        <w:tc>
          <w:tcPr>
            <w:tcW w:w="120" w:type="dxa"/>
            <w:vAlign w:val="bottom"/>
          </w:tcPr>
          <w:p>
            <w:pPr>
              <w:spacing w:after="0"/>
              <w:rPr>
                <w:sz w:val="13"/>
                <w:szCs w:val="13"/>
                <w:color w:val="auto"/>
              </w:rPr>
            </w:pPr>
          </w:p>
        </w:tc>
        <w:tc>
          <w:tcPr>
            <w:tcW w:w="5560" w:type="dxa"/>
            <w:vAlign w:val="bottom"/>
          </w:tcPr>
          <w:p>
            <w:pPr>
              <w:jc w:val="center"/>
              <w:spacing w:after="0"/>
              <w:rPr>
                <w:sz w:val="20"/>
                <w:szCs w:val="20"/>
                <w:color w:val="auto"/>
              </w:rPr>
            </w:pPr>
            <w:r>
              <w:rPr>
                <w:rFonts w:ascii="Arial" w:cs="Arial" w:eastAsia="Arial" w:hAnsi="Arial"/>
                <w:sz w:val="12"/>
                <w:szCs w:val="12"/>
                <w:color w:val="auto"/>
                <w:w w:val="99"/>
              </w:rPr>
              <w:t>B</w:t>
            </w:r>
          </w:p>
        </w:tc>
      </w:tr>
      <w:tr>
        <w:trPr>
          <w:trHeight w:val="157"/>
        </w:trPr>
        <w:tc>
          <w:tcPr>
            <w:tcW w:w="55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5</w:t>
            </w:r>
          </w:p>
        </w:tc>
        <w:tc>
          <w:tcPr>
            <w:tcW w:w="120" w:type="dxa"/>
            <w:vAlign w:val="bottom"/>
            <w:shd w:val="clear" w:color="auto" w:fill="CCEEFF"/>
          </w:tcPr>
          <w:p>
            <w:pPr>
              <w:spacing w:after="0"/>
              <w:rPr>
                <w:sz w:val="13"/>
                <w:szCs w:val="13"/>
                <w:color w:val="auto"/>
              </w:rPr>
            </w:pPr>
          </w:p>
        </w:tc>
        <w:tc>
          <w:tcPr>
            <w:tcW w:w="55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CCC and lower</w:t>
            </w:r>
          </w:p>
        </w:tc>
      </w:tr>
      <w:tr>
        <w:trPr>
          <w:trHeight w:val="149"/>
        </w:trPr>
        <w:tc>
          <w:tcPr>
            <w:tcW w:w="5560" w:type="dxa"/>
            <w:vAlign w:val="bottom"/>
          </w:tcPr>
          <w:p>
            <w:pPr>
              <w:jc w:val="center"/>
              <w:spacing w:after="0"/>
              <w:rPr>
                <w:sz w:val="20"/>
                <w:szCs w:val="20"/>
                <w:color w:val="auto"/>
              </w:rPr>
            </w:pPr>
            <w:r>
              <w:rPr>
                <w:rFonts w:ascii="Arial" w:cs="Arial" w:eastAsia="Arial" w:hAnsi="Arial"/>
                <w:sz w:val="12"/>
                <w:szCs w:val="12"/>
                <w:color w:val="auto"/>
                <w:w w:val="89"/>
              </w:rPr>
              <w:t>6</w:t>
            </w:r>
          </w:p>
        </w:tc>
        <w:tc>
          <w:tcPr>
            <w:tcW w:w="120" w:type="dxa"/>
            <w:vAlign w:val="bottom"/>
          </w:tcPr>
          <w:p>
            <w:pPr>
              <w:spacing w:after="0"/>
              <w:rPr>
                <w:sz w:val="12"/>
                <w:szCs w:val="12"/>
                <w:color w:val="auto"/>
              </w:rPr>
            </w:pPr>
          </w:p>
        </w:tc>
        <w:tc>
          <w:tcPr>
            <w:tcW w:w="5560" w:type="dxa"/>
            <w:vAlign w:val="bottom"/>
          </w:tcPr>
          <w:p>
            <w:pPr>
              <w:jc w:val="center"/>
              <w:spacing w:after="0"/>
              <w:rPr>
                <w:sz w:val="20"/>
                <w:szCs w:val="20"/>
                <w:color w:val="auto"/>
              </w:rPr>
            </w:pPr>
            <w:r>
              <w:rPr>
                <w:rFonts w:ascii="Arial" w:cs="Arial" w:eastAsia="Arial" w:hAnsi="Arial"/>
                <w:sz w:val="12"/>
                <w:szCs w:val="12"/>
                <w:color w:val="auto"/>
                <w:w w:val="88"/>
              </w:rPr>
              <w:t>In or near default</w:t>
            </w:r>
          </w:p>
        </w:tc>
      </w:tr>
    </w:tbl>
    <w:p>
      <w:pPr>
        <w:spacing w:after="0" w:line="172" w:lineRule="exact"/>
        <w:rPr>
          <w:sz w:val="20"/>
          <w:szCs w:val="20"/>
          <w:color w:val="auto"/>
        </w:rPr>
      </w:pPr>
    </w:p>
    <w:p>
      <w:pPr>
        <w:jc w:val="both"/>
        <w:ind w:firstLine="331"/>
        <w:spacing w:after="0" w:line="292" w:lineRule="auto"/>
        <w:rPr>
          <w:sz w:val="20"/>
          <w:szCs w:val="20"/>
          <w:color w:val="auto"/>
        </w:rPr>
      </w:pPr>
      <w:r>
        <w:rPr>
          <w:rFonts w:ascii="Arial" w:cs="Arial" w:eastAsia="Arial" w:hAnsi="Arial"/>
          <w:sz w:val="13"/>
          <w:szCs w:val="13"/>
          <w:color w:val="auto"/>
        </w:rPr>
        <w:t>The NAIC has adopted revised designation methodologies for non-agency RMBS, including RMBS backed by subprime mortgage loans and for commercial mortgage-backed securities ("CMBS"). The NAIC’s objective with the revised designation methodologies for these structured securities was to increase accuracy in assessing expected losses and to use the improved assessment to determine a more appropriate capital requirement for such structured securities. The NAIC designations for structured securities, including subprime and Alternative A-paper ("Alt-A") RMBS, are based upon a comparison of the bond’s amortized cost to the NAIC’s loss expectation for each security. Securities where modeling does not generate an expected loss in all scenarios are given the highest designation of NAIC 1. A number of our RMBS securities carry a NAIC 1 designation while the NRSRO rating indicates below investment grade. The revised methodologies reduce regulatory reliance on rating agencies and allow for greater regulatory input into the assumptions used to estimate expected losses from such structured securities. In the tables below, we present the rating of structured securities based on ratings from the revised NAIC rating methodologies described above (which in some cases do not correspond to rating agency designations). All NAIC designations (e.g., NAIC 1-6) are based on the revised NAIC methodologies.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1" w:name="page82"/>
    <w:bookmarkEnd w:id="8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table below presents our fixed maturity securities by NAIC designation as of September 30, 2021 and December 31, 2020 (dollars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2"/>
          </w:tcPr>
          <w:p>
            <w:pPr>
              <w:ind w:left="400"/>
              <w:spacing w:after="0"/>
              <w:rPr>
                <w:sz w:val="20"/>
                <w:szCs w:val="20"/>
                <w:color w:val="auto"/>
              </w:rPr>
            </w:pPr>
            <w:r>
              <w:rPr>
                <w:rFonts w:ascii="Arial" w:cs="Arial" w:eastAsia="Arial" w:hAnsi="Arial"/>
                <w:sz w:val="12"/>
                <w:szCs w:val="12"/>
                <w:b w:val="1"/>
                <w:bCs w:val="1"/>
                <w:color w:val="auto"/>
              </w:rPr>
              <w:t>September 30, 2021</w:t>
            </w:r>
          </w:p>
        </w:tc>
        <w:tc>
          <w:tcPr>
            <w:tcW w:w="2700" w:type="dxa"/>
            <w:vAlign w:val="bottom"/>
            <w:tcBorders>
              <w:bottom w:val="single" w:sz="8" w:color="auto"/>
            </w:tcBorders>
          </w:tcPr>
          <w:p>
            <w:pPr>
              <w:spacing w:after="0"/>
              <w:rPr>
                <w:sz w:val="13"/>
                <w:szCs w:val="13"/>
                <w:color w:val="auto"/>
              </w:rPr>
            </w:pPr>
          </w:p>
        </w:tc>
      </w:tr>
      <w:tr>
        <w:trPr>
          <w:trHeight w:val="153"/>
        </w:trPr>
        <w:tc>
          <w:tcPr>
            <w:tcW w:w="31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NAIC Designation</w:t>
            </w:r>
          </w:p>
        </w:tc>
        <w:tc>
          <w:tcPr>
            <w:tcW w:w="480" w:type="dxa"/>
            <w:vAlign w:val="bottom"/>
          </w:tcPr>
          <w:p>
            <w:pPr>
              <w:spacing w:after="0"/>
              <w:rPr>
                <w:sz w:val="13"/>
                <w:szCs w:val="13"/>
                <w:color w:val="auto"/>
              </w:rPr>
            </w:pPr>
          </w:p>
        </w:tc>
        <w:tc>
          <w:tcPr>
            <w:tcW w:w="2220" w:type="dxa"/>
            <w:vAlign w:val="bottom"/>
            <w:gridSpan w:val="2"/>
          </w:tcPr>
          <w:p>
            <w:pPr>
              <w:ind w:left="420"/>
              <w:spacing w:after="0"/>
              <w:rPr>
                <w:sz w:val="20"/>
                <w:szCs w:val="20"/>
                <w:color w:val="auto"/>
              </w:rPr>
            </w:pPr>
            <w:r>
              <w:rPr>
                <w:rFonts w:ascii="Arial" w:cs="Arial" w:eastAsia="Arial" w:hAnsi="Arial"/>
                <w:sz w:val="12"/>
                <w:szCs w:val="12"/>
                <w:b w:val="1"/>
                <w:bCs w:val="1"/>
                <w:color w:val="auto"/>
              </w:rPr>
              <w:t>Amortized Cost</w:t>
            </w:r>
          </w:p>
        </w:tc>
        <w:tc>
          <w:tcPr>
            <w:tcW w:w="460" w:type="dxa"/>
            <w:vAlign w:val="bottom"/>
          </w:tcPr>
          <w:p>
            <w:pPr>
              <w:spacing w:after="0"/>
              <w:rPr>
                <w:sz w:val="13"/>
                <w:szCs w:val="13"/>
                <w:color w:val="auto"/>
              </w:rPr>
            </w:pPr>
          </w:p>
        </w:tc>
        <w:tc>
          <w:tcPr>
            <w:tcW w:w="2240" w:type="dxa"/>
            <w:vAlign w:val="bottom"/>
            <w:gridSpan w:val="2"/>
          </w:tcPr>
          <w:p>
            <w:pPr>
              <w:ind w:left="580"/>
              <w:spacing w:after="0"/>
              <w:rPr>
                <w:sz w:val="20"/>
                <w:szCs w:val="20"/>
                <w:color w:val="auto"/>
              </w:rPr>
            </w:pPr>
            <w:r>
              <w:rPr>
                <w:rFonts w:ascii="Arial" w:cs="Arial" w:eastAsia="Arial" w:hAnsi="Arial"/>
                <w:sz w:val="12"/>
                <w:szCs w:val="12"/>
                <w:b w:val="1"/>
                <w:bCs w:val="1"/>
                <w:color w:val="auto"/>
              </w:rPr>
              <w:t>Fair Value</w:t>
            </w:r>
          </w:p>
        </w:tc>
        <w:tc>
          <w:tcPr>
            <w:tcW w:w="2700" w:type="dxa"/>
            <w:vAlign w:val="bottom"/>
          </w:tcPr>
          <w:p>
            <w:pPr>
              <w:jc w:val="right"/>
              <w:ind w:right="621"/>
              <w:spacing w:after="0"/>
              <w:rPr>
                <w:sz w:val="20"/>
                <w:szCs w:val="20"/>
                <w:color w:val="auto"/>
              </w:rPr>
            </w:pPr>
            <w:r>
              <w:rPr>
                <w:rFonts w:ascii="Arial" w:cs="Arial" w:eastAsia="Arial" w:hAnsi="Arial"/>
                <w:sz w:val="12"/>
                <w:szCs w:val="12"/>
                <w:b w:val="1"/>
                <w:bCs w:val="1"/>
                <w:color w:val="auto"/>
              </w:rPr>
              <w:t>Percent of Total Fair Value</w:t>
            </w:r>
          </w:p>
        </w:tc>
      </w:tr>
      <w:tr>
        <w:trPr>
          <w:trHeight w:val="147"/>
        </w:trPr>
        <w:tc>
          <w:tcPr>
            <w:tcW w:w="3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1</w:t>
            </w: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ind w:right="373"/>
              <w:spacing w:after="0"/>
              <w:rPr>
                <w:sz w:val="20"/>
                <w:szCs w:val="20"/>
                <w:color w:val="auto"/>
              </w:rPr>
            </w:pPr>
            <w:r>
              <w:rPr>
                <w:rFonts w:ascii="Arial" w:cs="Arial" w:eastAsia="Arial" w:hAnsi="Arial"/>
                <w:sz w:val="9"/>
                <w:szCs w:val="9"/>
                <w:color w:val="auto"/>
                <w:w w:val="78"/>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14,367</w:t>
            </w:r>
          </w:p>
        </w:tc>
        <w:tc>
          <w:tcPr>
            <w:tcW w:w="1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321"/>
              <w:spacing w:after="0"/>
              <w:rPr>
                <w:sz w:val="20"/>
                <w:szCs w:val="20"/>
                <w:color w:val="auto"/>
              </w:rPr>
            </w:pPr>
            <w:r>
              <w:rPr>
                <w:rFonts w:ascii="Arial" w:cs="Arial" w:eastAsia="Arial" w:hAnsi="Arial"/>
                <w:sz w:val="12"/>
                <w:szCs w:val="12"/>
                <w:color w:val="auto"/>
                <w:w w:val="89"/>
              </w:rPr>
              <w:t>$</w:t>
            </w:r>
          </w:p>
        </w:tc>
        <w:tc>
          <w:tcPr>
            <w:tcW w:w="2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14,770</w:t>
            </w:r>
          </w:p>
        </w:tc>
        <w:tc>
          <w:tcPr>
            <w:tcW w:w="100" w:type="dxa"/>
            <w:vAlign w:val="bottom"/>
            <w:tcBorders>
              <w:top w:val="single" w:sz="8" w:color="CCEEFF"/>
            </w:tcBorders>
            <w:shd w:val="clear" w:color="auto" w:fill="CCEEFF"/>
          </w:tcPr>
          <w:p>
            <w:pPr>
              <w:spacing w:after="0"/>
              <w:rPr>
                <w:sz w:val="12"/>
                <w:szCs w:val="12"/>
                <w:color w:val="auto"/>
              </w:rPr>
            </w:pPr>
          </w:p>
        </w:tc>
        <w:tc>
          <w:tcPr>
            <w:tcW w:w="2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52 %</w:t>
            </w:r>
          </w:p>
        </w:tc>
      </w:tr>
      <w:tr>
        <w:trPr>
          <w:trHeight w:val="152"/>
        </w:trPr>
        <w:tc>
          <w:tcPr>
            <w:tcW w:w="3040" w:type="dxa"/>
            <w:vAlign w:val="bottom"/>
          </w:tcPr>
          <w:p>
            <w:pPr>
              <w:jc w:val="center"/>
              <w:spacing w:after="0"/>
              <w:rPr>
                <w:sz w:val="20"/>
                <w:szCs w:val="20"/>
                <w:color w:val="auto"/>
              </w:rPr>
            </w:pPr>
            <w:r>
              <w:rPr>
                <w:rFonts w:ascii="Arial" w:cs="Arial" w:eastAsia="Arial" w:hAnsi="Arial"/>
                <w:sz w:val="12"/>
                <w:szCs w:val="12"/>
                <w:color w:val="auto"/>
                <w:w w:val="89"/>
              </w:rPr>
              <w:t>2</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100" w:type="dxa"/>
            <w:vAlign w:val="bottom"/>
          </w:tcPr>
          <w:p>
            <w:pPr>
              <w:jc w:val="right"/>
              <w:spacing w:after="0"/>
              <w:rPr>
                <w:sz w:val="20"/>
                <w:szCs w:val="20"/>
                <w:color w:val="auto"/>
              </w:rPr>
            </w:pPr>
            <w:r>
              <w:rPr>
                <w:rFonts w:ascii="Arial" w:cs="Arial" w:eastAsia="Arial" w:hAnsi="Arial"/>
                <w:sz w:val="12"/>
                <w:szCs w:val="12"/>
                <w:color w:val="auto"/>
              </w:rPr>
              <w:t>10,140</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140" w:type="dxa"/>
            <w:vAlign w:val="bottom"/>
          </w:tcPr>
          <w:p>
            <w:pPr>
              <w:jc w:val="right"/>
              <w:ind w:right="1"/>
              <w:spacing w:after="0"/>
              <w:rPr>
                <w:sz w:val="20"/>
                <w:szCs w:val="20"/>
                <w:color w:val="auto"/>
              </w:rPr>
            </w:pPr>
            <w:r>
              <w:rPr>
                <w:rFonts w:ascii="Arial" w:cs="Arial" w:eastAsia="Arial" w:hAnsi="Arial"/>
                <w:sz w:val="12"/>
                <w:szCs w:val="12"/>
                <w:color w:val="auto"/>
              </w:rPr>
              <w:t>10,899</w:t>
            </w:r>
          </w:p>
        </w:tc>
        <w:tc>
          <w:tcPr>
            <w:tcW w:w="100" w:type="dxa"/>
            <w:vAlign w:val="bottom"/>
          </w:tcPr>
          <w:p>
            <w:pPr>
              <w:spacing w:after="0"/>
              <w:rPr>
                <w:sz w:val="13"/>
                <w:szCs w:val="13"/>
                <w:color w:val="auto"/>
              </w:rPr>
            </w:pPr>
          </w:p>
        </w:tc>
        <w:tc>
          <w:tcPr>
            <w:tcW w:w="2700" w:type="dxa"/>
            <w:vAlign w:val="bottom"/>
          </w:tcPr>
          <w:p>
            <w:pPr>
              <w:jc w:val="right"/>
              <w:spacing w:after="0"/>
              <w:rPr>
                <w:sz w:val="20"/>
                <w:szCs w:val="20"/>
                <w:color w:val="auto"/>
              </w:rPr>
            </w:pPr>
            <w:r>
              <w:rPr>
                <w:rFonts w:ascii="Arial" w:cs="Arial" w:eastAsia="Arial" w:hAnsi="Arial"/>
                <w:sz w:val="12"/>
                <w:szCs w:val="12"/>
                <w:color w:val="auto"/>
              </w:rPr>
              <w:t>38 %</w:t>
            </w:r>
          </w:p>
        </w:tc>
      </w:tr>
      <w:tr>
        <w:trPr>
          <w:trHeight w:val="157"/>
        </w:trPr>
        <w:tc>
          <w:tcPr>
            <w:tcW w:w="3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3</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1,667</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1,927</w:t>
            </w:r>
          </w:p>
        </w:tc>
        <w:tc>
          <w:tcPr>
            <w:tcW w:w="100" w:type="dxa"/>
            <w:vAlign w:val="bottom"/>
            <w:shd w:val="clear" w:color="auto" w:fill="CCEEFF"/>
          </w:tcPr>
          <w:p>
            <w:pPr>
              <w:spacing w:after="0"/>
              <w:rPr>
                <w:sz w:val="13"/>
                <w:szCs w:val="13"/>
                <w:color w:val="auto"/>
              </w:rPr>
            </w:pPr>
          </w:p>
        </w:tc>
        <w:tc>
          <w:tcPr>
            <w:tcW w:w="2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7 %</w:t>
            </w:r>
          </w:p>
        </w:tc>
      </w:tr>
      <w:tr>
        <w:trPr>
          <w:trHeight w:val="152"/>
        </w:trPr>
        <w:tc>
          <w:tcPr>
            <w:tcW w:w="3040" w:type="dxa"/>
            <w:vAlign w:val="bottom"/>
          </w:tcPr>
          <w:p>
            <w:pPr>
              <w:jc w:val="center"/>
              <w:spacing w:after="0"/>
              <w:rPr>
                <w:sz w:val="20"/>
                <w:szCs w:val="20"/>
                <w:color w:val="auto"/>
              </w:rPr>
            </w:pPr>
            <w:r>
              <w:rPr>
                <w:rFonts w:ascii="Arial" w:cs="Arial" w:eastAsia="Arial" w:hAnsi="Arial"/>
                <w:sz w:val="12"/>
                <w:szCs w:val="12"/>
                <w:color w:val="auto"/>
                <w:w w:val="89"/>
              </w:rPr>
              <w:t>4</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100" w:type="dxa"/>
            <w:vAlign w:val="bottom"/>
          </w:tcPr>
          <w:p>
            <w:pPr>
              <w:jc w:val="right"/>
              <w:spacing w:after="0"/>
              <w:rPr>
                <w:sz w:val="20"/>
                <w:szCs w:val="20"/>
                <w:color w:val="auto"/>
              </w:rPr>
            </w:pPr>
            <w:r>
              <w:rPr>
                <w:rFonts w:ascii="Arial" w:cs="Arial" w:eastAsia="Arial" w:hAnsi="Arial"/>
                <w:sz w:val="12"/>
                <w:szCs w:val="12"/>
                <w:color w:val="auto"/>
              </w:rPr>
              <w:t>651</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140" w:type="dxa"/>
            <w:vAlign w:val="bottom"/>
          </w:tcPr>
          <w:p>
            <w:pPr>
              <w:jc w:val="right"/>
              <w:ind w:right="1"/>
              <w:spacing w:after="0"/>
              <w:rPr>
                <w:sz w:val="20"/>
                <w:szCs w:val="20"/>
                <w:color w:val="auto"/>
              </w:rPr>
            </w:pPr>
            <w:r>
              <w:rPr>
                <w:rFonts w:ascii="Arial" w:cs="Arial" w:eastAsia="Arial" w:hAnsi="Arial"/>
                <w:sz w:val="12"/>
                <w:szCs w:val="12"/>
                <w:color w:val="auto"/>
              </w:rPr>
              <w:t>747</w:t>
            </w:r>
          </w:p>
        </w:tc>
        <w:tc>
          <w:tcPr>
            <w:tcW w:w="100" w:type="dxa"/>
            <w:vAlign w:val="bottom"/>
          </w:tcPr>
          <w:p>
            <w:pPr>
              <w:spacing w:after="0"/>
              <w:rPr>
                <w:sz w:val="13"/>
                <w:szCs w:val="13"/>
                <w:color w:val="auto"/>
              </w:rPr>
            </w:pPr>
          </w:p>
        </w:tc>
        <w:tc>
          <w:tcPr>
            <w:tcW w:w="2700" w:type="dxa"/>
            <w:vAlign w:val="bottom"/>
          </w:tcPr>
          <w:p>
            <w:pPr>
              <w:jc w:val="right"/>
              <w:spacing w:after="0"/>
              <w:rPr>
                <w:sz w:val="20"/>
                <w:szCs w:val="20"/>
                <w:color w:val="auto"/>
              </w:rPr>
            </w:pPr>
            <w:r>
              <w:rPr>
                <w:rFonts w:ascii="Arial" w:cs="Arial" w:eastAsia="Arial" w:hAnsi="Arial"/>
                <w:sz w:val="12"/>
                <w:szCs w:val="12"/>
                <w:color w:val="auto"/>
              </w:rPr>
              <w:t>2 %</w:t>
            </w:r>
          </w:p>
        </w:tc>
      </w:tr>
      <w:tr>
        <w:trPr>
          <w:trHeight w:val="157"/>
        </w:trPr>
        <w:tc>
          <w:tcPr>
            <w:tcW w:w="3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5</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149</w:t>
            </w:r>
          </w:p>
        </w:tc>
        <w:tc>
          <w:tcPr>
            <w:tcW w:w="100" w:type="dxa"/>
            <w:vAlign w:val="bottom"/>
            <w:shd w:val="clear" w:color="auto" w:fill="CCEEFF"/>
          </w:tcPr>
          <w:p>
            <w:pPr>
              <w:spacing w:after="0"/>
              <w:rPr>
                <w:sz w:val="13"/>
                <w:szCs w:val="13"/>
                <w:color w:val="auto"/>
              </w:rPr>
            </w:pPr>
          </w:p>
        </w:tc>
        <w:tc>
          <w:tcPr>
            <w:tcW w:w="2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1 %</w:t>
            </w:r>
          </w:p>
        </w:tc>
      </w:tr>
      <w:tr>
        <w:trPr>
          <w:trHeight w:val="152"/>
        </w:trPr>
        <w:tc>
          <w:tcPr>
            <w:tcW w:w="3040" w:type="dxa"/>
            <w:vAlign w:val="bottom"/>
            <w:tcBorders>
              <w:bottom w:val="single" w:sz="8" w:color="CCEEFF"/>
            </w:tcBorders>
          </w:tcPr>
          <w:p>
            <w:pPr>
              <w:jc w:val="center"/>
              <w:spacing w:after="0"/>
              <w:rPr>
                <w:sz w:val="20"/>
                <w:szCs w:val="20"/>
                <w:color w:val="auto"/>
              </w:rPr>
            </w:pPr>
            <w:r>
              <w:rPr>
                <w:rFonts w:ascii="Arial" w:cs="Arial" w:eastAsia="Arial" w:hAnsi="Arial"/>
                <w:sz w:val="12"/>
                <w:szCs w:val="12"/>
                <w:color w:val="auto"/>
                <w:w w:val="89"/>
              </w:rPr>
              <w:t>6</w:t>
            </w:r>
          </w:p>
        </w:tc>
        <w:tc>
          <w:tcPr>
            <w:tcW w:w="1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w:t>
            </w:r>
          </w:p>
        </w:tc>
        <w:tc>
          <w:tcPr>
            <w:tcW w:w="1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58</w:t>
            </w:r>
          </w:p>
        </w:tc>
        <w:tc>
          <w:tcPr>
            <w:tcW w:w="100" w:type="dxa"/>
            <w:vAlign w:val="bottom"/>
            <w:tcBorders>
              <w:bottom w:val="single" w:sz="8" w:color="CCEEFF"/>
            </w:tcBorders>
          </w:tcPr>
          <w:p>
            <w:pPr>
              <w:spacing w:after="0"/>
              <w:rPr>
                <w:sz w:val="13"/>
                <w:szCs w:val="13"/>
                <w:color w:val="auto"/>
              </w:rPr>
            </w:pP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 %</w:t>
            </w:r>
          </w:p>
        </w:tc>
      </w:tr>
      <w:tr>
        <w:trPr>
          <w:trHeight w:val="173"/>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Total</w:t>
            </w:r>
          </w:p>
        </w:tc>
        <w:tc>
          <w:tcPr>
            <w:tcW w:w="48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9"/>
                <w:szCs w:val="9"/>
                <w:color w:val="auto"/>
                <w:w w:val="78"/>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27,020</w:t>
            </w:r>
          </w:p>
        </w:tc>
        <w:tc>
          <w:tcPr>
            <w:tcW w:w="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2"/>
                <w:szCs w:val="12"/>
                <w:color w:val="auto"/>
                <w:w w:val="89"/>
              </w:rPr>
              <w:t>$</w:t>
            </w:r>
          </w:p>
        </w:tc>
        <w:tc>
          <w:tcPr>
            <w:tcW w:w="2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28,550</w:t>
            </w:r>
          </w:p>
        </w:tc>
        <w:tc>
          <w:tcPr>
            <w:tcW w:w="100" w:type="dxa"/>
            <w:vAlign w:val="bottom"/>
            <w:tcBorders>
              <w:bottom w:val="single" w:sz="8" w:color="CCEEFF"/>
            </w:tcBorders>
            <w:shd w:val="clear" w:color="auto" w:fill="CCEEFF"/>
          </w:tcPr>
          <w:p>
            <w:pPr>
              <w:spacing w:after="0"/>
              <w:rPr>
                <w:sz w:val="14"/>
                <w:szCs w:val="14"/>
                <w:color w:val="auto"/>
              </w:rPr>
            </w:pPr>
          </w:p>
        </w:tc>
        <w:tc>
          <w:tcPr>
            <w:tcW w:w="2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2"/>
          </w:tcPr>
          <w:p>
            <w:pPr>
              <w:ind w:left="400"/>
              <w:spacing w:after="0"/>
              <w:rPr>
                <w:sz w:val="20"/>
                <w:szCs w:val="20"/>
                <w:color w:val="auto"/>
              </w:rPr>
            </w:pPr>
            <w:r>
              <w:rPr>
                <w:rFonts w:ascii="Arial" w:cs="Arial" w:eastAsia="Arial" w:hAnsi="Arial"/>
                <w:sz w:val="12"/>
                <w:szCs w:val="12"/>
                <w:b w:val="1"/>
                <w:bCs w:val="1"/>
                <w:color w:val="auto"/>
              </w:rPr>
              <w:t>December 31, 2020</w:t>
            </w:r>
          </w:p>
        </w:tc>
        <w:tc>
          <w:tcPr>
            <w:tcW w:w="2700" w:type="dxa"/>
            <w:vAlign w:val="bottom"/>
            <w:tcBorders>
              <w:bottom w:val="single" w:sz="8" w:color="auto"/>
            </w:tcBorders>
          </w:tcPr>
          <w:p>
            <w:pPr>
              <w:spacing w:after="0"/>
              <w:rPr>
                <w:sz w:val="13"/>
                <w:szCs w:val="13"/>
                <w:color w:val="auto"/>
              </w:rPr>
            </w:pPr>
          </w:p>
        </w:tc>
      </w:tr>
      <w:tr>
        <w:trPr>
          <w:trHeight w:val="153"/>
        </w:trPr>
        <w:tc>
          <w:tcPr>
            <w:tcW w:w="31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NAIC Designation</w:t>
            </w:r>
          </w:p>
        </w:tc>
        <w:tc>
          <w:tcPr>
            <w:tcW w:w="480" w:type="dxa"/>
            <w:vAlign w:val="bottom"/>
          </w:tcPr>
          <w:p>
            <w:pPr>
              <w:spacing w:after="0"/>
              <w:rPr>
                <w:sz w:val="13"/>
                <w:szCs w:val="13"/>
                <w:color w:val="auto"/>
              </w:rPr>
            </w:pPr>
          </w:p>
        </w:tc>
        <w:tc>
          <w:tcPr>
            <w:tcW w:w="2220" w:type="dxa"/>
            <w:vAlign w:val="bottom"/>
            <w:gridSpan w:val="2"/>
          </w:tcPr>
          <w:p>
            <w:pPr>
              <w:ind w:left="420"/>
              <w:spacing w:after="0"/>
              <w:rPr>
                <w:sz w:val="20"/>
                <w:szCs w:val="20"/>
                <w:color w:val="auto"/>
              </w:rPr>
            </w:pPr>
            <w:r>
              <w:rPr>
                <w:rFonts w:ascii="Arial" w:cs="Arial" w:eastAsia="Arial" w:hAnsi="Arial"/>
                <w:sz w:val="12"/>
                <w:szCs w:val="12"/>
                <w:b w:val="1"/>
                <w:bCs w:val="1"/>
                <w:color w:val="auto"/>
              </w:rPr>
              <w:t>Amortized Cost</w:t>
            </w:r>
          </w:p>
        </w:tc>
        <w:tc>
          <w:tcPr>
            <w:tcW w:w="480" w:type="dxa"/>
            <w:vAlign w:val="bottom"/>
          </w:tcPr>
          <w:p>
            <w:pPr>
              <w:spacing w:after="0"/>
              <w:rPr>
                <w:sz w:val="13"/>
                <w:szCs w:val="13"/>
                <w:color w:val="auto"/>
              </w:rPr>
            </w:pPr>
          </w:p>
        </w:tc>
        <w:tc>
          <w:tcPr>
            <w:tcW w:w="2220" w:type="dxa"/>
            <w:vAlign w:val="bottom"/>
            <w:gridSpan w:val="2"/>
          </w:tcPr>
          <w:p>
            <w:pPr>
              <w:ind w:left="560"/>
              <w:spacing w:after="0"/>
              <w:rPr>
                <w:sz w:val="20"/>
                <w:szCs w:val="20"/>
                <w:color w:val="auto"/>
              </w:rPr>
            </w:pPr>
            <w:r>
              <w:rPr>
                <w:rFonts w:ascii="Arial" w:cs="Arial" w:eastAsia="Arial" w:hAnsi="Arial"/>
                <w:sz w:val="12"/>
                <w:szCs w:val="12"/>
                <w:b w:val="1"/>
                <w:bCs w:val="1"/>
                <w:color w:val="auto"/>
              </w:rPr>
              <w:t>Fair Value</w:t>
            </w:r>
          </w:p>
        </w:tc>
        <w:tc>
          <w:tcPr>
            <w:tcW w:w="2700" w:type="dxa"/>
            <w:vAlign w:val="bottom"/>
          </w:tcPr>
          <w:p>
            <w:pPr>
              <w:jc w:val="right"/>
              <w:ind w:right="621"/>
              <w:spacing w:after="0"/>
              <w:rPr>
                <w:sz w:val="20"/>
                <w:szCs w:val="20"/>
                <w:color w:val="auto"/>
              </w:rPr>
            </w:pPr>
            <w:r>
              <w:rPr>
                <w:rFonts w:ascii="Arial" w:cs="Arial" w:eastAsia="Arial" w:hAnsi="Arial"/>
                <w:sz w:val="12"/>
                <w:szCs w:val="12"/>
                <w:b w:val="1"/>
                <w:bCs w:val="1"/>
                <w:color w:val="auto"/>
              </w:rPr>
              <w:t>Percent of Total Fair Value</w:t>
            </w:r>
          </w:p>
        </w:tc>
      </w:tr>
      <w:tr>
        <w:trPr>
          <w:trHeight w:val="147"/>
        </w:trPr>
        <w:tc>
          <w:tcPr>
            <w:tcW w:w="3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1</w:t>
            </w: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ind w:right="373"/>
              <w:spacing w:after="0"/>
              <w:rPr>
                <w:sz w:val="20"/>
                <w:szCs w:val="20"/>
                <w:color w:val="auto"/>
              </w:rPr>
            </w:pPr>
            <w:r>
              <w:rPr>
                <w:rFonts w:ascii="Arial" w:cs="Arial" w:eastAsia="Arial" w:hAnsi="Arial"/>
                <w:sz w:val="9"/>
                <w:szCs w:val="9"/>
                <w:color w:val="auto"/>
                <w:w w:val="78"/>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11,696</w:t>
            </w: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12"/>
                <w:szCs w:val="12"/>
                <w:color w:val="auto"/>
                <w:w w:val="89"/>
              </w:rPr>
              <w:t>$</w:t>
            </w:r>
          </w:p>
        </w:tc>
        <w:tc>
          <w:tcPr>
            <w:tcW w:w="21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12,370</w:t>
            </w:r>
          </w:p>
        </w:tc>
        <w:tc>
          <w:tcPr>
            <w:tcW w:w="100" w:type="dxa"/>
            <w:vAlign w:val="bottom"/>
            <w:tcBorders>
              <w:top w:val="single" w:sz="8" w:color="CCEEFF"/>
            </w:tcBorders>
            <w:shd w:val="clear" w:color="auto" w:fill="CCEEFF"/>
          </w:tcPr>
          <w:p>
            <w:pPr>
              <w:spacing w:after="0"/>
              <w:rPr>
                <w:sz w:val="12"/>
                <w:szCs w:val="12"/>
                <w:color w:val="auto"/>
              </w:rPr>
            </w:pPr>
          </w:p>
        </w:tc>
        <w:tc>
          <w:tcPr>
            <w:tcW w:w="2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49 %</w:t>
            </w:r>
          </w:p>
        </w:tc>
      </w:tr>
      <w:tr>
        <w:trPr>
          <w:trHeight w:val="152"/>
        </w:trPr>
        <w:tc>
          <w:tcPr>
            <w:tcW w:w="3040" w:type="dxa"/>
            <w:vAlign w:val="bottom"/>
          </w:tcPr>
          <w:p>
            <w:pPr>
              <w:jc w:val="center"/>
              <w:spacing w:after="0"/>
              <w:rPr>
                <w:sz w:val="20"/>
                <w:szCs w:val="20"/>
                <w:color w:val="auto"/>
              </w:rPr>
            </w:pPr>
            <w:r>
              <w:rPr>
                <w:rFonts w:ascii="Arial" w:cs="Arial" w:eastAsia="Arial" w:hAnsi="Arial"/>
                <w:sz w:val="12"/>
                <w:szCs w:val="12"/>
                <w:color w:val="auto"/>
                <w:w w:val="89"/>
              </w:rPr>
              <w:t>2</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100" w:type="dxa"/>
            <w:vAlign w:val="bottom"/>
          </w:tcPr>
          <w:p>
            <w:pPr>
              <w:jc w:val="right"/>
              <w:spacing w:after="0"/>
              <w:rPr>
                <w:sz w:val="20"/>
                <w:szCs w:val="20"/>
                <w:color w:val="auto"/>
              </w:rPr>
            </w:pPr>
            <w:r>
              <w:rPr>
                <w:rFonts w:ascii="Arial" w:cs="Arial" w:eastAsia="Arial" w:hAnsi="Arial"/>
                <w:sz w:val="12"/>
                <w:szCs w:val="12"/>
                <w:color w:val="auto"/>
              </w:rPr>
              <w:t>9,753</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120" w:type="dxa"/>
            <w:vAlign w:val="bottom"/>
          </w:tcPr>
          <w:p>
            <w:pPr>
              <w:jc w:val="right"/>
              <w:ind w:right="1"/>
              <w:spacing w:after="0"/>
              <w:rPr>
                <w:sz w:val="20"/>
                <w:szCs w:val="20"/>
                <w:color w:val="auto"/>
              </w:rPr>
            </w:pPr>
            <w:r>
              <w:rPr>
                <w:rFonts w:ascii="Arial" w:cs="Arial" w:eastAsia="Arial" w:hAnsi="Arial"/>
                <w:sz w:val="12"/>
                <w:szCs w:val="12"/>
                <w:color w:val="auto"/>
              </w:rPr>
              <w:t>10,659</w:t>
            </w:r>
          </w:p>
        </w:tc>
        <w:tc>
          <w:tcPr>
            <w:tcW w:w="100" w:type="dxa"/>
            <w:vAlign w:val="bottom"/>
          </w:tcPr>
          <w:p>
            <w:pPr>
              <w:spacing w:after="0"/>
              <w:rPr>
                <w:sz w:val="13"/>
                <w:szCs w:val="13"/>
                <w:color w:val="auto"/>
              </w:rPr>
            </w:pPr>
          </w:p>
        </w:tc>
        <w:tc>
          <w:tcPr>
            <w:tcW w:w="2700" w:type="dxa"/>
            <w:vAlign w:val="bottom"/>
          </w:tcPr>
          <w:p>
            <w:pPr>
              <w:jc w:val="right"/>
              <w:spacing w:after="0"/>
              <w:rPr>
                <w:sz w:val="20"/>
                <w:szCs w:val="20"/>
                <w:color w:val="auto"/>
              </w:rPr>
            </w:pPr>
            <w:r>
              <w:rPr>
                <w:rFonts w:ascii="Arial" w:cs="Arial" w:eastAsia="Arial" w:hAnsi="Arial"/>
                <w:sz w:val="12"/>
                <w:szCs w:val="12"/>
                <w:color w:val="auto"/>
              </w:rPr>
              <w:t>42 %</w:t>
            </w:r>
          </w:p>
        </w:tc>
      </w:tr>
      <w:tr>
        <w:trPr>
          <w:trHeight w:val="157"/>
        </w:trPr>
        <w:tc>
          <w:tcPr>
            <w:tcW w:w="3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3</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1,373</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1,595</w:t>
            </w:r>
          </w:p>
        </w:tc>
        <w:tc>
          <w:tcPr>
            <w:tcW w:w="100" w:type="dxa"/>
            <w:vAlign w:val="bottom"/>
            <w:shd w:val="clear" w:color="auto" w:fill="CCEEFF"/>
          </w:tcPr>
          <w:p>
            <w:pPr>
              <w:spacing w:after="0"/>
              <w:rPr>
                <w:sz w:val="13"/>
                <w:szCs w:val="13"/>
                <w:color w:val="auto"/>
              </w:rPr>
            </w:pPr>
          </w:p>
        </w:tc>
        <w:tc>
          <w:tcPr>
            <w:tcW w:w="2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6 %</w:t>
            </w:r>
          </w:p>
        </w:tc>
      </w:tr>
      <w:tr>
        <w:trPr>
          <w:trHeight w:val="152"/>
        </w:trPr>
        <w:tc>
          <w:tcPr>
            <w:tcW w:w="3040" w:type="dxa"/>
            <w:vAlign w:val="bottom"/>
          </w:tcPr>
          <w:p>
            <w:pPr>
              <w:jc w:val="center"/>
              <w:spacing w:after="0"/>
              <w:rPr>
                <w:sz w:val="20"/>
                <w:szCs w:val="20"/>
                <w:color w:val="auto"/>
              </w:rPr>
            </w:pPr>
            <w:r>
              <w:rPr>
                <w:rFonts w:ascii="Arial" w:cs="Arial" w:eastAsia="Arial" w:hAnsi="Arial"/>
                <w:sz w:val="12"/>
                <w:szCs w:val="12"/>
                <w:color w:val="auto"/>
                <w:w w:val="89"/>
              </w:rPr>
              <w:t>4</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100" w:type="dxa"/>
            <w:vAlign w:val="bottom"/>
          </w:tcPr>
          <w:p>
            <w:pPr>
              <w:jc w:val="right"/>
              <w:spacing w:after="0"/>
              <w:rPr>
                <w:sz w:val="20"/>
                <w:szCs w:val="20"/>
                <w:color w:val="auto"/>
              </w:rPr>
            </w:pPr>
            <w:r>
              <w:rPr>
                <w:rFonts w:ascii="Arial" w:cs="Arial" w:eastAsia="Arial" w:hAnsi="Arial"/>
                <w:sz w:val="12"/>
                <w:szCs w:val="12"/>
                <w:color w:val="auto"/>
              </w:rPr>
              <w:t>616</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120" w:type="dxa"/>
            <w:vAlign w:val="bottom"/>
          </w:tcPr>
          <w:p>
            <w:pPr>
              <w:jc w:val="right"/>
              <w:ind w:right="1"/>
              <w:spacing w:after="0"/>
              <w:rPr>
                <w:sz w:val="20"/>
                <w:szCs w:val="20"/>
                <w:color w:val="auto"/>
              </w:rPr>
            </w:pPr>
            <w:r>
              <w:rPr>
                <w:rFonts w:ascii="Arial" w:cs="Arial" w:eastAsia="Arial" w:hAnsi="Arial"/>
                <w:sz w:val="12"/>
                <w:szCs w:val="12"/>
                <w:color w:val="auto"/>
              </w:rPr>
              <w:t>700</w:t>
            </w:r>
          </w:p>
        </w:tc>
        <w:tc>
          <w:tcPr>
            <w:tcW w:w="100" w:type="dxa"/>
            <w:vAlign w:val="bottom"/>
          </w:tcPr>
          <w:p>
            <w:pPr>
              <w:spacing w:after="0"/>
              <w:rPr>
                <w:sz w:val="13"/>
                <w:szCs w:val="13"/>
                <w:color w:val="auto"/>
              </w:rPr>
            </w:pPr>
          </w:p>
        </w:tc>
        <w:tc>
          <w:tcPr>
            <w:tcW w:w="2700" w:type="dxa"/>
            <w:vAlign w:val="bottom"/>
          </w:tcPr>
          <w:p>
            <w:pPr>
              <w:jc w:val="right"/>
              <w:spacing w:after="0"/>
              <w:rPr>
                <w:sz w:val="20"/>
                <w:szCs w:val="20"/>
                <w:color w:val="auto"/>
              </w:rPr>
            </w:pPr>
            <w:r>
              <w:rPr>
                <w:rFonts w:ascii="Arial" w:cs="Arial" w:eastAsia="Arial" w:hAnsi="Arial"/>
                <w:sz w:val="12"/>
                <w:szCs w:val="12"/>
                <w:color w:val="auto"/>
              </w:rPr>
              <w:t>3 %</w:t>
            </w:r>
          </w:p>
        </w:tc>
      </w:tr>
      <w:tr>
        <w:trPr>
          <w:trHeight w:val="157"/>
        </w:trPr>
        <w:tc>
          <w:tcPr>
            <w:tcW w:w="3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5</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174</w:t>
            </w:r>
          </w:p>
        </w:tc>
        <w:tc>
          <w:tcPr>
            <w:tcW w:w="100" w:type="dxa"/>
            <w:vAlign w:val="bottom"/>
            <w:shd w:val="clear" w:color="auto" w:fill="CCEEFF"/>
          </w:tcPr>
          <w:p>
            <w:pPr>
              <w:spacing w:after="0"/>
              <w:rPr>
                <w:sz w:val="13"/>
                <w:szCs w:val="13"/>
                <w:color w:val="auto"/>
              </w:rPr>
            </w:pPr>
          </w:p>
        </w:tc>
        <w:tc>
          <w:tcPr>
            <w:tcW w:w="2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r>
      <w:tr>
        <w:trPr>
          <w:trHeight w:val="152"/>
        </w:trPr>
        <w:tc>
          <w:tcPr>
            <w:tcW w:w="3040" w:type="dxa"/>
            <w:vAlign w:val="bottom"/>
            <w:tcBorders>
              <w:bottom w:val="single" w:sz="8" w:color="CCEEFF"/>
            </w:tcBorders>
          </w:tcPr>
          <w:p>
            <w:pPr>
              <w:jc w:val="center"/>
              <w:spacing w:after="0"/>
              <w:rPr>
                <w:sz w:val="20"/>
                <w:szCs w:val="20"/>
                <w:color w:val="auto"/>
              </w:rPr>
            </w:pPr>
            <w:r>
              <w:rPr>
                <w:rFonts w:ascii="Arial" w:cs="Arial" w:eastAsia="Arial" w:hAnsi="Arial"/>
                <w:sz w:val="12"/>
                <w:szCs w:val="12"/>
                <w:color w:val="auto"/>
                <w:w w:val="89"/>
              </w:rPr>
              <w:t>6</w:t>
            </w:r>
          </w:p>
        </w:tc>
        <w:tc>
          <w:tcPr>
            <w:tcW w:w="1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tcPr>
          <w:p>
            <w:pPr>
              <w:spacing w:after="0"/>
              <w:rPr>
                <w:sz w:val="13"/>
                <w:szCs w:val="13"/>
                <w:color w:val="auto"/>
              </w:rPr>
            </w:pP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 %</w:t>
            </w:r>
          </w:p>
        </w:tc>
      </w:tr>
      <w:tr>
        <w:trPr>
          <w:trHeight w:val="173"/>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Total</w:t>
            </w:r>
          </w:p>
        </w:tc>
        <w:tc>
          <w:tcPr>
            <w:tcW w:w="48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9"/>
                <w:szCs w:val="9"/>
                <w:color w:val="auto"/>
                <w:w w:val="78"/>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23,601</w:t>
            </w:r>
          </w:p>
        </w:tc>
        <w:tc>
          <w:tcPr>
            <w:tcW w:w="1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2"/>
                <w:szCs w:val="12"/>
                <w:color w:val="auto"/>
                <w:w w:val="89"/>
              </w:rPr>
              <w:t>$</w:t>
            </w:r>
          </w:p>
        </w:tc>
        <w:tc>
          <w:tcPr>
            <w:tcW w:w="2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25,499</w:t>
            </w:r>
          </w:p>
        </w:tc>
        <w:tc>
          <w:tcPr>
            <w:tcW w:w="100" w:type="dxa"/>
            <w:vAlign w:val="bottom"/>
            <w:tcBorders>
              <w:bottom w:val="single" w:sz="8" w:color="CCEEFF"/>
            </w:tcBorders>
            <w:shd w:val="clear" w:color="auto" w:fill="CCEEFF"/>
          </w:tcPr>
          <w:p>
            <w:pPr>
              <w:spacing w:after="0"/>
              <w:rPr>
                <w:sz w:val="14"/>
                <w:szCs w:val="14"/>
                <w:color w:val="auto"/>
              </w:rPr>
            </w:pPr>
          </w:p>
        </w:tc>
        <w:tc>
          <w:tcPr>
            <w:tcW w:w="2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82" w:name="page83"/>
    <w:bookmarkEnd w:id="8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Industry Concentration</w:t>
      </w:r>
    </w:p>
    <w:p>
      <w:pPr>
        <w:spacing w:after="0" w:line="185" w:lineRule="exact"/>
        <w:rPr>
          <w:sz w:val="20"/>
          <w:szCs w:val="20"/>
          <w:color w:val="auto"/>
        </w:rPr>
      </w:pPr>
    </w:p>
    <w:p>
      <w:pPr>
        <w:ind w:firstLine="331"/>
        <w:spacing w:after="0" w:line="266" w:lineRule="auto"/>
        <w:rPr>
          <w:sz w:val="20"/>
          <w:szCs w:val="20"/>
          <w:color w:val="auto"/>
        </w:rPr>
      </w:pPr>
      <w:r>
        <w:rPr>
          <w:rFonts w:ascii="Arial" w:cs="Arial" w:eastAsia="Arial" w:hAnsi="Arial"/>
          <w:sz w:val="15"/>
          <w:szCs w:val="15"/>
          <w:color w:val="auto"/>
        </w:rPr>
        <w:t>The tables below present the top ten industry categories of our fixed maturity and equity securities and FHLB common stock, including the fair value and percent of total fixed maturity and equity securities and FHLB common stock fair value as of September 30, 2021 and December 31, 2020 (dollars in millions):</w:t>
      </w:r>
    </w:p>
    <w:p>
      <w:pPr>
        <w:sectPr>
          <w:pgSz w:w="11900" w:h="16838" w:orient="portrait"/>
          <w:cols w:equalWidth="0" w:num="1">
            <w:col w:w="11280"/>
          </w:cols>
          <w:pgMar w:left="300" w:top="129" w:right="31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Top 10 Industry Concentration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508952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08952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CLO securities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ABS Other</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Banking</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1"/>
          <w:szCs w:val="11"/>
          <w:color w:val="auto"/>
        </w:rPr>
        <w:t>Whole loan collateralized mortgage obligation ("CMO")</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2"/>
          <w:szCs w:val="12"/>
          <w:color w:val="auto"/>
        </w:rPr>
        <w:t>Life insurance</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Electric</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Municipal</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Technology</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Healthcare</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CMBS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508952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089525" cy="6985"/>
                    </a:xfrm>
                    <a:prstGeom prst="rect">
                      <a:avLst/>
                    </a:prstGeom>
                    <a:noFill/>
                  </pic:spPr>
                </pic:pic>
              </a:graphicData>
            </a:graphic>
          </wp:anchor>
        </w:drawing>
      </w:r>
    </w:p>
    <w:p>
      <w:pPr>
        <w:spacing w:after="0" w:line="33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Top 10 Industry Concentration</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CLO securities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Banking</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1"/>
          <w:szCs w:val="11"/>
          <w:color w:val="auto"/>
        </w:rPr>
        <w:t>Whole loan collateralized mortgage obligation ("CMO")</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2"/>
          <w:szCs w:val="12"/>
          <w:color w:val="auto"/>
        </w:rPr>
        <w:t>ABS other</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Life insurance</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Electric</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Municipal</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CMBS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Technology</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Healthcare</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ind w:left="1080"/>
        <w:spacing w:after="0"/>
        <w:rPr>
          <w:sz w:val="20"/>
          <w:szCs w:val="20"/>
          <w:color w:val="auto"/>
        </w:rPr>
      </w:pPr>
      <w:r>
        <w:rPr>
          <w:rFonts w:ascii="Arial" w:cs="Arial" w:eastAsia="Arial" w:hAnsi="Arial"/>
          <w:sz w:val="12"/>
          <w:szCs w:val="12"/>
          <w:b w:val="1"/>
          <w:bCs w:val="1"/>
          <w:color w:val="auto"/>
        </w:rPr>
        <w:t>September 30, 2021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ind w:left="220"/>
              <w:spacing w:after="0"/>
              <w:rPr>
                <w:sz w:val="20"/>
                <w:szCs w:val="20"/>
                <w:color w:val="auto"/>
              </w:rPr>
            </w:pPr>
            <w:r>
              <w:rPr>
                <w:rFonts w:ascii="Arial" w:cs="Arial" w:eastAsia="Arial" w:hAnsi="Arial"/>
                <w:sz w:val="12"/>
                <w:szCs w:val="12"/>
                <w:b w:val="1"/>
                <w:bCs w:val="1"/>
                <w:color w:val="auto"/>
              </w:rPr>
              <w:t>Fair Value</w:t>
            </w:r>
          </w:p>
        </w:tc>
        <w:tc>
          <w:tcPr>
            <w:tcW w:w="160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b w:val="1"/>
                <w:bCs w:val="1"/>
                <w:color w:val="auto"/>
                <w:w w:val="96"/>
              </w:rPr>
              <w:t>Percent of Total Fair Value</w:t>
            </w:r>
          </w:p>
        </w:tc>
      </w:tr>
      <w:tr>
        <w:trPr>
          <w:trHeight w:val="142"/>
        </w:trPr>
        <w:tc>
          <w:tcPr>
            <w:tcW w:w="260" w:type="dxa"/>
            <w:vAlign w:val="bottom"/>
            <w:tcBorders>
              <w:top w:val="single" w:sz="8" w:color="auto"/>
            </w:tcBorders>
          </w:tcPr>
          <w:p>
            <w:pPr>
              <w:jc w:val="right"/>
              <w:ind w:right="153"/>
              <w:spacing w:after="0"/>
              <w:rPr>
                <w:sz w:val="20"/>
                <w:szCs w:val="20"/>
                <w:color w:val="auto"/>
              </w:rPr>
            </w:pPr>
            <w:r>
              <w:rPr>
                <w:rFonts w:ascii="Arial" w:cs="Arial" w:eastAsia="Arial" w:hAnsi="Arial"/>
                <w:sz w:val="9"/>
                <w:szCs w:val="9"/>
                <w:color w:val="auto"/>
                <w:w w:val="78"/>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4,361</w:t>
            </w:r>
          </w:p>
        </w:tc>
        <w:tc>
          <w:tcPr>
            <w:tcW w:w="80" w:type="dxa"/>
            <w:vAlign w:val="bottom"/>
          </w:tcPr>
          <w:p>
            <w:pPr>
              <w:spacing w:after="0"/>
              <w:rPr>
                <w:sz w:val="12"/>
                <w:szCs w:val="12"/>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15 %</w:t>
            </w:r>
          </w:p>
        </w:tc>
      </w:tr>
      <w:tr>
        <w:trPr>
          <w:trHeight w:val="150"/>
        </w:trPr>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3,830</w:t>
            </w:r>
          </w:p>
        </w:tc>
        <w:tc>
          <w:tcPr>
            <w:tcW w:w="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13 %</w:t>
            </w:r>
          </w:p>
        </w:tc>
      </w:tr>
      <w:tr>
        <w:trPr>
          <w:trHeight w:val="155"/>
        </w:trPr>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2,618</w:t>
            </w:r>
          </w:p>
        </w:tc>
        <w:tc>
          <w:tcPr>
            <w:tcW w:w="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9 %</w:t>
            </w:r>
          </w:p>
        </w:tc>
      </w:tr>
      <w:tr>
        <w:trPr>
          <w:trHeight w:val="155"/>
        </w:trPr>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2,556</w:t>
            </w:r>
          </w:p>
        </w:tc>
        <w:tc>
          <w:tcPr>
            <w:tcW w:w="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9 %</w:t>
            </w:r>
          </w:p>
        </w:tc>
      </w:tr>
      <w:tr>
        <w:trPr>
          <w:trHeight w:val="155"/>
        </w:trPr>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1,770</w:t>
            </w:r>
          </w:p>
        </w:tc>
        <w:tc>
          <w:tcPr>
            <w:tcW w:w="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6 %</w:t>
            </w:r>
          </w:p>
        </w:tc>
      </w:tr>
      <w:tr>
        <w:trPr>
          <w:trHeight w:val="155"/>
        </w:trPr>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1,565</w:t>
            </w:r>
          </w:p>
        </w:tc>
        <w:tc>
          <w:tcPr>
            <w:tcW w:w="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5 %</w:t>
            </w:r>
          </w:p>
        </w:tc>
      </w:tr>
      <w:tr>
        <w:trPr>
          <w:trHeight w:val="155"/>
        </w:trPr>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1,301</w:t>
            </w:r>
          </w:p>
        </w:tc>
        <w:tc>
          <w:tcPr>
            <w:tcW w:w="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3 %</w:t>
            </w:r>
          </w:p>
        </w:tc>
      </w:tr>
      <w:tr>
        <w:trPr>
          <w:trHeight w:val="155"/>
        </w:trPr>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859</w:t>
            </w:r>
          </w:p>
        </w:tc>
        <w:tc>
          <w:tcPr>
            <w:tcW w:w="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3 %</w:t>
            </w:r>
          </w:p>
        </w:tc>
      </w:tr>
      <w:tr>
        <w:trPr>
          <w:trHeight w:val="155"/>
        </w:trPr>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790</w:t>
            </w:r>
          </w:p>
        </w:tc>
        <w:tc>
          <w:tcPr>
            <w:tcW w:w="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3 %</w:t>
            </w:r>
          </w:p>
        </w:tc>
      </w:tr>
      <w:tr>
        <w:trPr>
          <w:trHeight w:val="160"/>
        </w:trPr>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783</w:t>
            </w:r>
          </w:p>
        </w:tc>
        <w:tc>
          <w:tcPr>
            <w:tcW w:w="80" w:type="dxa"/>
            <w:vAlign w:val="bottom"/>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3 %</w:t>
            </w:r>
          </w:p>
        </w:tc>
      </w:tr>
      <w:tr>
        <w:trPr>
          <w:trHeight w:val="148"/>
        </w:trPr>
        <w:tc>
          <w:tcPr>
            <w:tcW w:w="260" w:type="dxa"/>
            <w:vAlign w:val="bottom"/>
            <w:tcBorders>
              <w:bottom w:val="single" w:sz="8" w:color="auto"/>
            </w:tcBorders>
          </w:tcPr>
          <w:p>
            <w:pPr>
              <w:jc w:val="right"/>
              <w:ind w:right="153"/>
              <w:spacing w:after="0"/>
              <w:rPr>
                <w:sz w:val="20"/>
                <w:szCs w:val="20"/>
                <w:color w:val="auto"/>
              </w:rPr>
            </w:pPr>
            <w:r>
              <w:rPr>
                <w:rFonts w:ascii="Arial" w:cs="Arial" w:eastAsia="Arial" w:hAnsi="Arial"/>
                <w:sz w:val="9"/>
                <w:szCs w:val="9"/>
                <w:color w:val="auto"/>
                <w:w w:val="78"/>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20,433</w:t>
            </w:r>
          </w:p>
        </w:tc>
        <w:tc>
          <w:tcPr>
            <w:tcW w:w="80" w:type="dxa"/>
            <w:vAlign w:val="bottom"/>
          </w:tcPr>
          <w:p>
            <w:pPr>
              <w:spacing w:after="0"/>
              <w:rPr>
                <w:sz w:val="12"/>
                <w:szCs w:val="1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69 %</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-917575</wp:posOffset>
            </wp:positionV>
            <wp:extent cx="7157085" cy="984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085" cy="9842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-721360</wp:posOffset>
            </wp:positionV>
            <wp:extent cx="7157085" cy="984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085" cy="9842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-525145</wp:posOffset>
            </wp:positionV>
            <wp:extent cx="7157085" cy="984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085" cy="9842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-328930</wp:posOffset>
            </wp:positionV>
            <wp:extent cx="7157085" cy="984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085" cy="9842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-132715</wp:posOffset>
            </wp:positionV>
            <wp:extent cx="7157085" cy="1193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085" cy="11938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-1120775</wp:posOffset>
            </wp:positionV>
            <wp:extent cx="7157085" cy="1054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085" cy="105410"/>
                    </a:xfrm>
                    <a:prstGeom prst="rect">
                      <a:avLst/>
                    </a:prstGeom>
                    <a:noFill/>
                  </pic:spPr>
                </pic:pic>
              </a:graphicData>
            </a:graphic>
          </wp:anchor>
        </w:drawing>
      </w:r>
    </w:p>
    <w:p>
      <w:pPr>
        <w:spacing w:after="0" w:line="128" w:lineRule="exact"/>
        <w:rPr>
          <w:sz w:val="20"/>
          <w:szCs w:val="20"/>
          <w:color w:val="auto"/>
        </w:rPr>
      </w:pPr>
    </w:p>
    <w:p>
      <w:pPr>
        <w:ind w:left="1100"/>
        <w:spacing w:after="0"/>
        <w:rPr>
          <w:sz w:val="20"/>
          <w:szCs w:val="20"/>
          <w:color w:val="auto"/>
        </w:rPr>
      </w:pPr>
      <w:r>
        <w:rPr>
          <w:rFonts w:ascii="Arial" w:cs="Arial" w:eastAsia="Arial" w:hAnsi="Arial"/>
          <w:sz w:val="12"/>
          <w:szCs w:val="12"/>
          <w:b w:val="1"/>
          <w:bCs w:val="1"/>
          <w:color w:val="auto"/>
        </w:rPr>
        <w:t>December 31, 2020</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ind w:left="220"/>
              <w:spacing w:after="0"/>
              <w:rPr>
                <w:sz w:val="20"/>
                <w:szCs w:val="20"/>
                <w:color w:val="auto"/>
              </w:rPr>
            </w:pPr>
            <w:r>
              <w:rPr>
                <w:rFonts w:ascii="Arial" w:cs="Arial" w:eastAsia="Arial" w:hAnsi="Arial"/>
                <w:sz w:val="12"/>
                <w:szCs w:val="12"/>
                <w:b w:val="1"/>
                <w:bCs w:val="1"/>
                <w:color w:val="auto"/>
              </w:rPr>
              <w:t>Fair Value</w:t>
            </w:r>
          </w:p>
        </w:tc>
        <w:tc>
          <w:tcPr>
            <w:tcW w:w="160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b w:val="1"/>
                <w:bCs w:val="1"/>
                <w:color w:val="auto"/>
                <w:w w:val="96"/>
              </w:rPr>
              <w:t>Percent of Total Fair Value</w:t>
            </w:r>
          </w:p>
        </w:tc>
      </w:tr>
      <w:tr>
        <w:trPr>
          <w:trHeight w:val="142"/>
        </w:trPr>
        <w:tc>
          <w:tcPr>
            <w:tcW w:w="260" w:type="dxa"/>
            <w:vAlign w:val="bottom"/>
            <w:tcBorders>
              <w:top w:val="single" w:sz="8" w:color="auto"/>
            </w:tcBorders>
          </w:tcPr>
          <w:p>
            <w:pPr>
              <w:jc w:val="right"/>
              <w:ind w:right="153"/>
              <w:spacing w:after="0"/>
              <w:rPr>
                <w:sz w:val="20"/>
                <w:szCs w:val="20"/>
                <w:color w:val="auto"/>
              </w:rPr>
            </w:pPr>
            <w:r>
              <w:rPr>
                <w:rFonts w:ascii="Arial" w:cs="Arial" w:eastAsia="Arial" w:hAnsi="Arial"/>
                <w:sz w:val="9"/>
                <w:szCs w:val="9"/>
                <w:color w:val="auto"/>
                <w:w w:val="78"/>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4,268</w:t>
            </w:r>
          </w:p>
        </w:tc>
        <w:tc>
          <w:tcPr>
            <w:tcW w:w="80" w:type="dxa"/>
            <w:vAlign w:val="bottom"/>
          </w:tcPr>
          <w:p>
            <w:pPr>
              <w:spacing w:after="0"/>
              <w:rPr>
                <w:sz w:val="12"/>
                <w:szCs w:val="12"/>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16 %</w:t>
            </w:r>
          </w:p>
        </w:tc>
      </w:tr>
      <w:tr>
        <w:trPr>
          <w:trHeight w:val="150"/>
        </w:trPr>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2,592</w:t>
            </w:r>
          </w:p>
        </w:tc>
        <w:tc>
          <w:tcPr>
            <w:tcW w:w="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10 %</w:t>
            </w:r>
          </w:p>
        </w:tc>
      </w:tr>
      <w:tr>
        <w:trPr>
          <w:trHeight w:val="155"/>
        </w:trPr>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2,343</w:t>
            </w:r>
          </w:p>
        </w:tc>
        <w:tc>
          <w:tcPr>
            <w:tcW w:w="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9 %</w:t>
            </w:r>
          </w:p>
        </w:tc>
      </w:tr>
      <w:tr>
        <w:trPr>
          <w:trHeight w:val="155"/>
        </w:trPr>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1,873</w:t>
            </w:r>
          </w:p>
        </w:tc>
        <w:tc>
          <w:tcPr>
            <w:tcW w:w="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7 %</w:t>
            </w:r>
          </w:p>
        </w:tc>
      </w:tr>
      <w:tr>
        <w:trPr>
          <w:trHeight w:val="155"/>
        </w:trPr>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1,657</w:t>
            </w:r>
          </w:p>
        </w:tc>
        <w:tc>
          <w:tcPr>
            <w:tcW w:w="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6 %</w:t>
            </w:r>
          </w:p>
        </w:tc>
      </w:tr>
      <w:tr>
        <w:trPr>
          <w:trHeight w:val="155"/>
        </w:trPr>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1,548</w:t>
            </w:r>
          </w:p>
        </w:tc>
        <w:tc>
          <w:tcPr>
            <w:tcW w:w="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6 %</w:t>
            </w:r>
          </w:p>
        </w:tc>
      </w:tr>
      <w:tr>
        <w:trPr>
          <w:trHeight w:val="155"/>
        </w:trPr>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1,308</w:t>
            </w:r>
          </w:p>
        </w:tc>
        <w:tc>
          <w:tcPr>
            <w:tcW w:w="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5 %</w:t>
            </w:r>
          </w:p>
        </w:tc>
      </w:tr>
      <w:tr>
        <w:trPr>
          <w:trHeight w:val="155"/>
        </w:trPr>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795</w:t>
            </w:r>
          </w:p>
        </w:tc>
        <w:tc>
          <w:tcPr>
            <w:tcW w:w="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3 %</w:t>
            </w:r>
          </w:p>
        </w:tc>
      </w:tr>
      <w:tr>
        <w:trPr>
          <w:trHeight w:val="155"/>
        </w:trPr>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784</w:t>
            </w:r>
          </w:p>
        </w:tc>
        <w:tc>
          <w:tcPr>
            <w:tcW w:w="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3 %</w:t>
            </w:r>
          </w:p>
        </w:tc>
      </w:tr>
      <w:tr>
        <w:trPr>
          <w:trHeight w:val="160"/>
        </w:trPr>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658</w:t>
            </w:r>
          </w:p>
        </w:tc>
        <w:tc>
          <w:tcPr>
            <w:tcW w:w="80" w:type="dxa"/>
            <w:vAlign w:val="bottom"/>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2 %</w:t>
            </w:r>
          </w:p>
        </w:tc>
      </w:tr>
      <w:tr>
        <w:trPr>
          <w:trHeight w:val="148"/>
        </w:trPr>
        <w:tc>
          <w:tcPr>
            <w:tcW w:w="260" w:type="dxa"/>
            <w:vAlign w:val="bottom"/>
            <w:tcBorders>
              <w:bottom w:val="single" w:sz="8" w:color="auto"/>
            </w:tcBorders>
          </w:tcPr>
          <w:p>
            <w:pPr>
              <w:jc w:val="right"/>
              <w:ind w:right="153"/>
              <w:spacing w:after="0"/>
              <w:rPr>
                <w:sz w:val="20"/>
                <w:szCs w:val="20"/>
                <w:color w:val="auto"/>
              </w:rPr>
            </w:pPr>
            <w:r>
              <w:rPr>
                <w:rFonts w:ascii="Arial" w:cs="Arial" w:eastAsia="Arial" w:hAnsi="Arial"/>
                <w:sz w:val="9"/>
                <w:szCs w:val="9"/>
                <w:color w:val="auto"/>
                <w:w w:val="78"/>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17,826</w:t>
            </w:r>
          </w:p>
        </w:tc>
        <w:tc>
          <w:tcPr>
            <w:tcW w:w="80" w:type="dxa"/>
            <w:vAlign w:val="bottom"/>
          </w:tcPr>
          <w:p>
            <w:pPr>
              <w:spacing w:after="0"/>
              <w:rPr>
                <w:sz w:val="12"/>
                <w:szCs w:val="1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67 %</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-917575</wp:posOffset>
            </wp:positionV>
            <wp:extent cx="7157085" cy="984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085" cy="9842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-721360</wp:posOffset>
            </wp:positionV>
            <wp:extent cx="7157085" cy="984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085" cy="9842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-525145</wp:posOffset>
            </wp:positionV>
            <wp:extent cx="7157085" cy="984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085" cy="9842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-328930</wp:posOffset>
            </wp:positionV>
            <wp:extent cx="7157085" cy="984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085" cy="9842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-132715</wp:posOffset>
            </wp:positionV>
            <wp:extent cx="7157085" cy="1193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085" cy="11938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-1120775</wp:posOffset>
            </wp:positionV>
            <wp:extent cx="7157085" cy="1054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085" cy="1054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160"/>
          </w:cols>
          <w:pgMar w:left="300" w:top="129" w:right="319" w:bottom="1440" w:gutter="0" w:footer="0" w:header="0"/>
          <w:type w:val="continuous"/>
        </w:sectPr>
      </w:pPr>
    </w:p>
    <w:p>
      <w:pPr>
        <w:spacing w:after="0" w:line="121"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The amortized cost and fair value of fixed maturity AFS securities by contractual maturities as of September 30, 2021 and December 31, 2020, are shown below. Actual maturities may differ from contractual maturities because issuers may have the right to call or prepay obligations.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83" w:name="page84"/>
    <w:bookmarkEnd w:id="83"/>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60" w:type="dxa"/>
        <w:tblCellMar>
          <w:top w:w="0" w:type="dxa"/>
          <w:left w:w="0" w:type="dxa"/>
          <w:bottom w:w="0" w:type="dxa"/>
          <w:right w:w="0" w:type="dxa"/>
        </w:tblCellMar>
      </w:tblPr>
      <w:tr>
        <w:trPr>
          <w:trHeight w:val="152"/>
        </w:trPr>
        <w:tc>
          <w:tcPr>
            <w:tcW w:w="5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20" w:type="dxa"/>
            <w:vAlign w:val="bottom"/>
            <w:gridSpan w:val="5"/>
          </w:tcPr>
          <w:p>
            <w:pPr>
              <w:ind w:left="760"/>
              <w:spacing w:after="0"/>
              <w:rPr>
                <w:sz w:val="20"/>
                <w:szCs w:val="20"/>
                <w:color w:val="auto"/>
              </w:rPr>
            </w:pPr>
            <w:r>
              <w:rPr>
                <w:rFonts w:ascii="Arial" w:cs="Arial" w:eastAsia="Arial" w:hAnsi="Arial"/>
                <w:sz w:val="12"/>
                <w:szCs w:val="12"/>
                <w:b w:val="1"/>
                <w:bCs w:val="1"/>
                <w:color w:val="auto"/>
              </w:rPr>
              <w:t>September 30, 2021</w:t>
            </w:r>
          </w:p>
        </w:tc>
        <w:tc>
          <w:tcPr>
            <w:tcW w:w="18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Arial" w:cs="Arial" w:eastAsia="Arial" w:hAnsi="Arial"/>
                <w:sz w:val="12"/>
                <w:szCs w:val="12"/>
                <w:b w:val="1"/>
                <w:bCs w:val="1"/>
                <w:color w:val="auto"/>
              </w:rPr>
              <w:t>December 31, 2020</w:t>
            </w:r>
          </w:p>
        </w:tc>
        <w:tc>
          <w:tcPr>
            <w:tcW w:w="980" w:type="dxa"/>
            <w:vAlign w:val="bottom"/>
          </w:tcPr>
          <w:p>
            <w:pPr>
              <w:spacing w:after="0"/>
              <w:rPr>
                <w:sz w:val="13"/>
                <w:szCs w:val="13"/>
                <w:color w:val="auto"/>
              </w:rPr>
            </w:pPr>
          </w:p>
        </w:tc>
      </w:tr>
      <w:tr>
        <w:trPr>
          <w:trHeight w:val="153"/>
        </w:trPr>
        <w:tc>
          <w:tcPr>
            <w:tcW w:w="5260" w:type="dxa"/>
            <w:vAlign w:val="bottom"/>
          </w:tcPr>
          <w:p>
            <w:pPr>
              <w:spacing w:after="0"/>
              <w:rPr>
                <w:sz w:val="20"/>
                <w:szCs w:val="20"/>
                <w:color w:val="auto"/>
              </w:rPr>
            </w:pPr>
            <w:r>
              <w:rPr>
                <w:rFonts w:ascii="Arial" w:cs="Arial" w:eastAsia="Arial" w:hAnsi="Arial"/>
                <w:sz w:val="12"/>
                <w:szCs w:val="12"/>
                <w:color w:val="auto"/>
              </w:rPr>
              <w:t>(In millions)</w:t>
            </w:r>
          </w:p>
        </w:tc>
        <w:tc>
          <w:tcPr>
            <w:tcW w:w="2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Amortized Cost</w:t>
            </w:r>
          </w:p>
        </w:tc>
        <w:tc>
          <w:tcPr>
            <w:tcW w:w="2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381"/>
              <w:spacing w:after="0"/>
              <w:rPr>
                <w:sz w:val="20"/>
                <w:szCs w:val="20"/>
                <w:color w:val="auto"/>
              </w:rPr>
            </w:pPr>
            <w:r>
              <w:rPr>
                <w:rFonts w:ascii="Arial" w:cs="Arial" w:eastAsia="Arial" w:hAnsi="Arial"/>
                <w:sz w:val="12"/>
                <w:szCs w:val="12"/>
                <w:b w:val="1"/>
                <w:bCs w:val="1"/>
                <w:color w:val="auto"/>
              </w:rPr>
              <w:t>Fair Value</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Amortized Cost</w:t>
            </w:r>
          </w:p>
        </w:tc>
        <w:tc>
          <w:tcPr>
            <w:tcW w:w="4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81"/>
              <w:spacing w:after="0"/>
              <w:rPr>
                <w:sz w:val="20"/>
                <w:szCs w:val="20"/>
                <w:color w:val="auto"/>
              </w:rPr>
            </w:pPr>
            <w:r>
              <w:rPr>
                <w:rFonts w:ascii="Arial" w:cs="Arial" w:eastAsia="Arial" w:hAnsi="Arial"/>
                <w:sz w:val="12"/>
                <w:szCs w:val="12"/>
                <w:b w:val="1"/>
                <w:bCs w:val="1"/>
                <w:color w:val="auto"/>
                <w:w w:val="90"/>
              </w:rPr>
              <w:t>Fair Value</w:t>
            </w:r>
          </w:p>
        </w:tc>
      </w:tr>
      <w:tr>
        <w:trPr>
          <w:trHeight w:val="136"/>
        </w:trPr>
        <w:tc>
          <w:tcPr>
            <w:tcW w:w="52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Corporate, Non-structured Hybrids, Municipal and Government securities:</w:t>
            </w:r>
          </w:p>
        </w:tc>
        <w:tc>
          <w:tcPr>
            <w:tcW w:w="20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r>
      <w:tr>
        <w:trPr>
          <w:trHeight w:val="152"/>
        </w:trPr>
        <w:tc>
          <w:tcPr>
            <w:tcW w:w="5260" w:type="dxa"/>
            <w:vAlign w:val="bottom"/>
          </w:tcPr>
          <w:p>
            <w:pPr>
              <w:spacing w:after="0"/>
              <w:rPr>
                <w:sz w:val="20"/>
                <w:szCs w:val="20"/>
                <w:color w:val="auto"/>
              </w:rPr>
            </w:pPr>
            <w:r>
              <w:rPr>
                <w:rFonts w:ascii="Arial" w:cs="Arial" w:eastAsia="Arial" w:hAnsi="Arial"/>
                <w:sz w:val="12"/>
                <w:szCs w:val="12"/>
                <w:color w:val="auto"/>
              </w:rPr>
              <w:t>Due in one year or less</w:t>
            </w:r>
          </w:p>
        </w:tc>
        <w:tc>
          <w:tcPr>
            <w:tcW w:w="200" w:type="dxa"/>
            <w:vAlign w:val="bottom"/>
          </w:tcPr>
          <w:p>
            <w:pPr>
              <w:jc w:val="right"/>
              <w:ind w:right="61"/>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84</w:t>
            </w:r>
          </w:p>
        </w:tc>
        <w:tc>
          <w:tcPr>
            <w:tcW w:w="100" w:type="dxa"/>
            <w:vAlign w:val="bottom"/>
          </w:tcPr>
          <w:p>
            <w:pPr>
              <w:spacing w:after="0"/>
              <w:rPr>
                <w:sz w:val="13"/>
                <w:szCs w:val="13"/>
                <w:color w:val="auto"/>
              </w:rPr>
            </w:pP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85</w:t>
            </w:r>
          </w:p>
        </w:tc>
        <w:tc>
          <w:tcPr>
            <w:tcW w:w="100" w:type="dxa"/>
            <w:vAlign w:val="bottom"/>
          </w:tcPr>
          <w:p>
            <w:pPr>
              <w:spacing w:after="0"/>
              <w:rPr>
                <w:sz w:val="13"/>
                <w:szCs w:val="13"/>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111</w:t>
            </w:r>
          </w:p>
        </w:tc>
        <w:tc>
          <w:tcPr>
            <w:tcW w:w="100" w:type="dxa"/>
            <w:vAlign w:val="bottom"/>
          </w:tcPr>
          <w:p>
            <w:pPr>
              <w:spacing w:after="0"/>
              <w:rPr>
                <w:sz w:val="13"/>
                <w:szCs w:val="13"/>
                <w:color w:val="auto"/>
              </w:rPr>
            </w:pPr>
          </w:p>
        </w:tc>
        <w:tc>
          <w:tcPr>
            <w:tcW w:w="420" w:type="dxa"/>
            <w:vAlign w:val="bottom"/>
          </w:tcPr>
          <w:p>
            <w:pPr>
              <w:jc w:val="right"/>
              <w:ind w:right="313"/>
              <w:spacing w:after="0"/>
              <w:rPr>
                <w:sz w:val="20"/>
                <w:szCs w:val="20"/>
                <w:color w:val="auto"/>
              </w:rPr>
            </w:pPr>
            <w:r>
              <w:rPr>
                <w:rFonts w:ascii="Arial" w:cs="Arial" w:eastAsia="Arial" w:hAnsi="Arial"/>
                <w:sz w:val="9"/>
                <w:szCs w:val="9"/>
                <w:color w:val="auto"/>
                <w:w w:val="78"/>
              </w:rPr>
              <w:t>$</w:t>
            </w: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112</w:t>
            </w:r>
          </w:p>
        </w:tc>
      </w:tr>
      <w:tr>
        <w:trPr>
          <w:trHeight w:val="157"/>
        </w:trPr>
        <w:tc>
          <w:tcPr>
            <w:tcW w:w="5260" w:type="dxa"/>
            <w:vAlign w:val="bottom"/>
            <w:shd w:val="clear" w:color="auto" w:fill="CCEEFF"/>
          </w:tcPr>
          <w:p>
            <w:pPr>
              <w:spacing w:after="0"/>
              <w:rPr>
                <w:sz w:val="20"/>
                <w:szCs w:val="20"/>
                <w:color w:val="auto"/>
              </w:rPr>
            </w:pPr>
            <w:r>
              <w:rPr>
                <w:rFonts w:ascii="Arial" w:cs="Arial" w:eastAsia="Arial" w:hAnsi="Arial"/>
                <w:sz w:val="12"/>
                <w:szCs w:val="12"/>
                <w:color w:val="auto"/>
              </w:rPr>
              <w:t>Due after one year through five years</w:t>
            </w: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1,523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1,572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1,055</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1,107</w:t>
            </w:r>
          </w:p>
        </w:tc>
      </w:tr>
      <w:tr>
        <w:trPr>
          <w:trHeight w:val="152"/>
        </w:trPr>
        <w:tc>
          <w:tcPr>
            <w:tcW w:w="5260" w:type="dxa"/>
            <w:vAlign w:val="bottom"/>
          </w:tcPr>
          <w:p>
            <w:pPr>
              <w:spacing w:after="0"/>
              <w:rPr>
                <w:sz w:val="20"/>
                <w:szCs w:val="20"/>
                <w:color w:val="auto"/>
              </w:rPr>
            </w:pPr>
            <w:r>
              <w:rPr>
                <w:rFonts w:ascii="Arial" w:cs="Arial" w:eastAsia="Arial" w:hAnsi="Arial"/>
                <w:sz w:val="12"/>
                <w:szCs w:val="12"/>
                <w:color w:val="auto"/>
              </w:rPr>
              <w:t>Due after five years through ten years</w:t>
            </w:r>
          </w:p>
        </w:tc>
        <w:tc>
          <w:tcPr>
            <w:tcW w:w="20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2,373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2,451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1,808</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1,918</w:t>
            </w:r>
          </w:p>
        </w:tc>
      </w:tr>
      <w:tr>
        <w:trPr>
          <w:trHeight w:val="157"/>
        </w:trPr>
        <w:tc>
          <w:tcPr>
            <w:tcW w:w="5260" w:type="dxa"/>
            <w:vAlign w:val="bottom"/>
            <w:shd w:val="clear" w:color="auto" w:fill="CCEEFF"/>
          </w:tcPr>
          <w:p>
            <w:pPr>
              <w:spacing w:after="0"/>
              <w:rPr>
                <w:sz w:val="20"/>
                <w:szCs w:val="20"/>
                <w:color w:val="auto"/>
              </w:rPr>
            </w:pPr>
            <w:r>
              <w:rPr>
                <w:rFonts w:ascii="Arial" w:cs="Arial" w:eastAsia="Arial" w:hAnsi="Arial"/>
                <w:sz w:val="12"/>
                <w:szCs w:val="12"/>
                <w:color w:val="auto"/>
              </w:rPr>
              <w:t>Due after ten years</w:t>
            </w:r>
          </w:p>
        </w:tc>
        <w:tc>
          <w:tcPr>
            <w:tcW w:w="2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11,818</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12,514</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11,436</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12,489</w:t>
            </w:r>
          </w:p>
        </w:tc>
      </w:tr>
      <w:tr>
        <w:trPr>
          <w:trHeight w:val="143"/>
        </w:trPr>
        <w:tc>
          <w:tcPr>
            <w:tcW w:w="5260" w:type="dxa"/>
            <w:vAlign w:val="bottom"/>
          </w:tcPr>
          <w:p>
            <w:pPr>
              <w:ind w:left="160"/>
              <w:spacing w:after="0" w:line="136" w:lineRule="exact"/>
              <w:rPr>
                <w:sz w:val="20"/>
                <w:szCs w:val="20"/>
                <w:color w:val="auto"/>
              </w:rPr>
            </w:pPr>
            <w:r>
              <w:rPr>
                <w:rFonts w:ascii="Arial" w:cs="Arial" w:eastAsia="Arial" w:hAnsi="Arial"/>
                <w:sz w:val="12"/>
                <w:szCs w:val="12"/>
                <w:color w:val="auto"/>
              </w:rPr>
              <w:t>Subtotal</w:t>
            </w:r>
          </w:p>
        </w:tc>
        <w:tc>
          <w:tcPr>
            <w:tcW w:w="200" w:type="dxa"/>
            <w:vAlign w:val="bottom"/>
          </w:tcPr>
          <w:p>
            <w:pPr>
              <w:jc w:val="right"/>
              <w:ind w:right="61"/>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15,798</w:t>
            </w:r>
          </w:p>
        </w:tc>
        <w:tc>
          <w:tcPr>
            <w:tcW w:w="100" w:type="dxa"/>
            <w:vAlign w:val="bottom"/>
          </w:tcPr>
          <w:p>
            <w:pPr>
              <w:spacing w:after="0"/>
              <w:rPr>
                <w:sz w:val="12"/>
                <w:szCs w:val="12"/>
                <w:color w:val="auto"/>
              </w:rPr>
            </w:pP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16,622</w:t>
            </w:r>
          </w:p>
        </w:tc>
        <w:tc>
          <w:tcPr>
            <w:tcW w:w="100" w:type="dxa"/>
            <w:vAlign w:val="bottom"/>
          </w:tcPr>
          <w:p>
            <w:pPr>
              <w:spacing w:after="0"/>
              <w:rPr>
                <w:sz w:val="12"/>
                <w:szCs w:val="12"/>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14,410</w:t>
            </w:r>
          </w:p>
        </w:tc>
        <w:tc>
          <w:tcPr>
            <w:tcW w:w="100" w:type="dxa"/>
            <w:vAlign w:val="bottom"/>
          </w:tcPr>
          <w:p>
            <w:pPr>
              <w:spacing w:after="0"/>
              <w:rPr>
                <w:sz w:val="12"/>
                <w:szCs w:val="12"/>
                <w:color w:val="auto"/>
              </w:rPr>
            </w:pPr>
          </w:p>
        </w:tc>
        <w:tc>
          <w:tcPr>
            <w:tcW w:w="420" w:type="dxa"/>
            <w:vAlign w:val="bottom"/>
          </w:tcPr>
          <w:p>
            <w:pPr>
              <w:jc w:val="right"/>
              <w:ind w:right="313"/>
              <w:spacing w:after="0"/>
              <w:rPr>
                <w:sz w:val="20"/>
                <w:szCs w:val="20"/>
                <w:color w:val="auto"/>
              </w:rPr>
            </w:pPr>
            <w:r>
              <w:rPr>
                <w:rFonts w:ascii="Arial" w:cs="Arial" w:eastAsia="Arial" w:hAnsi="Arial"/>
                <w:sz w:val="9"/>
                <w:szCs w:val="9"/>
                <w:color w:val="auto"/>
                <w:w w:val="78"/>
              </w:rPr>
              <w:t>$</w:t>
            </w: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15,626</w:t>
            </w:r>
          </w:p>
        </w:tc>
      </w:tr>
      <w:tr>
        <w:trPr>
          <w:trHeight w:val="157"/>
        </w:trPr>
        <w:tc>
          <w:tcPr>
            <w:tcW w:w="52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securities which provide for periodic payments:</w:t>
            </w: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52"/>
        </w:trPr>
        <w:tc>
          <w:tcPr>
            <w:tcW w:w="5260" w:type="dxa"/>
            <w:vAlign w:val="bottom"/>
          </w:tcPr>
          <w:p>
            <w:pPr>
              <w:spacing w:after="0"/>
              <w:rPr>
                <w:sz w:val="20"/>
                <w:szCs w:val="20"/>
                <w:color w:val="auto"/>
              </w:rPr>
            </w:pPr>
            <w:r>
              <w:rPr>
                <w:rFonts w:ascii="Arial" w:cs="Arial" w:eastAsia="Arial" w:hAnsi="Arial"/>
                <w:sz w:val="12"/>
                <w:szCs w:val="12"/>
                <w:color w:val="auto"/>
              </w:rPr>
              <w:t>Asset-backed securities</w:t>
            </w:r>
          </w:p>
        </w:tc>
        <w:tc>
          <w:tcPr>
            <w:tcW w:w="200" w:type="dxa"/>
            <w:vAlign w:val="bottom"/>
          </w:tcPr>
          <w:p>
            <w:pPr>
              <w:jc w:val="right"/>
              <w:ind w:right="61"/>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3,752</w:t>
            </w:r>
          </w:p>
        </w:tc>
        <w:tc>
          <w:tcPr>
            <w:tcW w:w="100" w:type="dxa"/>
            <w:vAlign w:val="bottom"/>
          </w:tcPr>
          <w:p>
            <w:pPr>
              <w:spacing w:after="0"/>
              <w:rPr>
                <w:sz w:val="13"/>
                <w:szCs w:val="13"/>
                <w:color w:val="auto"/>
              </w:rPr>
            </w:pP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3,830</w:t>
            </w:r>
          </w:p>
        </w:tc>
        <w:tc>
          <w:tcPr>
            <w:tcW w:w="100" w:type="dxa"/>
            <w:vAlign w:val="bottom"/>
          </w:tcPr>
          <w:p>
            <w:pPr>
              <w:spacing w:after="0"/>
              <w:rPr>
                <w:sz w:val="13"/>
                <w:szCs w:val="13"/>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1,920</w:t>
            </w:r>
          </w:p>
        </w:tc>
        <w:tc>
          <w:tcPr>
            <w:tcW w:w="100" w:type="dxa"/>
            <w:vAlign w:val="bottom"/>
          </w:tcPr>
          <w:p>
            <w:pPr>
              <w:spacing w:after="0"/>
              <w:rPr>
                <w:sz w:val="13"/>
                <w:szCs w:val="13"/>
                <w:color w:val="auto"/>
              </w:rPr>
            </w:pPr>
          </w:p>
        </w:tc>
        <w:tc>
          <w:tcPr>
            <w:tcW w:w="420" w:type="dxa"/>
            <w:vAlign w:val="bottom"/>
          </w:tcPr>
          <w:p>
            <w:pPr>
              <w:jc w:val="right"/>
              <w:ind w:right="313"/>
              <w:spacing w:after="0"/>
              <w:rPr>
                <w:sz w:val="20"/>
                <w:szCs w:val="20"/>
                <w:color w:val="auto"/>
              </w:rPr>
            </w:pPr>
            <w:r>
              <w:rPr>
                <w:rFonts w:ascii="Arial" w:cs="Arial" w:eastAsia="Arial" w:hAnsi="Arial"/>
                <w:sz w:val="9"/>
                <w:szCs w:val="9"/>
                <w:color w:val="auto"/>
                <w:w w:val="78"/>
              </w:rPr>
              <w:t>$</w:t>
            </w: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1,999</w:t>
            </w:r>
          </w:p>
        </w:tc>
      </w:tr>
      <w:tr>
        <w:trPr>
          <w:trHeight w:val="157"/>
        </w:trPr>
        <w:tc>
          <w:tcPr>
            <w:tcW w:w="5260" w:type="dxa"/>
            <w:vAlign w:val="bottom"/>
            <w:shd w:val="clear" w:color="auto" w:fill="CCEEFF"/>
          </w:tcPr>
          <w:p>
            <w:pPr>
              <w:spacing w:after="0"/>
              <w:rPr>
                <w:sz w:val="20"/>
                <w:szCs w:val="20"/>
                <w:color w:val="auto"/>
              </w:rPr>
            </w:pPr>
            <w:r>
              <w:rPr>
                <w:rFonts w:ascii="Arial" w:cs="Arial" w:eastAsia="Arial" w:hAnsi="Arial"/>
                <w:sz w:val="12"/>
                <w:szCs w:val="12"/>
                <w:color w:val="auto"/>
              </w:rPr>
              <w:t>CLO securities</w:t>
            </w: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4,164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4,361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4,021</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4,268</w:t>
            </w:r>
          </w:p>
        </w:tc>
      </w:tr>
      <w:tr>
        <w:trPr>
          <w:trHeight w:val="152"/>
        </w:trPr>
        <w:tc>
          <w:tcPr>
            <w:tcW w:w="5260" w:type="dxa"/>
            <w:vAlign w:val="bottom"/>
          </w:tcPr>
          <w:p>
            <w:pPr>
              <w:spacing w:after="0"/>
              <w:rPr>
                <w:sz w:val="20"/>
                <w:szCs w:val="20"/>
                <w:color w:val="auto"/>
              </w:rPr>
            </w:pPr>
            <w:r>
              <w:rPr>
                <w:rFonts w:ascii="Arial" w:cs="Arial" w:eastAsia="Arial" w:hAnsi="Arial"/>
                <w:sz w:val="12"/>
                <w:szCs w:val="12"/>
                <w:color w:val="auto"/>
              </w:rPr>
              <w:t>Commercial-mortgage-backed securities</w:t>
            </w:r>
          </w:p>
        </w:tc>
        <w:tc>
          <w:tcPr>
            <w:tcW w:w="20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2,602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3,007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2,468</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2,806</w:t>
            </w:r>
          </w:p>
        </w:tc>
      </w:tr>
      <w:tr>
        <w:trPr>
          <w:trHeight w:val="157"/>
        </w:trPr>
        <w:tc>
          <w:tcPr>
            <w:tcW w:w="5260" w:type="dxa"/>
            <w:vAlign w:val="bottom"/>
            <w:shd w:val="clear" w:color="auto" w:fill="CCEEFF"/>
          </w:tcPr>
          <w:p>
            <w:pPr>
              <w:spacing w:after="0"/>
              <w:rPr>
                <w:sz w:val="20"/>
                <w:szCs w:val="20"/>
                <w:color w:val="auto"/>
              </w:rPr>
            </w:pPr>
            <w:r>
              <w:rPr>
                <w:rFonts w:ascii="Arial" w:cs="Arial" w:eastAsia="Arial" w:hAnsi="Arial"/>
                <w:sz w:val="12"/>
                <w:szCs w:val="12"/>
                <w:color w:val="auto"/>
              </w:rPr>
              <w:t>Residential mortgage-backed securities</w:t>
            </w:r>
          </w:p>
        </w:tc>
        <w:tc>
          <w:tcPr>
            <w:tcW w:w="2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704</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730</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782</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800</w:t>
            </w:r>
          </w:p>
        </w:tc>
      </w:tr>
      <w:tr>
        <w:trPr>
          <w:trHeight w:val="143"/>
        </w:trPr>
        <w:tc>
          <w:tcPr>
            <w:tcW w:w="5260" w:type="dxa"/>
            <w:vAlign w:val="bottom"/>
            <w:tcBorders>
              <w:bottom w:val="single" w:sz="8" w:color="CCEEFF"/>
            </w:tcBorders>
          </w:tcPr>
          <w:p>
            <w:pPr>
              <w:ind w:left="160"/>
              <w:spacing w:after="0" w:line="136" w:lineRule="exact"/>
              <w:rPr>
                <w:sz w:val="20"/>
                <w:szCs w:val="20"/>
                <w:color w:val="auto"/>
              </w:rPr>
            </w:pPr>
            <w:r>
              <w:rPr>
                <w:rFonts w:ascii="Arial" w:cs="Arial" w:eastAsia="Arial" w:hAnsi="Arial"/>
                <w:sz w:val="12"/>
                <w:szCs w:val="12"/>
                <w:color w:val="auto"/>
              </w:rPr>
              <w:t>Subtotal</w:t>
            </w:r>
          </w:p>
        </w:tc>
        <w:tc>
          <w:tcPr>
            <w:tcW w:w="2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11,222</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33"/>
              <w:spacing w:after="0"/>
              <w:rPr>
                <w:sz w:val="20"/>
                <w:szCs w:val="20"/>
                <w:color w:val="auto"/>
              </w:rPr>
            </w:pPr>
            <w:r>
              <w:rPr>
                <w:rFonts w:ascii="Arial" w:cs="Arial" w:eastAsia="Arial" w:hAnsi="Arial"/>
                <w:sz w:val="9"/>
                <w:szCs w:val="9"/>
                <w:color w:val="auto"/>
                <w:w w:val="78"/>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11,928</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9,191</w:t>
            </w: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ind w:right="313"/>
              <w:spacing w:after="0"/>
              <w:rPr>
                <w:sz w:val="20"/>
                <w:szCs w:val="20"/>
                <w:color w:val="auto"/>
              </w:rPr>
            </w:pPr>
            <w:r>
              <w:rPr>
                <w:rFonts w:ascii="Arial" w:cs="Arial" w:eastAsia="Arial" w:hAnsi="Arial"/>
                <w:sz w:val="9"/>
                <w:szCs w:val="9"/>
                <w:color w:val="auto"/>
                <w:w w:val="78"/>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9,873</w:t>
            </w:r>
          </w:p>
        </w:tc>
      </w:tr>
      <w:tr>
        <w:trPr>
          <w:trHeight w:val="173"/>
        </w:trPr>
        <w:tc>
          <w:tcPr>
            <w:tcW w:w="5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b w:val="1"/>
                <w:bCs w:val="1"/>
                <w:color w:val="auto"/>
              </w:rPr>
              <w:t>Total fixed maturity available-for-sale securities</w:t>
            </w:r>
          </w:p>
        </w:tc>
        <w:tc>
          <w:tcPr>
            <w:tcW w:w="2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27,020</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28,550</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23,601</w:t>
            </w: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9"/>
                <w:szCs w:val="9"/>
                <w:color w:val="auto"/>
                <w:w w:val="78"/>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25,499</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Non-Agency RMBS Exposure</w:t>
      </w:r>
    </w:p>
    <w:p>
      <w:pPr>
        <w:spacing w:after="0" w:line="141" w:lineRule="exact"/>
        <w:rPr>
          <w:sz w:val="20"/>
          <w:szCs w:val="20"/>
          <w:color w:val="auto"/>
        </w:rPr>
      </w:pPr>
    </w:p>
    <w:p>
      <w:pPr>
        <w:jc w:val="both"/>
        <w:ind w:firstLine="331"/>
        <w:spacing w:after="0" w:line="266" w:lineRule="auto"/>
        <w:rPr>
          <w:sz w:val="20"/>
          <w:szCs w:val="20"/>
          <w:color w:val="auto"/>
        </w:rPr>
      </w:pPr>
      <w:r>
        <w:rPr>
          <w:rFonts w:ascii="Arial" w:cs="Arial" w:eastAsia="Arial" w:hAnsi="Arial"/>
          <w:sz w:val="15"/>
          <w:szCs w:val="15"/>
          <w:color w:val="auto"/>
        </w:rPr>
        <w:t>Our investment in non-agency RMBS securities is predicated on the conservative and adequate cushion between purchase price and NAIC 1 rating, general lack of sensitivity to interest rates, positive convexity to prepayment rates and correlation between the price of the securities and the unfolding recovery of the housing market.</w:t>
      </w:r>
    </w:p>
    <w:p>
      <w:pPr>
        <w:spacing w:after="0" w:line="70" w:lineRule="exact"/>
        <w:rPr>
          <w:sz w:val="20"/>
          <w:szCs w:val="20"/>
          <w:color w:val="auto"/>
        </w:rPr>
      </w:pPr>
    </w:p>
    <w:p>
      <w:pPr>
        <w:jc w:val="both"/>
        <w:ind w:firstLine="331"/>
        <w:spacing w:after="0" w:line="266" w:lineRule="auto"/>
        <w:rPr>
          <w:sz w:val="20"/>
          <w:szCs w:val="20"/>
          <w:color w:val="auto"/>
        </w:rPr>
      </w:pPr>
      <w:r>
        <w:rPr>
          <w:rFonts w:ascii="Arial" w:cs="Arial" w:eastAsia="Arial" w:hAnsi="Arial"/>
          <w:sz w:val="15"/>
          <w:szCs w:val="15"/>
          <w:color w:val="auto"/>
        </w:rPr>
        <w:t>The fair value of our investments in subprime and Alt-A RMBS securities was $56 million and $80 million as of September 30, 2021, respectively, and $68 million and $94 million as of December 31, 2020, respectively.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4" w:name="page85"/>
    <w:bookmarkEnd w:id="84"/>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following tables summarize our exposure to subprime and Alt-A RMBS by credit quality using NAIC designations, NRSRO ratings and vintage year as of September 30, 2021 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2020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1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September 30, 2021</w:t>
            </w:r>
          </w:p>
        </w:tc>
        <w:tc>
          <w:tcPr>
            <w:tcW w:w="3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December 31, 2020</w:t>
            </w:r>
          </w:p>
        </w:tc>
        <w:tc>
          <w:tcPr>
            <w:tcW w:w="3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3"/>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NAIC Designation:</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Fair Value</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2"/>
                <w:szCs w:val="12"/>
                <w:b w:val="1"/>
                <w:bCs w:val="1"/>
                <w:color w:val="auto"/>
                <w:w w:val="88"/>
              </w:rPr>
              <w:t>Percent of Total</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Fair Value</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2"/>
                <w:szCs w:val="12"/>
                <w:b w:val="1"/>
                <w:bCs w:val="1"/>
                <w:color w:val="auto"/>
                <w:w w:val="88"/>
              </w:rPr>
              <w:t>Percent of Total</w:t>
            </w:r>
          </w:p>
        </w:tc>
        <w:tc>
          <w:tcPr>
            <w:tcW w:w="3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7"/>
        </w:trPr>
        <w:tc>
          <w:tcPr>
            <w:tcW w:w="5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1</w:t>
            </w:r>
          </w:p>
        </w:tc>
        <w:tc>
          <w:tcPr>
            <w:tcW w:w="960" w:type="dxa"/>
            <w:vAlign w:val="bottom"/>
            <w:shd w:val="clear" w:color="auto" w:fill="CCEEFF"/>
          </w:tcPr>
          <w:p>
            <w:pPr>
              <w:jc w:val="right"/>
              <w:ind w:right="851"/>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126</w:t>
            </w: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93 %</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841"/>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153</w:t>
            </w: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94 %</w:t>
            </w:r>
          </w:p>
        </w:tc>
        <w:tc>
          <w:tcPr>
            <w:tcW w:w="80" w:type="dxa"/>
            <w:vAlign w:val="bottom"/>
          </w:tcPr>
          <w:p>
            <w:pPr>
              <w:spacing w:after="0"/>
              <w:rPr>
                <w:sz w:val="12"/>
                <w:szCs w:val="12"/>
                <w:color w:val="auto"/>
              </w:rPr>
            </w:pPr>
          </w:p>
        </w:tc>
      </w:tr>
      <w:tr>
        <w:trPr>
          <w:trHeight w:val="155"/>
        </w:trPr>
        <w:tc>
          <w:tcPr>
            <w:tcW w:w="5180" w:type="dxa"/>
            <w:vAlign w:val="bottom"/>
          </w:tcPr>
          <w:p>
            <w:pPr>
              <w:ind w:left="20"/>
              <w:spacing w:after="0"/>
              <w:rPr>
                <w:sz w:val="20"/>
                <w:szCs w:val="20"/>
                <w:color w:val="auto"/>
              </w:rPr>
            </w:pPr>
            <w:r>
              <w:rPr>
                <w:rFonts w:ascii="Arial" w:cs="Arial" w:eastAsia="Arial" w:hAnsi="Arial"/>
                <w:sz w:val="12"/>
                <w:szCs w:val="12"/>
                <w:color w:val="auto"/>
              </w:rPr>
              <w:t>2</w:t>
            </w:r>
          </w:p>
        </w:tc>
        <w:tc>
          <w:tcPr>
            <w:tcW w:w="960" w:type="dxa"/>
            <w:vAlign w:val="bottom"/>
          </w:tcPr>
          <w:p>
            <w:pPr>
              <w:spacing w:after="0"/>
              <w:rPr>
                <w:sz w:val="13"/>
                <w:szCs w:val="13"/>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1 %</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1 %</w:t>
            </w:r>
          </w:p>
        </w:tc>
        <w:tc>
          <w:tcPr>
            <w:tcW w:w="80" w:type="dxa"/>
            <w:vAlign w:val="bottom"/>
            <w:shd w:val="clear" w:color="auto" w:fill="CCEEFF"/>
          </w:tcPr>
          <w:p>
            <w:pPr>
              <w:spacing w:after="0"/>
              <w:rPr>
                <w:sz w:val="13"/>
                <w:szCs w:val="13"/>
                <w:color w:val="auto"/>
              </w:rPr>
            </w:pPr>
          </w:p>
        </w:tc>
      </w:tr>
      <w:tr>
        <w:trPr>
          <w:trHeight w:val="155"/>
        </w:trPr>
        <w:tc>
          <w:tcPr>
            <w:tcW w:w="5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3</w:t>
            </w:r>
          </w:p>
        </w:tc>
        <w:tc>
          <w:tcPr>
            <w:tcW w:w="96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1 %</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1 %</w:t>
            </w:r>
          </w:p>
        </w:tc>
        <w:tc>
          <w:tcPr>
            <w:tcW w:w="80" w:type="dxa"/>
            <w:vAlign w:val="bottom"/>
          </w:tcPr>
          <w:p>
            <w:pPr>
              <w:spacing w:after="0"/>
              <w:rPr>
                <w:sz w:val="13"/>
                <w:szCs w:val="13"/>
                <w:color w:val="auto"/>
              </w:rPr>
            </w:pPr>
          </w:p>
        </w:tc>
      </w:tr>
      <w:tr>
        <w:trPr>
          <w:trHeight w:val="155"/>
        </w:trPr>
        <w:tc>
          <w:tcPr>
            <w:tcW w:w="5180" w:type="dxa"/>
            <w:vAlign w:val="bottom"/>
          </w:tcPr>
          <w:p>
            <w:pPr>
              <w:ind w:left="20"/>
              <w:spacing w:after="0"/>
              <w:rPr>
                <w:sz w:val="20"/>
                <w:szCs w:val="20"/>
                <w:color w:val="auto"/>
              </w:rPr>
            </w:pPr>
            <w:r>
              <w:rPr>
                <w:rFonts w:ascii="Arial" w:cs="Arial" w:eastAsia="Arial" w:hAnsi="Arial"/>
                <w:sz w:val="12"/>
                <w:szCs w:val="12"/>
                <w:color w:val="auto"/>
              </w:rPr>
              <w:t>4</w:t>
            </w:r>
          </w:p>
        </w:tc>
        <w:tc>
          <w:tcPr>
            <w:tcW w:w="960" w:type="dxa"/>
            <w:vAlign w:val="bottom"/>
          </w:tcPr>
          <w:p>
            <w:pPr>
              <w:spacing w:after="0"/>
              <w:rPr>
                <w:sz w:val="13"/>
                <w:szCs w:val="13"/>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4 %</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2 %</w:t>
            </w:r>
          </w:p>
        </w:tc>
        <w:tc>
          <w:tcPr>
            <w:tcW w:w="80" w:type="dxa"/>
            <w:vAlign w:val="bottom"/>
            <w:shd w:val="clear" w:color="auto" w:fill="CCEEFF"/>
          </w:tcPr>
          <w:p>
            <w:pPr>
              <w:spacing w:after="0"/>
              <w:rPr>
                <w:sz w:val="13"/>
                <w:szCs w:val="13"/>
                <w:color w:val="auto"/>
              </w:rPr>
            </w:pPr>
          </w:p>
        </w:tc>
      </w:tr>
      <w:tr>
        <w:trPr>
          <w:trHeight w:val="155"/>
        </w:trPr>
        <w:tc>
          <w:tcPr>
            <w:tcW w:w="5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5</w:t>
            </w:r>
          </w:p>
        </w:tc>
        <w:tc>
          <w:tcPr>
            <w:tcW w:w="96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1 %</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2 %</w:t>
            </w:r>
          </w:p>
        </w:tc>
        <w:tc>
          <w:tcPr>
            <w:tcW w:w="80" w:type="dxa"/>
            <w:vAlign w:val="bottom"/>
          </w:tcPr>
          <w:p>
            <w:pPr>
              <w:spacing w:after="0"/>
              <w:rPr>
                <w:sz w:val="13"/>
                <w:szCs w:val="13"/>
                <w:color w:val="auto"/>
              </w:rPr>
            </w:pPr>
          </w:p>
        </w:tc>
      </w:tr>
      <w:tr>
        <w:trPr>
          <w:trHeight w:val="152"/>
        </w:trPr>
        <w:tc>
          <w:tcPr>
            <w:tcW w:w="5180" w:type="dxa"/>
            <w:vAlign w:val="bottom"/>
          </w:tcPr>
          <w:p>
            <w:pPr>
              <w:ind w:left="20"/>
              <w:spacing w:after="0"/>
              <w:rPr>
                <w:sz w:val="20"/>
                <w:szCs w:val="20"/>
                <w:color w:val="auto"/>
              </w:rPr>
            </w:pPr>
            <w:r>
              <w:rPr>
                <w:rFonts w:ascii="Arial" w:cs="Arial" w:eastAsia="Arial" w:hAnsi="Arial"/>
                <w:sz w:val="12"/>
                <w:szCs w:val="12"/>
                <w:color w:val="auto"/>
              </w:rPr>
              <w:t>6</w:t>
            </w:r>
          </w:p>
        </w:tc>
        <w:tc>
          <w:tcPr>
            <w:tcW w:w="960" w:type="dxa"/>
            <w:vAlign w:val="bottom"/>
          </w:tcPr>
          <w:p>
            <w:pPr>
              <w:spacing w:after="0"/>
              <w:rPr>
                <w:sz w:val="13"/>
                <w:szCs w:val="13"/>
                <w:color w:val="auto"/>
              </w:rPr>
            </w:pPr>
          </w:p>
        </w:tc>
        <w:tc>
          <w:tcPr>
            <w:tcW w:w="1660" w:type="dxa"/>
            <w:vAlign w:val="bottom"/>
            <w:gridSpan w:val="3"/>
          </w:tcPr>
          <w:p>
            <w:pPr>
              <w:jc w:val="right"/>
              <w:ind w:right="1241"/>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 %</w:t>
            </w:r>
          </w:p>
        </w:tc>
        <w:tc>
          <w:tcPr>
            <w:tcW w:w="980" w:type="dxa"/>
            <w:vAlign w:val="bottom"/>
          </w:tcPr>
          <w:p>
            <w:pPr>
              <w:spacing w:after="0"/>
              <w:rPr>
                <w:sz w:val="13"/>
                <w:szCs w:val="13"/>
                <w:color w:val="auto"/>
              </w:rPr>
            </w:pPr>
          </w:p>
        </w:tc>
        <w:tc>
          <w:tcPr>
            <w:tcW w:w="1660" w:type="dxa"/>
            <w:vAlign w:val="bottom"/>
            <w:gridSpan w:val="3"/>
          </w:tcPr>
          <w:p>
            <w:pPr>
              <w:jc w:val="right"/>
              <w:ind w:right="1241"/>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 %</w:t>
            </w:r>
          </w:p>
        </w:tc>
        <w:tc>
          <w:tcPr>
            <w:tcW w:w="80" w:type="dxa"/>
            <w:vAlign w:val="bottom"/>
            <w:shd w:val="clear" w:color="auto" w:fill="CCEEFF"/>
          </w:tcPr>
          <w:p>
            <w:pPr>
              <w:spacing w:after="0"/>
              <w:rPr>
                <w:sz w:val="13"/>
                <w:szCs w:val="13"/>
                <w:color w:val="auto"/>
              </w:rPr>
            </w:pPr>
          </w:p>
        </w:tc>
      </w:tr>
      <w:tr>
        <w:trPr>
          <w:trHeight w:val="208"/>
        </w:trPr>
        <w:tc>
          <w:tcPr>
            <w:tcW w:w="51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2"/>
                <w:szCs w:val="12"/>
                <w:b w:val="1"/>
                <w:bCs w:val="1"/>
                <w:color w:val="auto"/>
              </w:rPr>
              <w:t>Total</w:t>
            </w:r>
          </w:p>
        </w:tc>
        <w:tc>
          <w:tcPr>
            <w:tcW w:w="960" w:type="dxa"/>
            <w:vAlign w:val="bottom"/>
            <w:tcBorders>
              <w:top w:val="single" w:sz="8" w:color="auto"/>
              <w:bottom w:val="single" w:sz="8" w:color="auto"/>
            </w:tcBorders>
            <w:shd w:val="clear" w:color="auto" w:fill="CCEEFF"/>
          </w:tcPr>
          <w:p>
            <w:pPr>
              <w:jc w:val="right"/>
              <w:ind w:right="851"/>
              <w:spacing w:after="0"/>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136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8"/>
              </w:rPr>
              <w:t>100 %</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841"/>
              <w:spacing w:after="0"/>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162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8"/>
              </w:rPr>
              <w:t>100 %</w:t>
            </w:r>
          </w:p>
        </w:tc>
        <w:tc>
          <w:tcPr>
            <w:tcW w:w="80" w:type="dxa"/>
            <w:vAlign w:val="bottom"/>
            <w:tcBorders>
              <w:bottom w:val="single" w:sz="8" w:color="CCEEFF"/>
            </w:tcBorders>
          </w:tcPr>
          <w:p>
            <w:pPr>
              <w:spacing w:after="0"/>
              <w:rPr>
                <w:sz w:val="18"/>
                <w:szCs w:val="18"/>
                <w:color w:val="auto"/>
              </w:rPr>
            </w:pPr>
          </w:p>
        </w:tc>
      </w:tr>
      <w:tr>
        <w:trPr>
          <w:trHeight w:val="119"/>
        </w:trPr>
        <w:tc>
          <w:tcPr>
            <w:tcW w:w="5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55"/>
        </w:trPr>
        <w:tc>
          <w:tcPr>
            <w:tcW w:w="51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NRSRO:</w:t>
            </w:r>
          </w:p>
        </w:tc>
        <w:tc>
          <w:tcPr>
            <w:tcW w:w="9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5180" w:type="dxa"/>
            <w:vAlign w:val="bottom"/>
          </w:tcPr>
          <w:p>
            <w:pPr>
              <w:ind w:left="20"/>
              <w:spacing w:after="0"/>
              <w:rPr>
                <w:sz w:val="20"/>
                <w:szCs w:val="20"/>
                <w:color w:val="auto"/>
              </w:rPr>
            </w:pPr>
            <w:r>
              <w:rPr>
                <w:rFonts w:ascii="Arial" w:cs="Arial" w:eastAsia="Arial" w:hAnsi="Arial"/>
                <w:sz w:val="12"/>
                <w:szCs w:val="12"/>
                <w:color w:val="auto"/>
              </w:rPr>
              <w:t>AAA</w:t>
            </w:r>
          </w:p>
        </w:tc>
        <w:tc>
          <w:tcPr>
            <w:tcW w:w="960" w:type="dxa"/>
            <w:vAlign w:val="bottom"/>
          </w:tcPr>
          <w:p>
            <w:pPr>
              <w:jc w:val="right"/>
              <w:ind w:right="851"/>
              <w:spacing w:after="0"/>
              <w:rPr>
                <w:sz w:val="20"/>
                <w:szCs w:val="20"/>
                <w:color w:val="auto"/>
              </w:rPr>
            </w:pPr>
            <w:r>
              <w:rPr>
                <w:rFonts w:ascii="Arial" w:cs="Arial" w:eastAsia="Arial" w:hAnsi="Arial"/>
                <w:sz w:val="9"/>
                <w:szCs w:val="9"/>
                <w:color w:val="auto"/>
                <w:w w:val="78"/>
              </w:rPr>
              <w:t>$</w:t>
            </w: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1 %</w:t>
            </w:r>
          </w:p>
        </w:tc>
        <w:tc>
          <w:tcPr>
            <w:tcW w:w="80" w:type="dxa"/>
            <w:vAlign w:val="bottom"/>
          </w:tcPr>
          <w:p>
            <w:pPr>
              <w:spacing w:after="0"/>
              <w:rPr>
                <w:sz w:val="13"/>
                <w:szCs w:val="13"/>
                <w:color w:val="auto"/>
              </w:rPr>
            </w:pPr>
          </w:p>
        </w:tc>
        <w:tc>
          <w:tcPr>
            <w:tcW w:w="980" w:type="dxa"/>
            <w:vAlign w:val="bottom"/>
          </w:tcPr>
          <w:p>
            <w:pPr>
              <w:jc w:val="right"/>
              <w:ind w:right="841"/>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1 %</w:t>
            </w:r>
          </w:p>
        </w:tc>
        <w:tc>
          <w:tcPr>
            <w:tcW w:w="80" w:type="dxa"/>
            <w:vAlign w:val="bottom"/>
            <w:shd w:val="clear" w:color="auto" w:fill="CCEEFF"/>
          </w:tcPr>
          <w:p>
            <w:pPr>
              <w:spacing w:after="0"/>
              <w:rPr>
                <w:sz w:val="13"/>
                <w:szCs w:val="13"/>
                <w:color w:val="auto"/>
              </w:rPr>
            </w:pPr>
          </w:p>
        </w:tc>
      </w:tr>
      <w:tr>
        <w:trPr>
          <w:trHeight w:val="155"/>
        </w:trPr>
        <w:tc>
          <w:tcPr>
            <w:tcW w:w="5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AA</w:t>
            </w:r>
          </w:p>
        </w:tc>
        <w:tc>
          <w:tcPr>
            <w:tcW w:w="96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12 %</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2 %</w:t>
            </w:r>
          </w:p>
        </w:tc>
        <w:tc>
          <w:tcPr>
            <w:tcW w:w="80" w:type="dxa"/>
            <w:vAlign w:val="bottom"/>
          </w:tcPr>
          <w:p>
            <w:pPr>
              <w:spacing w:after="0"/>
              <w:rPr>
                <w:sz w:val="13"/>
                <w:szCs w:val="13"/>
                <w:color w:val="auto"/>
              </w:rPr>
            </w:pPr>
          </w:p>
        </w:tc>
      </w:tr>
      <w:tr>
        <w:trPr>
          <w:trHeight w:val="155"/>
        </w:trPr>
        <w:tc>
          <w:tcPr>
            <w:tcW w:w="5180" w:type="dxa"/>
            <w:vAlign w:val="bottom"/>
          </w:tcPr>
          <w:p>
            <w:pPr>
              <w:ind w:left="20"/>
              <w:spacing w:after="0"/>
              <w:rPr>
                <w:sz w:val="20"/>
                <w:szCs w:val="20"/>
                <w:color w:val="auto"/>
              </w:rPr>
            </w:pPr>
            <w:r>
              <w:rPr>
                <w:rFonts w:ascii="Arial" w:cs="Arial" w:eastAsia="Arial" w:hAnsi="Arial"/>
                <w:sz w:val="12"/>
                <w:szCs w:val="12"/>
                <w:color w:val="auto"/>
              </w:rPr>
              <w:t>A</w:t>
            </w:r>
          </w:p>
        </w:tc>
        <w:tc>
          <w:tcPr>
            <w:tcW w:w="960" w:type="dxa"/>
            <w:vAlign w:val="bottom"/>
          </w:tcPr>
          <w:p>
            <w:pPr>
              <w:spacing w:after="0"/>
              <w:rPr>
                <w:sz w:val="13"/>
                <w:szCs w:val="13"/>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4 %</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10 %</w:t>
            </w:r>
          </w:p>
        </w:tc>
        <w:tc>
          <w:tcPr>
            <w:tcW w:w="80" w:type="dxa"/>
            <w:vAlign w:val="bottom"/>
            <w:shd w:val="clear" w:color="auto" w:fill="CCEEFF"/>
          </w:tcPr>
          <w:p>
            <w:pPr>
              <w:spacing w:after="0"/>
              <w:rPr>
                <w:sz w:val="13"/>
                <w:szCs w:val="13"/>
                <w:color w:val="auto"/>
              </w:rPr>
            </w:pPr>
          </w:p>
        </w:tc>
      </w:tr>
      <w:tr>
        <w:trPr>
          <w:trHeight w:val="155"/>
        </w:trPr>
        <w:tc>
          <w:tcPr>
            <w:tcW w:w="5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BBB</w:t>
            </w:r>
          </w:p>
        </w:tc>
        <w:tc>
          <w:tcPr>
            <w:tcW w:w="96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10 %</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10 %</w:t>
            </w:r>
          </w:p>
        </w:tc>
        <w:tc>
          <w:tcPr>
            <w:tcW w:w="80" w:type="dxa"/>
            <w:vAlign w:val="bottom"/>
          </w:tcPr>
          <w:p>
            <w:pPr>
              <w:spacing w:after="0"/>
              <w:rPr>
                <w:sz w:val="13"/>
                <w:szCs w:val="13"/>
                <w:color w:val="auto"/>
              </w:rPr>
            </w:pPr>
          </w:p>
        </w:tc>
      </w:tr>
      <w:tr>
        <w:trPr>
          <w:trHeight w:val="155"/>
        </w:trPr>
        <w:tc>
          <w:tcPr>
            <w:tcW w:w="5180" w:type="dxa"/>
            <w:vAlign w:val="bottom"/>
          </w:tcPr>
          <w:p>
            <w:pPr>
              <w:ind w:left="20"/>
              <w:spacing w:after="0"/>
              <w:rPr>
                <w:sz w:val="20"/>
                <w:szCs w:val="20"/>
                <w:color w:val="auto"/>
              </w:rPr>
            </w:pPr>
            <w:r>
              <w:rPr>
                <w:rFonts w:ascii="Arial" w:cs="Arial" w:eastAsia="Arial" w:hAnsi="Arial"/>
                <w:sz w:val="12"/>
                <w:szCs w:val="12"/>
                <w:color w:val="auto"/>
              </w:rPr>
              <w:t>Not rated - Above investment grade (a)</w:t>
            </w:r>
          </w:p>
        </w:tc>
        <w:tc>
          <w:tcPr>
            <w:tcW w:w="960" w:type="dxa"/>
            <w:vAlign w:val="bottom"/>
          </w:tcPr>
          <w:p>
            <w:pPr>
              <w:spacing w:after="0"/>
              <w:rPr>
                <w:sz w:val="13"/>
                <w:szCs w:val="13"/>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18</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13 %</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12 %</w:t>
            </w:r>
          </w:p>
        </w:tc>
        <w:tc>
          <w:tcPr>
            <w:tcW w:w="80" w:type="dxa"/>
            <w:vAlign w:val="bottom"/>
            <w:shd w:val="clear" w:color="auto" w:fill="CCEEFF"/>
          </w:tcPr>
          <w:p>
            <w:pPr>
              <w:spacing w:after="0"/>
              <w:rPr>
                <w:sz w:val="13"/>
                <w:szCs w:val="13"/>
                <w:color w:val="auto"/>
              </w:rPr>
            </w:pPr>
          </w:p>
        </w:tc>
      </w:tr>
      <w:tr>
        <w:trPr>
          <w:trHeight w:val="152"/>
        </w:trPr>
        <w:tc>
          <w:tcPr>
            <w:tcW w:w="5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BB and below</w:t>
            </w:r>
          </w:p>
        </w:tc>
        <w:tc>
          <w:tcPr>
            <w:tcW w:w="9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82</w:t>
            </w:r>
          </w:p>
        </w:tc>
        <w:tc>
          <w:tcPr>
            <w:tcW w:w="80" w:type="dxa"/>
            <w:vAlign w:val="bottom"/>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60 %</w:t>
            </w:r>
          </w:p>
        </w:tc>
        <w:tc>
          <w:tcPr>
            <w:tcW w:w="8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104</w:t>
            </w:r>
          </w:p>
        </w:tc>
        <w:tc>
          <w:tcPr>
            <w:tcW w:w="80" w:type="dxa"/>
            <w:vAlign w:val="bottom"/>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65 %</w:t>
            </w:r>
          </w:p>
        </w:tc>
        <w:tc>
          <w:tcPr>
            <w:tcW w:w="80" w:type="dxa"/>
            <w:vAlign w:val="bottom"/>
            <w:tcBorders>
              <w:bottom w:val="single" w:sz="8" w:color="CCEEFF"/>
            </w:tcBorders>
          </w:tcPr>
          <w:p>
            <w:pPr>
              <w:spacing w:after="0"/>
              <w:rPr>
                <w:sz w:val="13"/>
                <w:szCs w:val="13"/>
                <w:color w:val="auto"/>
              </w:rPr>
            </w:pPr>
          </w:p>
        </w:tc>
      </w:tr>
      <w:tr>
        <w:trPr>
          <w:trHeight w:val="208"/>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2"/>
                <w:szCs w:val="12"/>
                <w:b w:val="1"/>
                <w:bCs w:val="1"/>
                <w:color w:val="auto"/>
              </w:rPr>
              <w:t>Total</w:t>
            </w:r>
          </w:p>
        </w:tc>
        <w:tc>
          <w:tcPr>
            <w:tcW w:w="960" w:type="dxa"/>
            <w:vAlign w:val="bottom"/>
            <w:tcBorders>
              <w:bottom w:val="single" w:sz="8" w:color="auto"/>
            </w:tcBorders>
          </w:tcPr>
          <w:p>
            <w:pPr>
              <w:jc w:val="right"/>
              <w:ind w:right="851"/>
              <w:spacing w:after="0"/>
              <w:rPr>
                <w:sz w:val="20"/>
                <w:szCs w:val="20"/>
                <w:color w:val="auto"/>
              </w:rPr>
            </w:pPr>
            <w:r>
              <w:rPr>
                <w:rFonts w:ascii="Arial" w:cs="Arial" w:eastAsia="Arial" w:hAnsi="Arial"/>
                <w:sz w:val="9"/>
                <w:szCs w:val="9"/>
                <w:color w:val="auto"/>
                <w:w w:val="78"/>
              </w:rPr>
              <w:t>$</w:t>
            </w:r>
          </w:p>
        </w:tc>
        <w:tc>
          <w:tcPr>
            <w:tcW w:w="4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136</w:t>
            </w:r>
          </w:p>
        </w:tc>
        <w:tc>
          <w:tcPr>
            <w:tcW w:w="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100 %</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841"/>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162</w:t>
            </w:r>
          </w:p>
        </w:tc>
        <w:tc>
          <w:tcPr>
            <w:tcW w:w="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100 %</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19"/>
        </w:trPr>
        <w:tc>
          <w:tcPr>
            <w:tcW w:w="5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tcPr>
          <w:p>
            <w:pPr>
              <w:spacing w:after="0"/>
              <w:rPr>
                <w:sz w:val="10"/>
                <w:szCs w:val="10"/>
                <w:color w:val="auto"/>
              </w:rPr>
            </w:pPr>
          </w:p>
        </w:tc>
      </w:tr>
      <w:tr>
        <w:trPr>
          <w:trHeight w:val="155"/>
        </w:trPr>
        <w:tc>
          <w:tcPr>
            <w:tcW w:w="5180" w:type="dxa"/>
            <w:vAlign w:val="bottom"/>
          </w:tcPr>
          <w:p>
            <w:pPr>
              <w:ind w:left="20"/>
              <w:spacing w:after="0"/>
              <w:rPr>
                <w:sz w:val="20"/>
                <w:szCs w:val="20"/>
                <w:color w:val="auto"/>
              </w:rPr>
            </w:pPr>
            <w:r>
              <w:rPr>
                <w:rFonts w:ascii="Arial" w:cs="Arial" w:eastAsia="Arial" w:hAnsi="Arial"/>
                <w:sz w:val="12"/>
                <w:szCs w:val="12"/>
                <w:b w:val="1"/>
                <w:bCs w:val="1"/>
                <w:color w:val="auto"/>
              </w:rPr>
              <w:t>Vintage:</w:t>
            </w: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5"/>
        </w:trPr>
        <w:tc>
          <w:tcPr>
            <w:tcW w:w="5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2007</w:t>
            </w:r>
          </w:p>
        </w:tc>
        <w:tc>
          <w:tcPr>
            <w:tcW w:w="96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33</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24 %</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37</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23 %</w:t>
            </w:r>
          </w:p>
        </w:tc>
        <w:tc>
          <w:tcPr>
            <w:tcW w:w="80" w:type="dxa"/>
            <w:vAlign w:val="bottom"/>
          </w:tcPr>
          <w:p>
            <w:pPr>
              <w:spacing w:after="0"/>
              <w:rPr>
                <w:sz w:val="13"/>
                <w:szCs w:val="13"/>
                <w:color w:val="auto"/>
              </w:rPr>
            </w:pPr>
          </w:p>
        </w:tc>
      </w:tr>
      <w:tr>
        <w:trPr>
          <w:trHeight w:val="155"/>
        </w:trPr>
        <w:tc>
          <w:tcPr>
            <w:tcW w:w="5180" w:type="dxa"/>
            <w:vAlign w:val="bottom"/>
          </w:tcPr>
          <w:p>
            <w:pPr>
              <w:ind w:left="20"/>
              <w:spacing w:after="0"/>
              <w:rPr>
                <w:sz w:val="20"/>
                <w:szCs w:val="20"/>
                <w:color w:val="auto"/>
              </w:rPr>
            </w:pPr>
            <w:r>
              <w:rPr>
                <w:rFonts w:ascii="Arial" w:cs="Arial" w:eastAsia="Arial" w:hAnsi="Arial"/>
                <w:sz w:val="12"/>
                <w:szCs w:val="12"/>
                <w:color w:val="auto"/>
              </w:rPr>
              <w:t>2006</w:t>
            </w:r>
          </w:p>
        </w:tc>
        <w:tc>
          <w:tcPr>
            <w:tcW w:w="960" w:type="dxa"/>
            <w:vAlign w:val="bottom"/>
          </w:tcPr>
          <w:p>
            <w:pPr>
              <w:spacing w:after="0"/>
              <w:rPr>
                <w:sz w:val="13"/>
                <w:szCs w:val="13"/>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36</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26 %</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43</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27 %</w:t>
            </w:r>
          </w:p>
        </w:tc>
        <w:tc>
          <w:tcPr>
            <w:tcW w:w="80" w:type="dxa"/>
            <w:vAlign w:val="bottom"/>
            <w:shd w:val="clear" w:color="auto" w:fill="CCEEFF"/>
          </w:tcPr>
          <w:p>
            <w:pPr>
              <w:spacing w:after="0"/>
              <w:rPr>
                <w:sz w:val="13"/>
                <w:szCs w:val="13"/>
                <w:color w:val="auto"/>
              </w:rPr>
            </w:pPr>
          </w:p>
        </w:tc>
      </w:tr>
      <w:tr>
        <w:trPr>
          <w:trHeight w:val="155"/>
        </w:trPr>
        <w:tc>
          <w:tcPr>
            <w:tcW w:w="5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2005 and prior</w:t>
            </w:r>
          </w:p>
        </w:tc>
        <w:tc>
          <w:tcPr>
            <w:tcW w:w="9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67</w:t>
            </w:r>
          </w:p>
        </w:tc>
        <w:tc>
          <w:tcPr>
            <w:tcW w:w="80" w:type="dxa"/>
            <w:vAlign w:val="bottom"/>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50 %</w:t>
            </w:r>
          </w:p>
        </w:tc>
        <w:tc>
          <w:tcPr>
            <w:tcW w:w="8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82</w:t>
            </w:r>
          </w:p>
        </w:tc>
        <w:tc>
          <w:tcPr>
            <w:tcW w:w="80" w:type="dxa"/>
            <w:vAlign w:val="bottom"/>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50 %</w:t>
            </w:r>
          </w:p>
        </w:tc>
        <w:tc>
          <w:tcPr>
            <w:tcW w:w="80" w:type="dxa"/>
            <w:vAlign w:val="bottom"/>
            <w:tcBorders>
              <w:bottom w:val="single" w:sz="8" w:color="CCEEFF"/>
            </w:tcBorders>
          </w:tcPr>
          <w:p>
            <w:pPr>
              <w:spacing w:after="0"/>
              <w:rPr>
                <w:sz w:val="13"/>
                <w:szCs w:val="13"/>
                <w:color w:val="auto"/>
              </w:rPr>
            </w:pPr>
          </w:p>
        </w:tc>
      </w:tr>
      <w:tr>
        <w:trPr>
          <w:trHeight w:val="166"/>
        </w:trPr>
        <w:tc>
          <w:tcPr>
            <w:tcW w:w="5180" w:type="dxa"/>
            <w:vAlign w:val="bottom"/>
          </w:tcPr>
          <w:p>
            <w:pPr>
              <w:ind w:left="120"/>
              <w:spacing w:after="0"/>
              <w:rPr>
                <w:sz w:val="20"/>
                <w:szCs w:val="20"/>
                <w:color w:val="auto"/>
              </w:rPr>
            </w:pPr>
            <w:r>
              <w:rPr>
                <w:rFonts w:ascii="Arial" w:cs="Arial" w:eastAsia="Arial" w:hAnsi="Arial"/>
                <w:sz w:val="12"/>
                <w:szCs w:val="12"/>
                <w:b w:val="1"/>
                <w:bCs w:val="1"/>
                <w:color w:val="auto"/>
              </w:rPr>
              <w:t>Total</w:t>
            </w:r>
          </w:p>
        </w:tc>
        <w:tc>
          <w:tcPr>
            <w:tcW w:w="960" w:type="dxa"/>
            <w:vAlign w:val="bottom"/>
            <w:tcBorders>
              <w:bottom w:val="single" w:sz="8" w:color="auto"/>
            </w:tcBorders>
          </w:tcPr>
          <w:p>
            <w:pPr>
              <w:jc w:val="right"/>
              <w:ind w:right="851"/>
              <w:spacing w:after="0"/>
              <w:rPr>
                <w:sz w:val="20"/>
                <w:szCs w:val="20"/>
                <w:color w:val="auto"/>
              </w:rPr>
            </w:pPr>
            <w:r>
              <w:rPr>
                <w:rFonts w:ascii="Arial" w:cs="Arial" w:eastAsia="Arial" w:hAnsi="Arial"/>
                <w:sz w:val="9"/>
                <w:szCs w:val="9"/>
                <w:color w:val="auto"/>
                <w:w w:val="78"/>
              </w:rPr>
              <w:t>$</w:t>
            </w:r>
          </w:p>
        </w:tc>
        <w:tc>
          <w:tcPr>
            <w:tcW w:w="4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136</w:t>
            </w:r>
          </w:p>
        </w:tc>
        <w:tc>
          <w:tcPr>
            <w:tcW w:w="8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100 %</w:t>
            </w:r>
          </w:p>
        </w:tc>
        <w:tc>
          <w:tcPr>
            <w:tcW w:w="80" w:type="dxa"/>
            <w:vAlign w:val="bottom"/>
          </w:tcPr>
          <w:p>
            <w:pPr>
              <w:spacing w:after="0"/>
              <w:rPr>
                <w:sz w:val="14"/>
                <w:szCs w:val="14"/>
                <w:color w:val="auto"/>
              </w:rPr>
            </w:pPr>
          </w:p>
        </w:tc>
        <w:tc>
          <w:tcPr>
            <w:tcW w:w="980" w:type="dxa"/>
            <w:vAlign w:val="bottom"/>
            <w:tcBorders>
              <w:bottom w:val="single" w:sz="8" w:color="auto"/>
            </w:tcBorders>
          </w:tcPr>
          <w:p>
            <w:pPr>
              <w:jc w:val="right"/>
              <w:ind w:right="841"/>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162</w:t>
            </w:r>
          </w:p>
        </w:tc>
        <w:tc>
          <w:tcPr>
            <w:tcW w:w="8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100 %</w:t>
            </w:r>
          </w:p>
        </w:tc>
        <w:tc>
          <w:tcPr>
            <w:tcW w:w="80" w:type="dxa"/>
            <w:vAlign w:val="bottom"/>
            <w:tcBorders>
              <w:bottom w:val="single" w:sz="8" w:color="CCEEFF"/>
            </w:tcBorders>
            <w:shd w:val="clear" w:color="auto" w:fill="CCEEFF"/>
          </w:tcPr>
          <w:p>
            <w:pPr>
              <w:spacing w:after="0"/>
              <w:rPr>
                <w:sz w:val="14"/>
                <w:szCs w:val="14"/>
                <w:color w:val="auto"/>
              </w:rPr>
            </w:pPr>
          </w:p>
        </w:tc>
      </w:tr>
      <w:tr>
        <w:trPr>
          <w:trHeight w:val="20"/>
        </w:trPr>
        <w:tc>
          <w:tcPr>
            <w:tcW w:w="5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2"/>
          <w:szCs w:val="12"/>
          <w:color w:val="auto"/>
        </w:rPr>
        <w:t>(a) Securities denoted as not-rated by an NRSRO were classified as investment or non-investment grade according to the securities' respective NAIC designation.</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ABS and CLO Exposures</w:t>
      </w:r>
    </w:p>
    <w:p>
      <w:pPr>
        <w:spacing w:after="0" w:line="141" w:lineRule="exact"/>
        <w:rPr>
          <w:sz w:val="20"/>
          <w:szCs w:val="20"/>
          <w:color w:val="auto"/>
        </w:rPr>
      </w:pPr>
    </w:p>
    <w:p>
      <w:pPr>
        <w:jc w:val="both"/>
        <w:ind w:firstLine="331"/>
        <w:spacing w:after="0" w:line="266" w:lineRule="auto"/>
        <w:rPr>
          <w:sz w:val="20"/>
          <w:szCs w:val="20"/>
          <w:color w:val="auto"/>
        </w:rPr>
      </w:pPr>
      <w:r>
        <w:rPr>
          <w:rFonts w:ascii="Arial" w:cs="Arial" w:eastAsia="Arial" w:hAnsi="Arial"/>
          <w:sz w:val="15"/>
          <w:szCs w:val="15"/>
          <w:color w:val="auto"/>
        </w:rPr>
        <w:t>Our ABS exposures are largely diversified by underlying collateral and issuer type. Our CLO exposures are generally senior tranches of CLOs which have leveraged loans as their underlying collateral.</w:t>
      </w:r>
    </w:p>
    <w:p>
      <w:pPr>
        <w:spacing w:after="0" w:line="70" w:lineRule="exact"/>
        <w:rPr>
          <w:sz w:val="20"/>
          <w:szCs w:val="20"/>
          <w:color w:val="auto"/>
        </w:rPr>
      </w:pPr>
    </w:p>
    <w:p>
      <w:pPr>
        <w:jc w:val="both"/>
        <w:ind w:firstLine="331"/>
        <w:spacing w:after="0" w:line="266" w:lineRule="auto"/>
        <w:rPr>
          <w:sz w:val="20"/>
          <w:szCs w:val="20"/>
          <w:color w:val="auto"/>
        </w:rPr>
      </w:pPr>
      <w:r>
        <w:rPr>
          <w:rFonts w:ascii="Arial" w:cs="Arial" w:eastAsia="Arial" w:hAnsi="Arial"/>
          <w:sz w:val="15"/>
          <w:szCs w:val="15"/>
          <w:color w:val="auto"/>
        </w:rPr>
        <w:t>As of September 30, 2021, the CLO and ABS positions were trading at a net unrealized gain position of $200 million and $78 million, respectively. As of December 31, 2020, the CLO and ABS positions were trading at a net unrealized gain position of $247 million and $79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Municipal Bond Exposure</w:t>
      </w:r>
    </w:p>
    <w:p>
      <w:pPr>
        <w:spacing w:after="0" w:line="119" w:lineRule="exact"/>
        <w:rPr>
          <w:sz w:val="20"/>
          <w:szCs w:val="20"/>
          <w:color w:val="auto"/>
        </w:rPr>
      </w:pPr>
    </w:p>
    <w:p>
      <w:pPr>
        <w:jc w:val="both"/>
        <w:ind w:firstLine="331"/>
        <w:spacing w:after="0" w:line="266" w:lineRule="auto"/>
        <w:rPr>
          <w:sz w:val="20"/>
          <w:szCs w:val="20"/>
          <w:color w:val="auto"/>
        </w:rPr>
      </w:pPr>
      <w:r>
        <w:rPr>
          <w:rFonts w:ascii="Arial" w:cs="Arial" w:eastAsia="Arial" w:hAnsi="Arial"/>
          <w:sz w:val="15"/>
          <w:szCs w:val="15"/>
          <w:color w:val="auto"/>
        </w:rPr>
        <w:t>Our municipal bond exposure is a combination of general obligation bonds (fair value of $258 million and an amortized cost of $246 million as of September 30, 2021) and special revenue bonds (fair value of $1,043 million and amortized cost of $995 million as of September 30, 2021).</w:t>
      </w:r>
    </w:p>
    <w:p>
      <w:pPr>
        <w:spacing w:after="0" w:line="70" w:lineRule="exact"/>
        <w:rPr>
          <w:sz w:val="20"/>
          <w:szCs w:val="20"/>
          <w:color w:val="auto"/>
        </w:rPr>
      </w:pPr>
    </w:p>
    <w:p>
      <w:pPr>
        <w:jc w:val="both"/>
        <w:ind w:firstLine="331"/>
        <w:spacing w:after="0" w:line="266" w:lineRule="auto"/>
        <w:rPr>
          <w:sz w:val="20"/>
          <w:szCs w:val="20"/>
          <w:color w:val="auto"/>
        </w:rPr>
      </w:pPr>
      <w:r>
        <w:rPr>
          <w:rFonts w:ascii="Arial" w:cs="Arial" w:eastAsia="Arial" w:hAnsi="Arial"/>
          <w:sz w:val="15"/>
          <w:szCs w:val="15"/>
          <w:color w:val="auto"/>
        </w:rPr>
        <w:t>Across all municipal bonds, the largest issuer represented 7% of the category, less than 1% of the entire portfolio and is rated NAIC 1. Our focus within municipal bonds is on NAIC 1 rated instruments, and 90% of our municipal bond exposure is rated NAIC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5" w:name="page86"/>
    <w:bookmarkEnd w:id="85"/>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Mortgage Loans</w:t>
      </w:r>
    </w:p>
    <w:p>
      <w:pPr>
        <w:spacing w:after="0" w:line="96" w:lineRule="exact"/>
        <w:rPr>
          <w:sz w:val="20"/>
          <w:szCs w:val="20"/>
          <w:color w:val="auto"/>
        </w:rPr>
      </w:pPr>
    </w:p>
    <w:p>
      <w:pPr>
        <w:jc w:val="both"/>
        <w:ind w:firstLine="331"/>
        <w:spacing w:after="0" w:line="271" w:lineRule="auto"/>
        <w:rPr>
          <w:sz w:val="20"/>
          <w:szCs w:val="20"/>
          <w:color w:val="auto"/>
        </w:rPr>
      </w:pPr>
      <w:r>
        <w:rPr>
          <w:rFonts w:ascii="Arial" w:cs="Arial" w:eastAsia="Arial" w:hAnsi="Arial"/>
          <w:sz w:val="14"/>
          <w:szCs w:val="14"/>
          <w:color w:val="auto"/>
        </w:rPr>
        <w:t>We rate all commercial mortgage loans ("CMLs") to quantify the level of risk. We place those loans with higher risk on a watch list and closely monitor them for collateral deficiency or other credit events that may lead to a potential loss of principal and/or interest. If we determine the value of any CML to be impaired (i.e., when it is probable that we will be unable to collect on amounts due according to the contractual terms of the loan agreement), the carrying value of the CML is reduced to either the present value of expected cash flows from the loan, discounted at the loan’s effective interest rate, or fair value of the collateral. For those mortgage loans that are determined to require foreclosure, the carrying value is reduced to the fair value of the underlying collateral, net of estimated costs to obtain and sell at the point of foreclosure. The carrying value of the impaired loans is reduced by establishing a specific write-down recorded in Recognized gains and losses, net in the unaudited Condensed Consolidated Statements of Earnings.</w:t>
      </w:r>
    </w:p>
    <w:p>
      <w:pPr>
        <w:spacing w:after="0" w:line="57" w:lineRule="exact"/>
        <w:rPr>
          <w:sz w:val="20"/>
          <w:szCs w:val="20"/>
          <w:color w:val="auto"/>
        </w:rPr>
      </w:pPr>
    </w:p>
    <w:p>
      <w:pPr>
        <w:jc w:val="both"/>
        <w:ind w:firstLine="331"/>
        <w:spacing w:after="0" w:line="255" w:lineRule="auto"/>
        <w:rPr>
          <w:sz w:val="20"/>
          <w:szCs w:val="20"/>
          <w:color w:val="auto"/>
        </w:rPr>
      </w:pPr>
      <w:r>
        <w:rPr>
          <w:rFonts w:ascii="Arial" w:cs="Arial" w:eastAsia="Arial" w:hAnsi="Arial"/>
          <w:sz w:val="15"/>
          <w:szCs w:val="15"/>
          <w:color w:val="auto"/>
        </w:rPr>
        <w:t>LTV and DSC ratios are utilized as part of the review process described above. As of September 30, 2021, our mortgage loans on real estate portfolio had a weighted average DSC ratio of 2.2 times, and a weighted average LTV ratio of 53%. See Note D to the unaudited Condensed Consolidated Financial Statements included in Item 1 of Part I of this Report for additional information regarding our LTV and DSC ratios.</w:t>
      </w:r>
    </w:p>
    <w:p>
      <w:pPr>
        <w:spacing w:after="0" w:line="68" w:lineRule="exact"/>
        <w:rPr>
          <w:sz w:val="20"/>
          <w:szCs w:val="20"/>
          <w:color w:val="auto"/>
        </w:rPr>
      </w:pPr>
    </w:p>
    <w:p>
      <w:pPr>
        <w:jc w:val="both"/>
        <w:ind w:firstLine="331"/>
        <w:spacing w:after="0" w:line="255" w:lineRule="auto"/>
        <w:rPr>
          <w:sz w:val="20"/>
          <w:szCs w:val="20"/>
          <w:color w:val="auto"/>
        </w:rPr>
      </w:pPr>
      <w:r>
        <w:rPr>
          <w:rFonts w:ascii="Arial" w:cs="Arial" w:eastAsia="Arial" w:hAnsi="Arial"/>
          <w:sz w:val="15"/>
          <w:szCs w:val="15"/>
          <w:color w:val="auto"/>
        </w:rPr>
        <w:t>F&amp;G's residential mortgage loans ("RMLs") are closed end, amortizing loans and 100% of the properties are located in the United States. F&amp;G diversifies its RML portfolio by state to attempt to reduce concentration risk. RMLs have a primary credit quality indicator of either a performing or nonperforming loan. F&amp;G defines non-performing RMLs as those that are 90 or more days past due and/or in nonaccrual status which is assessed monthly.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6" w:name="page87"/>
    <w:bookmarkEnd w:id="86"/>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Unrealized Losses</w:t>
      </w:r>
    </w:p>
    <w:p>
      <w:pPr>
        <w:spacing w:after="0" w:line="108" w:lineRule="exact"/>
        <w:rPr>
          <w:sz w:val="20"/>
          <w:szCs w:val="20"/>
          <w:color w:val="auto"/>
        </w:rPr>
      </w:pPr>
    </w:p>
    <w:p>
      <w:pPr>
        <w:ind w:right="80" w:firstLine="265"/>
        <w:spacing w:after="0" w:line="266" w:lineRule="auto"/>
        <w:rPr>
          <w:sz w:val="20"/>
          <w:szCs w:val="20"/>
          <w:color w:val="auto"/>
        </w:rPr>
      </w:pPr>
      <w:r>
        <w:rPr>
          <w:rFonts w:ascii="Arial" w:cs="Arial" w:eastAsia="Arial" w:hAnsi="Arial"/>
          <w:sz w:val="15"/>
          <w:szCs w:val="15"/>
          <w:color w:val="auto"/>
        </w:rPr>
        <w:t>The amortized cost and fair value of the fixed maturity securities and the equity securities that were in an unrealized loss position as of September 30, 2021 and December 31, 2020, were as follows (in millions):</w:t>
      </w:r>
    </w:p>
    <w:p>
      <w:pPr>
        <w:spacing w:after="0" w:line="174" w:lineRule="exact"/>
        <w:rPr>
          <w:sz w:val="20"/>
          <w:szCs w:val="20"/>
          <w:color w:val="auto"/>
        </w:rPr>
      </w:pPr>
    </w:p>
    <w:tbl>
      <w:tblPr>
        <w:tblLayout w:type="fixed"/>
        <w:tblInd w:w="340" w:type="dxa"/>
        <w:tblCellMar>
          <w:top w:w="0" w:type="dxa"/>
          <w:left w:w="0" w:type="dxa"/>
          <w:bottom w:w="0" w:type="dxa"/>
          <w:right w:w="0" w:type="dxa"/>
        </w:tblCellMar>
      </w:tblPr>
      <w:tr>
        <w:trPr>
          <w:trHeight w:val="156"/>
        </w:trPr>
        <w:tc>
          <w:tcPr>
            <w:tcW w:w="37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ind w:left="380"/>
              <w:spacing w:after="0"/>
              <w:rPr>
                <w:sz w:val="20"/>
                <w:szCs w:val="20"/>
                <w:color w:val="auto"/>
              </w:rPr>
            </w:pPr>
            <w:r>
              <w:rPr>
                <w:rFonts w:ascii="Arial" w:cs="Arial" w:eastAsia="Arial" w:hAnsi="Arial"/>
                <w:sz w:val="12"/>
                <w:szCs w:val="12"/>
                <w:b w:val="1"/>
                <w:bCs w:val="1"/>
                <w:color w:val="auto"/>
                <w:w w:val="98"/>
              </w:rPr>
              <w:t>September 30, 2021</w:t>
            </w:r>
          </w:p>
        </w:tc>
        <w:tc>
          <w:tcPr>
            <w:tcW w:w="4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780" w:type="dxa"/>
            <w:vAlign w:val="bottom"/>
          </w:tcPr>
          <w:p>
            <w:pPr>
              <w:spacing w:after="0"/>
              <w:rPr>
                <w:sz w:val="9"/>
                <w:szCs w:val="9"/>
                <w:color w:val="auto"/>
              </w:rPr>
            </w:pPr>
          </w:p>
        </w:tc>
        <w:tc>
          <w:tcPr>
            <w:tcW w:w="1500" w:type="dxa"/>
            <w:vAlign w:val="bottom"/>
            <w:gridSpan w:val="3"/>
            <w:vMerge w:val="restart"/>
          </w:tcPr>
          <w:p>
            <w:pPr>
              <w:ind w:left="340"/>
              <w:spacing w:after="0"/>
              <w:rPr>
                <w:sz w:val="20"/>
                <w:szCs w:val="20"/>
                <w:color w:val="auto"/>
              </w:rPr>
            </w:pPr>
            <w:r>
              <w:rPr>
                <w:rFonts w:ascii="Arial" w:cs="Arial" w:eastAsia="Arial" w:hAnsi="Arial"/>
                <w:sz w:val="12"/>
                <w:szCs w:val="12"/>
                <w:b w:val="1"/>
                <w:bCs w:val="1"/>
                <w:color w:val="auto"/>
                <w:w w:val="95"/>
              </w:rPr>
              <w:t>Number of securities</w:t>
            </w:r>
          </w:p>
        </w:tc>
        <w:tc>
          <w:tcPr>
            <w:tcW w:w="460" w:type="dxa"/>
            <w:vAlign w:val="bottom"/>
          </w:tcPr>
          <w:p>
            <w:pPr>
              <w:spacing w:after="0"/>
              <w:rPr>
                <w:sz w:val="9"/>
                <w:szCs w:val="9"/>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Amortized Cost</w:t>
            </w:r>
          </w:p>
        </w:tc>
        <w:tc>
          <w:tcPr>
            <w:tcW w:w="460" w:type="dxa"/>
            <w:vAlign w:val="bottom"/>
          </w:tcPr>
          <w:p>
            <w:pPr>
              <w:spacing w:after="0"/>
              <w:rPr>
                <w:sz w:val="9"/>
                <w:szCs w:val="9"/>
                <w:color w:val="auto"/>
              </w:rPr>
            </w:pPr>
          </w:p>
        </w:tc>
        <w:tc>
          <w:tcPr>
            <w:tcW w:w="1040" w:type="dxa"/>
            <w:vAlign w:val="bottom"/>
            <w:gridSpan w:val="2"/>
          </w:tcPr>
          <w:p>
            <w:pPr>
              <w:ind w:left="40"/>
              <w:spacing w:after="0" w:line="107" w:lineRule="exact"/>
              <w:rPr>
                <w:sz w:val="20"/>
                <w:szCs w:val="20"/>
                <w:color w:val="auto"/>
              </w:rPr>
            </w:pPr>
            <w:r>
              <w:rPr>
                <w:rFonts w:ascii="Arial" w:cs="Arial" w:eastAsia="Arial" w:hAnsi="Arial"/>
                <w:sz w:val="12"/>
                <w:szCs w:val="12"/>
                <w:b w:val="1"/>
                <w:bCs w:val="1"/>
                <w:color w:val="auto"/>
              </w:rPr>
              <w:t>Allowance for</w:t>
            </w:r>
          </w:p>
        </w:tc>
        <w:tc>
          <w:tcPr>
            <w:tcW w:w="400" w:type="dxa"/>
            <w:vAlign w:val="bottom"/>
          </w:tcPr>
          <w:p>
            <w:pPr>
              <w:spacing w:after="0"/>
              <w:rPr>
                <w:sz w:val="9"/>
                <w:szCs w:val="9"/>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Unrealized Losses</w:t>
            </w:r>
          </w:p>
        </w:tc>
        <w:tc>
          <w:tcPr>
            <w:tcW w:w="5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13"/>
                <w:szCs w:val="13"/>
                <w:color w:val="auto"/>
              </w:rPr>
            </w:pPr>
          </w:p>
        </w:tc>
        <w:tc>
          <w:tcPr>
            <w:tcW w:w="1500" w:type="dxa"/>
            <w:vAlign w:val="bottom"/>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500" w:type="dxa"/>
            <w:vAlign w:val="bottom"/>
            <w:gridSpan w:val="3"/>
          </w:tcPr>
          <w:p>
            <w:pPr>
              <w:ind w:left="100"/>
              <w:spacing w:after="0"/>
              <w:rPr>
                <w:sz w:val="20"/>
                <w:szCs w:val="20"/>
                <w:color w:val="auto"/>
              </w:rPr>
            </w:pPr>
            <w:r>
              <w:rPr>
                <w:rFonts w:ascii="Arial" w:cs="Arial" w:eastAsia="Arial" w:hAnsi="Arial"/>
                <w:sz w:val="12"/>
                <w:szCs w:val="12"/>
                <w:b w:val="1"/>
                <w:bCs w:val="1"/>
                <w:color w:val="auto"/>
              </w:rPr>
              <w:t>Expected Credit Losses</w:t>
            </w:r>
          </w:p>
        </w:tc>
        <w:tc>
          <w:tcPr>
            <w:tcW w:w="4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780" w:type="dxa"/>
            <w:vAlign w:val="bottom"/>
            <w:tcBorders>
              <w:top w:val="single" w:sz="8" w:color="CCEEFF"/>
            </w:tcBorders>
            <w:shd w:val="clear" w:color="auto" w:fill="CCEEFF"/>
          </w:tcPr>
          <w:p>
            <w:pPr>
              <w:ind w:left="340"/>
              <w:spacing w:after="0" w:line="131" w:lineRule="exact"/>
              <w:rPr>
                <w:sz w:val="20"/>
                <w:szCs w:val="20"/>
                <w:color w:val="auto"/>
              </w:rPr>
            </w:pPr>
            <w:r>
              <w:rPr>
                <w:rFonts w:ascii="Arial" w:cs="Arial" w:eastAsia="Arial" w:hAnsi="Arial"/>
                <w:sz w:val="12"/>
                <w:szCs w:val="12"/>
                <w:color w:val="auto"/>
              </w:rPr>
              <w:t>Fixed maturity securities, available for sale:</w:t>
            </w:r>
          </w:p>
        </w:tc>
        <w:tc>
          <w:tcPr>
            <w:tcW w:w="8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780" w:type="dxa"/>
            <w:vAlign w:val="bottom"/>
          </w:tcPr>
          <w:p>
            <w:pPr>
              <w:ind w:left="540"/>
              <w:spacing w:after="0"/>
              <w:rPr>
                <w:sz w:val="20"/>
                <w:szCs w:val="20"/>
                <w:color w:val="auto"/>
              </w:rPr>
            </w:pPr>
            <w:r>
              <w:rPr>
                <w:rFonts w:ascii="Arial" w:cs="Arial" w:eastAsia="Arial" w:hAnsi="Arial"/>
                <w:sz w:val="12"/>
                <w:szCs w:val="12"/>
                <w:color w:val="auto"/>
              </w:rPr>
              <w:t>United States Government full faith and credit</w:t>
            </w:r>
          </w:p>
        </w:tc>
        <w:tc>
          <w:tcPr>
            <w:tcW w:w="800" w:type="dxa"/>
            <w:vAlign w:val="bottom"/>
          </w:tcPr>
          <w:p>
            <w:pPr>
              <w:ind w:left="34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472</w:t>
            </w:r>
          </w:p>
        </w:tc>
        <w:tc>
          <w:tcPr>
            <w:tcW w:w="100" w:type="dxa"/>
            <w:vAlign w:val="bottom"/>
          </w:tcPr>
          <w:p>
            <w:pPr>
              <w:spacing w:after="0"/>
              <w:rPr>
                <w:sz w:val="13"/>
                <w:szCs w:val="13"/>
                <w:color w:val="auto"/>
              </w:rPr>
            </w:pPr>
          </w:p>
        </w:tc>
        <w:tc>
          <w:tcPr>
            <w:tcW w:w="4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04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3"/>
                <w:szCs w:val="13"/>
                <w:color w:val="auto"/>
              </w:rPr>
            </w:pPr>
          </w:p>
        </w:tc>
        <w:tc>
          <w:tcPr>
            <w:tcW w:w="50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80" w:type="dxa"/>
            <w:vAlign w:val="bottom"/>
            <w:shd w:val="clear" w:color="auto" w:fill="CCEEFF"/>
          </w:tcPr>
          <w:p>
            <w:pPr>
              <w:ind w:left="540"/>
              <w:spacing w:after="0"/>
              <w:rPr>
                <w:sz w:val="20"/>
                <w:szCs w:val="20"/>
                <w:color w:val="auto"/>
              </w:rPr>
            </w:pPr>
            <w:r>
              <w:rPr>
                <w:rFonts w:ascii="Arial" w:cs="Arial" w:eastAsia="Arial" w:hAnsi="Arial"/>
                <w:sz w:val="12"/>
                <w:szCs w:val="12"/>
                <w:color w:val="auto"/>
              </w:rPr>
              <w:t>United States Government sponsored agencies</w:t>
            </w:r>
          </w:p>
        </w:tc>
        <w:tc>
          <w:tcPr>
            <w:tcW w:w="8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780" w:type="dxa"/>
            <w:vAlign w:val="bottom"/>
          </w:tcPr>
          <w:p>
            <w:pPr>
              <w:ind w:left="540"/>
              <w:spacing w:after="0"/>
              <w:rPr>
                <w:sz w:val="20"/>
                <w:szCs w:val="20"/>
                <w:color w:val="auto"/>
              </w:rPr>
            </w:pPr>
            <w:r>
              <w:rPr>
                <w:rFonts w:ascii="Arial" w:cs="Arial" w:eastAsia="Arial" w:hAnsi="Arial"/>
                <w:sz w:val="12"/>
                <w:szCs w:val="12"/>
                <w:color w:val="auto"/>
              </w:rPr>
              <w:t>United States municipalities, states and territories</w:t>
            </w:r>
          </w:p>
        </w:tc>
        <w:tc>
          <w:tcPr>
            <w:tcW w:w="8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294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80" w:type="dxa"/>
            <w:vAlign w:val="bottom"/>
            <w:shd w:val="clear" w:color="auto" w:fill="CCEEFF"/>
          </w:tcPr>
          <w:p>
            <w:pPr>
              <w:ind w:left="560"/>
              <w:spacing w:after="0"/>
              <w:rPr>
                <w:sz w:val="20"/>
                <w:szCs w:val="20"/>
                <w:color w:val="auto"/>
              </w:rPr>
            </w:pPr>
            <w:r>
              <w:rPr>
                <w:rFonts w:ascii="Arial" w:cs="Arial" w:eastAsia="Arial" w:hAnsi="Arial"/>
                <w:sz w:val="12"/>
                <w:szCs w:val="12"/>
                <w:color w:val="auto"/>
              </w:rPr>
              <w:t>Foreign Governments</w:t>
            </w:r>
          </w:p>
        </w:tc>
        <w:tc>
          <w:tcPr>
            <w:tcW w:w="8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780" w:type="dxa"/>
            <w:vAlign w:val="bottom"/>
          </w:tcPr>
          <w:p>
            <w:pPr>
              <w:ind w:left="340"/>
              <w:spacing w:after="0"/>
              <w:rPr>
                <w:sz w:val="20"/>
                <w:szCs w:val="20"/>
                <w:color w:val="auto"/>
              </w:rPr>
            </w:pPr>
            <w:r>
              <w:rPr>
                <w:rFonts w:ascii="Arial" w:cs="Arial" w:eastAsia="Arial" w:hAnsi="Arial"/>
                <w:sz w:val="12"/>
                <w:szCs w:val="12"/>
                <w:color w:val="auto"/>
              </w:rPr>
              <w:t>Corporate securities:</w:t>
            </w: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80" w:type="dxa"/>
            <w:vAlign w:val="bottom"/>
            <w:shd w:val="clear" w:color="auto" w:fill="CCEEFF"/>
          </w:tcPr>
          <w:p>
            <w:pPr>
              <w:ind w:left="540"/>
              <w:spacing w:after="0"/>
              <w:rPr>
                <w:sz w:val="20"/>
                <w:szCs w:val="20"/>
                <w:color w:val="auto"/>
              </w:rPr>
            </w:pPr>
            <w:r>
              <w:rPr>
                <w:rFonts w:ascii="Arial" w:cs="Arial" w:eastAsia="Arial" w:hAnsi="Arial"/>
                <w:sz w:val="12"/>
                <w:szCs w:val="12"/>
                <w:color w:val="auto"/>
              </w:rPr>
              <w:t>Finance, insurance and real estate</w:t>
            </w:r>
          </w:p>
        </w:tc>
        <w:tc>
          <w:tcPr>
            <w:tcW w:w="8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955</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780" w:type="dxa"/>
            <w:vAlign w:val="bottom"/>
          </w:tcPr>
          <w:p>
            <w:pPr>
              <w:ind w:left="540"/>
              <w:spacing w:after="0"/>
              <w:rPr>
                <w:sz w:val="20"/>
                <w:szCs w:val="20"/>
                <w:color w:val="auto"/>
              </w:rPr>
            </w:pPr>
            <w:r>
              <w:rPr>
                <w:rFonts w:ascii="Arial" w:cs="Arial" w:eastAsia="Arial" w:hAnsi="Arial"/>
                <w:sz w:val="12"/>
                <w:szCs w:val="12"/>
                <w:color w:val="auto"/>
              </w:rPr>
              <w:t>Manufacturing, construction and mining</w:t>
            </w:r>
          </w:p>
        </w:tc>
        <w:tc>
          <w:tcPr>
            <w:tcW w:w="8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38</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170</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80" w:type="dxa"/>
            <w:vAlign w:val="bottom"/>
            <w:shd w:val="clear" w:color="auto" w:fill="CCEEFF"/>
          </w:tcPr>
          <w:p>
            <w:pPr>
              <w:ind w:left="540"/>
              <w:spacing w:after="0"/>
              <w:rPr>
                <w:sz w:val="20"/>
                <w:szCs w:val="20"/>
                <w:color w:val="auto"/>
              </w:rPr>
            </w:pPr>
            <w:r>
              <w:rPr>
                <w:rFonts w:ascii="Arial" w:cs="Arial" w:eastAsia="Arial" w:hAnsi="Arial"/>
                <w:sz w:val="12"/>
                <w:szCs w:val="12"/>
                <w:color w:val="auto"/>
              </w:rPr>
              <w:t>Utilities, energy and related sectors</w:t>
            </w:r>
          </w:p>
        </w:tc>
        <w:tc>
          <w:tcPr>
            <w:tcW w:w="8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949</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780" w:type="dxa"/>
            <w:vAlign w:val="bottom"/>
          </w:tcPr>
          <w:p>
            <w:pPr>
              <w:ind w:left="540"/>
              <w:spacing w:after="0"/>
              <w:rPr>
                <w:sz w:val="20"/>
                <w:szCs w:val="20"/>
                <w:color w:val="auto"/>
              </w:rPr>
            </w:pPr>
            <w:r>
              <w:rPr>
                <w:rFonts w:ascii="Arial" w:cs="Arial" w:eastAsia="Arial" w:hAnsi="Arial"/>
                <w:sz w:val="12"/>
                <w:szCs w:val="12"/>
                <w:color w:val="auto"/>
              </w:rPr>
              <w:t>Wholesale/retail trade</w:t>
            </w:r>
          </w:p>
        </w:tc>
        <w:tc>
          <w:tcPr>
            <w:tcW w:w="8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139</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1,058</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(35)</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7"/>
        </w:trPr>
        <w:tc>
          <w:tcPr>
            <w:tcW w:w="3780" w:type="dxa"/>
            <w:vAlign w:val="bottom"/>
            <w:shd w:val="clear" w:color="auto" w:fill="CCEEFF"/>
          </w:tcPr>
          <w:p>
            <w:pPr>
              <w:ind w:left="540"/>
              <w:spacing w:after="0"/>
              <w:rPr>
                <w:sz w:val="20"/>
                <w:szCs w:val="20"/>
                <w:color w:val="auto"/>
              </w:rPr>
            </w:pPr>
            <w:r>
              <w:rPr>
                <w:rFonts w:ascii="Arial" w:cs="Arial" w:eastAsia="Arial" w:hAnsi="Arial"/>
                <w:sz w:val="12"/>
                <w:szCs w:val="12"/>
                <w:color w:val="auto"/>
              </w:rPr>
              <w:t>Services, media and other</w:t>
            </w:r>
          </w:p>
        </w:tc>
        <w:tc>
          <w:tcPr>
            <w:tcW w:w="8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1,265</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2"/>
        </w:trPr>
        <w:tc>
          <w:tcPr>
            <w:tcW w:w="3780" w:type="dxa"/>
            <w:vAlign w:val="bottom"/>
          </w:tcPr>
          <w:p>
            <w:pPr>
              <w:ind w:left="340"/>
              <w:spacing w:after="0"/>
              <w:rPr>
                <w:sz w:val="20"/>
                <w:szCs w:val="20"/>
                <w:color w:val="auto"/>
              </w:rPr>
            </w:pPr>
            <w:r>
              <w:rPr>
                <w:rFonts w:ascii="Arial" w:cs="Arial" w:eastAsia="Arial" w:hAnsi="Arial"/>
                <w:sz w:val="12"/>
                <w:szCs w:val="12"/>
                <w:color w:val="auto"/>
              </w:rPr>
              <w:t>Hybrid securities</w:t>
            </w:r>
          </w:p>
        </w:tc>
        <w:tc>
          <w:tcPr>
            <w:tcW w:w="8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1120" w:type="dxa"/>
            <w:vAlign w:val="bottom"/>
            <w:gridSpan w:val="2"/>
          </w:tcPr>
          <w:p>
            <w:pPr>
              <w:ind w:left="84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Non-agency residential mortgage backed securities</w:t>
            </w:r>
          </w:p>
        </w:tc>
        <w:tc>
          <w:tcPr>
            <w:tcW w:w="8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40" w:type="dxa"/>
            <w:vAlign w:val="bottom"/>
            <w:shd w:val="clear" w:color="auto" w:fill="CCEEFF"/>
          </w:tcPr>
          <w:p>
            <w:pPr>
              <w:ind w:left="780"/>
              <w:spacing w:after="0"/>
              <w:rPr>
                <w:sz w:val="20"/>
                <w:szCs w:val="20"/>
                <w:color w:val="auto"/>
              </w:rPr>
            </w:pPr>
            <w:r>
              <w:rPr>
                <w:rFonts w:ascii="Arial" w:cs="Arial" w:eastAsia="Arial" w:hAnsi="Arial"/>
                <w:sz w:val="12"/>
                <w:szCs w:val="12"/>
                <w:color w:val="auto"/>
                <w:w w:val="95"/>
              </w:rPr>
              <w:t>(2)</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780" w:type="dxa"/>
            <w:vAlign w:val="bottom"/>
          </w:tcPr>
          <w:p>
            <w:pPr>
              <w:ind w:left="340"/>
              <w:spacing w:after="0"/>
              <w:rPr>
                <w:sz w:val="20"/>
                <w:szCs w:val="20"/>
                <w:color w:val="auto"/>
              </w:rPr>
            </w:pPr>
            <w:r>
              <w:rPr>
                <w:rFonts w:ascii="Arial" w:cs="Arial" w:eastAsia="Arial" w:hAnsi="Arial"/>
                <w:sz w:val="12"/>
                <w:szCs w:val="12"/>
                <w:color w:val="auto"/>
              </w:rPr>
              <w:t>Commercial mortgage backed securities</w:t>
            </w:r>
          </w:p>
        </w:tc>
        <w:tc>
          <w:tcPr>
            <w:tcW w:w="8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43</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267</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ind w:left="780"/>
              <w:spacing w:after="0"/>
              <w:rPr>
                <w:sz w:val="20"/>
                <w:szCs w:val="20"/>
                <w:color w:val="auto"/>
              </w:rPr>
            </w:pPr>
            <w:r>
              <w:rPr>
                <w:rFonts w:ascii="Arial" w:cs="Arial" w:eastAsia="Arial" w:hAnsi="Arial"/>
                <w:sz w:val="12"/>
                <w:szCs w:val="12"/>
                <w:color w:val="auto"/>
                <w:w w:val="95"/>
              </w:rPr>
              <w:t>(1)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Asset backed securities</w:t>
            </w:r>
          </w:p>
        </w:tc>
        <w:tc>
          <w:tcPr>
            <w:tcW w:w="8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1,599</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3"/>
        </w:trPr>
        <w:tc>
          <w:tcPr>
            <w:tcW w:w="37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Total fixed maturity available for sale securities</w:t>
            </w:r>
          </w:p>
        </w:tc>
        <w:tc>
          <w:tcPr>
            <w:tcW w:w="8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923</w:t>
            </w:r>
          </w:p>
        </w:tc>
        <w:tc>
          <w:tcPr>
            <w:tcW w:w="1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7,121</w:t>
            </w:r>
          </w:p>
        </w:tc>
        <w:tc>
          <w:tcPr>
            <w:tcW w:w="1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ind w:left="780"/>
              <w:spacing w:after="0"/>
              <w:rPr>
                <w:sz w:val="20"/>
                <w:szCs w:val="20"/>
                <w:color w:val="auto"/>
              </w:rPr>
            </w:pPr>
            <w:r>
              <w:rPr>
                <w:rFonts w:ascii="Arial" w:cs="Arial" w:eastAsia="Arial" w:hAnsi="Arial"/>
                <w:sz w:val="12"/>
                <w:szCs w:val="12"/>
                <w:color w:val="auto"/>
                <w:w w:val="95"/>
              </w:rPr>
              <w:t>(3)</w:t>
            </w: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(186)</w:t>
            </w:r>
          </w:p>
        </w:tc>
        <w:tc>
          <w:tcPr>
            <w:tcW w:w="1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55"/>
        </w:trPr>
        <w:tc>
          <w:tcPr>
            <w:tcW w:w="37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Equity securities</w:t>
            </w:r>
          </w:p>
        </w:tc>
        <w:tc>
          <w:tcPr>
            <w:tcW w:w="8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80" w:type="dxa"/>
            <w:vAlign w:val="bottom"/>
          </w:tcPr>
          <w:p>
            <w:pPr>
              <w:ind w:left="440"/>
              <w:spacing w:after="0"/>
              <w:rPr>
                <w:sz w:val="20"/>
                <w:szCs w:val="20"/>
                <w:color w:val="auto"/>
              </w:rPr>
            </w:pPr>
            <w:r>
              <w:rPr>
                <w:rFonts w:ascii="Arial" w:cs="Arial" w:eastAsia="Arial" w:hAnsi="Arial"/>
                <w:sz w:val="12"/>
                <w:szCs w:val="12"/>
                <w:b w:val="1"/>
                <w:bCs w:val="1"/>
                <w:color w:val="auto"/>
              </w:rPr>
              <w:t>Total investments</w:t>
            </w:r>
          </w:p>
        </w:tc>
        <w:tc>
          <w:tcPr>
            <w:tcW w:w="8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2"/>
                <w:szCs w:val="12"/>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931</w:t>
            </w:r>
          </w:p>
        </w:tc>
        <w:tc>
          <w:tcPr>
            <w:tcW w:w="10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7,243</w:t>
            </w:r>
          </w:p>
        </w:tc>
        <w:tc>
          <w:tcPr>
            <w:tcW w:w="10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9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2"/>
                <w:szCs w:val="12"/>
                <w:color w:val="auto"/>
                <w:w w:val="95"/>
              </w:rPr>
              <w:t>(3)</w:t>
            </w:r>
          </w:p>
        </w:tc>
        <w:tc>
          <w:tcPr>
            <w:tcW w:w="10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(197)</w:t>
            </w:r>
          </w:p>
        </w:tc>
        <w:tc>
          <w:tcPr>
            <w:tcW w:w="1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tbl>
      <w:tblPr>
        <w:tblLayout w:type="fixed"/>
        <w:tblInd w:w="340" w:type="dxa"/>
        <w:tblCellMar>
          <w:top w:w="0" w:type="dxa"/>
          <w:left w:w="0" w:type="dxa"/>
          <w:bottom w:w="0" w:type="dxa"/>
          <w:right w:w="0" w:type="dxa"/>
        </w:tblCellMar>
      </w:tblPr>
      <w:tr>
        <w:trPr>
          <w:trHeight w:val="156"/>
        </w:trPr>
        <w:tc>
          <w:tcPr>
            <w:tcW w:w="37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ind w:left="400"/>
              <w:spacing w:after="0"/>
              <w:rPr>
                <w:sz w:val="20"/>
                <w:szCs w:val="20"/>
                <w:color w:val="auto"/>
              </w:rPr>
            </w:pPr>
            <w:r>
              <w:rPr>
                <w:rFonts w:ascii="Arial" w:cs="Arial" w:eastAsia="Arial" w:hAnsi="Arial"/>
                <w:sz w:val="12"/>
                <w:szCs w:val="12"/>
                <w:b w:val="1"/>
                <w:bCs w:val="1"/>
                <w:color w:val="auto"/>
                <w:w w:val="99"/>
              </w:rPr>
              <w:t>December 31, 2020</w:t>
            </w:r>
          </w:p>
        </w:tc>
        <w:tc>
          <w:tcPr>
            <w:tcW w:w="4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780" w:type="dxa"/>
            <w:vAlign w:val="bottom"/>
          </w:tcPr>
          <w:p>
            <w:pPr>
              <w:spacing w:after="0"/>
              <w:rPr>
                <w:sz w:val="9"/>
                <w:szCs w:val="9"/>
                <w:color w:val="auto"/>
              </w:rPr>
            </w:pPr>
          </w:p>
        </w:tc>
        <w:tc>
          <w:tcPr>
            <w:tcW w:w="1500" w:type="dxa"/>
            <w:vAlign w:val="bottom"/>
            <w:gridSpan w:val="3"/>
            <w:vMerge w:val="restart"/>
          </w:tcPr>
          <w:p>
            <w:pPr>
              <w:ind w:left="340"/>
              <w:spacing w:after="0"/>
              <w:rPr>
                <w:sz w:val="20"/>
                <w:szCs w:val="20"/>
                <w:color w:val="auto"/>
              </w:rPr>
            </w:pPr>
            <w:r>
              <w:rPr>
                <w:rFonts w:ascii="Arial" w:cs="Arial" w:eastAsia="Arial" w:hAnsi="Arial"/>
                <w:sz w:val="12"/>
                <w:szCs w:val="12"/>
                <w:b w:val="1"/>
                <w:bCs w:val="1"/>
                <w:color w:val="auto"/>
                <w:w w:val="95"/>
              </w:rPr>
              <w:t>Number of securities</w:t>
            </w:r>
          </w:p>
        </w:tc>
        <w:tc>
          <w:tcPr>
            <w:tcW w:w="460" w:type="dxa"/>
            <w:vAlign w:val="bottom"/>
          </w:tcPr>
          <w:p>
            <w:pPr>
              <w:spacing w:after="0"/>
              <w:rPr>
                <w:sz w:val="9"/>
                <w:szCs w:val="9"/>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Amortized Cost</w:t>
            </w:r>
          </w:p>
        </w:tc>
        <w:tc>
          <w:tcPr>
            <w:tcW w:w="460" w:type="dxa"/>
            <w:vAlign w:val="bottom"/>
          </w:tcPr>
          <w:p>
            <w:pPr>
              <w:spacing w:after="0"/>
              <w:rPr>
                <w:sz w:val="9"/>
                <w:szCs w:val="9"/>
                <w:color w:val="auto"/>
              </w:rPr>
            </w:pPr>
          </w:p>
        </w:tc>
        <w:tc>
          <w:tcPr>
            <w:tcW w:w="1040" w:type="dxa"/>
            <w:vAlign w:val="bottom"/>
            <w:gridSpan w:val="2"/>
          </w:tcPr>
          <w:p>
            <w:pPr>
              <w:ind w:left="40"/>
              <w:spacing w:after="0" w:line="107" w:lineRule="exact"/>
              <w:rPr>
                <w:sz w:val="20"/>
                <w:szCs w:val="20"/>
                <w:color w:val="auto"/>
              </w:rPr>
            </w:pPr>
            <w:r>
              <w:rPr>
                <w:rFonts w:ascii="Arial" w:cs="Arial" w:eastAsia="Arial" w:hAnsi="Arial"/>
                <w:sz w:val="12"/>
                <w:szCs w:val="12"/>
                <w:b w:val="1"/>
                <w:bCs w:val="1"/>
                <w:color w:val="auto"/>
              </w:rPr>
              <w:t>Allowance for</w:t>
            </w:r>
          </w:p>
        </w:tc>
        <w:tc>
          <w:tcPr>
            <w:tcW w:w="400" w:type="dxa"/>
            <w:vAlign w:val="bottom"/>
          </w:tcPr>
          <w:p>
            <w:pPr>
              <w:spacing w:after="0"/>
              <w:rPr>
                <w:sz w:val="9"/>
                <w:szCs w:val="9"/>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Unrealized Losses</w:t>
            </w:r>
          </w:p>
        </w:tc>
        <w:tc>
          <w:tcPr>
            <w:tcW w:w="5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51"/>
        </w:trPr>
        <w:tc>
          <w:tcPr>
            <w:tcW w:w="3780" w:type="dxa"/>
            <w:vAlign w:val="bottom"/>
          </w:tcPr>
          <w:p>
            <w:pPr>
              <w:spacing w:after="0"/>
              <w:rPr>
                <w:sz w:val="13"/>
                <w:szCs w:val="13"/>
                <w:color w:val="auto"/>
              </w:rPr>
            </w:pPr>
          </w:p>
        </w:tc>
        <w:tc>
          <w:tcPr>
            <w:tcW w:w="1500" w:type="dxa"/>
            <w:vAlign w:val="bottom"/>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500" w:type="dxa"/>
            <w:vAlign w:val="bottom"/>
            <w:gridSpan w:val="3"/>
          </w:tcPr>
          <w:p>
            <w:pPr>
              <w:ind w:left="100"/>
              <w:spacing w:after="0"/>
              <w:rPr>
                <w:sz w:val="20"/>
                <w:szCs w:val="20"/>
                <w:color w:val="auto"/>
              </w:rPr>
            </w:pPr>
            <w:r>
              <w:rPr>
                <w:rFonts w:ascii="Arial" w:cs="Arial" w:eastAsia="Arial" w:hAnsi="Arial"/>
                <w:sz w:val="12"/>
                <w:szCs w:val="12"/>
                <w:b w:val="1"/>
                <w:bCs w:val="1"/>
                <w:color w:val="auto"/>
              </w:rPr>
              <w:t>Expected Credit Losses</w:t>
            </w:r>
          </w:p>
        </w:tc>
        <w:tc>
          <w:tcPr>
            <w:tcW w:w="4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780" w:type="dxa"/>
            <w:vAlign w:val="bottom"/>
          </w:tcPr>
          <w:p>
            <w:pPr>
              <w:ind w:left="340"/>
              <w:spacing w:after="0" w:line="129" w:lineRule="exact"/>
              <w:rPr>
                <w:sz w:val="20"/>
                <w:szCs w:val="20"/>
                <w:color w:val="auto"/>
              </w:rPr>
            </w:pPr>
            <w:r>
              <w:rPr>
                <w:rFonts w:ascii="Arial" w:cs="Arial" w:eastAsia="Arial" w:hAnsi="Arial"/>
                <w:sz w:val="12"/>
                <w:szCs w:val="12"/>
                <w:color w:val="auto"/>
              </w:rPr>
              <w:t>Fixed maturity securities, available for sale:</w:t>
            </w:r>
          </w:p>
        </w:tc>
        <w:tc>
          <w:tcPr>
            <w:tcW w:w="8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780" w:type="dxa"/>
            <w:vAlign w:val="bottom"/>
            <w:shd w:val="clear" w:color="auto" w:fill="CCEEFF"/>
          </w:tcPr>
          <w:p>
            <w:pPr>
              <w:ind w:left="540"/>
              <w:spacing w:after="0"/>
              <w:rPr>
                <w:sz w:val="20"/>
                <w:szCs w:val="20"/>
                <w:color w:val="auto"/>
              </w:rPr>
            </w:pPr>
            <w:r>
              <w:rPr>
                <w:rFonts w:ascii="Arial" w:cs="Arial" w:eastAsia="Arial" w:hAnsi="Arial"/>
                <w:sz w:val="12"/>
                <w:szCs w:val="12"/>
                <w:color w:val="auto"/>
              </w:rPr>
              <w:t>United States Government full faith and credit</w:t>
            </w:r>
          </w:p>
        </w:tc>
        <w:tc>
          <w:tcPr>
            <w:tcW w:w="8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780" w:type="dxa"/>
            <w:vAlign w:val="bottom"/>
          </w:tcPr>
          <w:p>
            <w:pPr>
              <w:ind w:left="540"/>
              <w:spacing w:after="0"/>
              <w:rPr>
                <w:sz w:val="20"/>
                <w:szCs w:val="20"/>
                <w:color w:val="auto"/>
              </w:rPr>
            </w:pPr>
            <w:r>
              <w:rPr>
                <w:rFonts w:ascii="Arial" w:cs="Arial" w:eastAsia="Arial" w:hAnsi="Arial"/>
                <w:sz w:val="12"/>
                <w:szCs w:val="12"/>
                <w:color w:val="auto"/>
              </w:rPr>
              <w:t>United States Government sponsored agencies</w:t>
            </w:r>
          </w:p>
        </w:tc>
        <w:tc>
          <w:tcPr>
            <w:tcW w:w="8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1120" w:type="dxa"/>
            <w:vAlign w:val="bottom"/>
            <w:gridSpan w:val="2"/>
          </w:tcPr>
          <w:p>
            <w:pPr>
              <w:ind w:left="84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80" w:type="dxa"/>
            <w:vAlign w:val="bottom"/>
            <w:shd w:val="clear" w:color="auto" w:fill="CCEEFF"/>
          </w:tcPr>
          <w:p>
            <w:pPr>
              <w:ind w:left="540"/>
              <w:spacing w:after="0"/>
              <w:rPr>
                <w:sz w:val="20"/>
                <w:szCs w:val="20"/>
                <w:color w:val="auto"/>
              </w:rPr>
            </w:pPr>
            <w:r>
              <w:rPr>
                <w:rFonts w:ascii="Arial" w:cs="Arial" w:eastAsia="Arial" w:hAnsi="Arial"/>
                <w:sz w:val="12"/>
                <w:szCs w:val="12"/>
                <w:color w:val="auto"/>
              </w:rPr>
              <w:t>United States municipalities, states and territories</w:t>
            </w:r>
          </w:p>
        </w:tc>
        <w:tc>
          <w:tcPr>
            <w:tcW w:w="8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780" w:type="dxa"/>
            <w:vAlign w:val="bottom"/>
          </w:tcPr>
          <w:p>
            <w:pPr>
              <w:ind w:left="340"/>
              <w:spacing w:after="0"/>
              <w:rPr>
                <w:sz w:val="20"/>
                <w:szCs w:val="20"/>
                <w:color w:val="auto"/>
              </w:rPr>
            </w:pPr>
            <w:r>
              <w:rPr>
                <w:rFonts w:ascii="Arial" w:cs="Arial" w:eastAsia="Arial" w:hAnsi="Arial"/>
                <w:sz w:val="12"/>
                <w:szCs w:val="12"/>
                <w:color w:val="auto"/>
              </w:rPr>
              <w:t>Corporate securities:</w:t>
            </w: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80" w:type="dxa"/>
            <w:vAlign w:val="bottom"/>
            <w:shd w:val="clear" w:color="auto" w:fill="CCEEFF"/>
          </w:tcPr>
          <w:p>
            <w:pPr>
              <w:ind w:left="540"/>
              <w:spacing w:after="0"/>
              <w:rPr>
                <w:sz w:val="20"/>
                <w:szCs w:val="20"/>
                <w:color w:val="auto"/>
              </w:rPr>
            </w:pPr>
            <w:r>
              <w:rPr>
                <w:rFonts w:ascii="Arial" w:cs="Arial" w:eastAsia="Arial" w:hAnsi="Arial"/>
                <w:sz w:val="12"/>
                <w:szCs w:val="12"/>
                <w:color w:val="auto"/>
              </w:rPr>
              <w:t>Finance, insurance and real estate</w:t>
            </w:r>
          </w:p>
        </w:tc>
        <w:tc>
          <w:tcPr>
            <w:tcW w:w="8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347</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780" w:type="dxa"/>
            <w:vAlign w:val="bottom"/>
          </w:tcPr>
          <w:p>
            <w:pPr>
              <w:ind w:left="540"/>
              <w:spacing w:after="0"/>
              <w:rPr>
                <w:sz w:val="20"/>
                <w:szCs w:val="20"/>
                <w:color w:val="auto"/>
              </w:rPr>
            </w:pPr>
            <w:r>
              <w:rPr>
                <w:rFonts w:ascii="Arial" w:cs="Arial" w:eastAsia="Arial" w:hAnsi="Arial"/>
                <w:sz w:val="12"/>
                <w:szCs w:val="12"/>
                <w:color w:val="auto"/>
              </w:rPr>
              <w:t>Utilities, energy and related sectors</w:t>
            </w:r>
          </w:p>
        </w:tc>
        <w:tc>
          <w:tcPr>
            <w:tcW w:w="8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185</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80" w:type="dxa"/>
            <w:vAlign w:val="bottom"/>
            <w:shd w:val="clear" w:color="auto" w:fill="CCEEFF"/>
          </w:tcPr>
          <w:p>
            <w:pPr>
              <w:ind w:left="540"/>
              <w:spacing w:after="0"/>
              <w:rPr>
                <w:sz w:val="20"/>
                <w:szCs w:val="20"/>
                <w:color w:val="auto"/>
              </w:rPr>
            </w:pPr>
            <w:r>
              <w:rPr>
                <w:rFonts w:ascii="Arial" w:cs="Arial" w:eastAsia="Arial" w:hAnsi="Arial"/>
                <w:sz w:val="12"/>
                <w:szCs w:val="12"/>
                <w:color w:val="auto"/>
              </w:rPr>
              <w:t>Wholesale/retail trade</w:t>
            </w:r>
          </w:p>
        </w:tc>
        <w:tc>
          <w:tcPr>
            <w:tcW w:w="8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780" w:type="dxa"/>
            <w:vAlign w:val="bottom"/>
          </w:tcPr>
          <w:p>
            <w:pPr>
              <w:ind w:left="540"/>
              <w:spacing w:after="0"/>
              <w:rPr>
                <w:sz w:val="20"/>
                <w:szCs w:val="20"/>
                <w:color w:val="auto"/>
              </w:rPr>
            </w:pPr>
            <w:r>
              <w:rPr>
                <w:rFonts w:ascii="Arial" w:cs="Arial" w:eastAsia="Arial" w:hAnsi="Arial"/>
                <w:sz w:val="12"/>
                <w:szCs w:val="12"/>
                <w:color w:val="auto"/>
              </w:rPr>
              <w:t>Services, media and other</w:t>
            </w:r>
          </w:p>
        </w:tc>
        <w:tc>
          <w:tcPr>
            <w:tcW w:w="8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221</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Hybrid securities</w:t>
            </w:r>
          </w:p>
        </w:tc>
        <w:tc>
          <w:tcPr>
            <w:tcW w:w="8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780" w:type="dxa"/>
            <w:vAlign w:val="bottom"/>
          </w:tcPr>
          <w:p>
            <w:pPr>
              <w:ind w:left="340"/>
              <w:spacing w:after="0"/>
              <w:rPr>
                <w:sz w:val="20"/>
                <w:szCs w:val="20"/>
                <w:color w:val="auto"/>
              </w:rPr>
            </w:pPr>
            <w:r>
              <w:rPr>
                <w:rFonts w:ascii="Arial" w:cs="Arial" w:eastAsia="Arial" w:hAnsi="Arial"/>
                <w:sz w:val="12"/>
                <w:szCs w:val="12"/>
                <w:color w:val="auto"/>
              </w:rPr>
              <w:t>Non-agency residential mortgage backed securities</w:t>
            </w:r>
          </w:p>
        </w:tc>
        <w:tc>
          <w:tcPr>
            <w:tcW w:w="8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29</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ind w:left="780"/>
              <w:spacing w:after="0"/>
              <w:rPr>
                <w:sz w:val="20"/>
                <w:szCs w:val="20"/>
                <w:color w:val="auto"/>
              </w:rPr>
            </w:pPr>
            <w:r>
              <w:rPr>
                <w:rFonts w:ascii="Arial" w:cs="Arial" w:eastAsia="Arial" w:hAnsi="Arial"/>
                <w:sz w:val="12"/>
                <w:szCs w:val="12"/>
                <w:color w:val="auto"/>
                <w:w w:val="95"/>
              </w:rPr>
              <w:t>(1)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Commercial mortgage backed securities</w:t>
            </w:r>
          </w:p>
        </w:tc>
        <w:tc>
          <w:tcPr>
            <w:tcW w:w="8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780" w:type="dxa"/>
            <w:vAlign w:val="bottom"/>
          </w:tcPr>
          <w:p>
            <w:pPr>
              <w:ind w:left="340"/>
              <w:spacing w:after="0"/>
              <w:rPr>
                <w:sz w:val="20"/>
                <w:szCs w:val="20"/>
                <w:color w:val="auto"/>
              </w:rPr>
            </w:pPr>
            <w:r>
              <w:rPr>
                <w:rFonts w:ascii="Arial" w:cs="Arial" w:eastAsia="Arial" w:hAnsi="Arial"/>
                <w:sz w:val="12"/>
                <w:szCs w:val="12"/>
                <w:color w:val="auto"/>
              </w:rPr>
              <w:t>Asset backed securities</w:t>
            </w:r>
          </w:p>
        </w:tc>
        <w:tc>
          <w:tcPr>
            <w:tcW w:w="8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66</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517</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2"/>
                <w:szCs w:val="12"/>
                <w:b w:val="1"/>
                <w:bCs w:val="1"/>
                <w:color w:val="auto"/>
              </w:rPr>
              <w:t>Total fixed maturity available for sale securities</w:t>
            </w:r>
          </w:p>
        </w:tc>
        <w:tc>
          <w:tcPr>
            <w:tcW w:w="8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201</w:t>
            </w:r>
          </w:p>
        </w:tc>
        <w:tc>
          <w:tcPr>
            <w:tcW w:w="1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1,585</w:t>
            </w:r>
          </w:p>
        </w:tc>
        <w:tc>
          <w:tcPr>
            <w:tcW w:w="1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2"/>
                <w:szCs w:val="12"/>
                <w:color w:val="auto"/>
                <w:w w:val="95"/>
              </w:rPr>
              <w:t>(1)</w:t>
            </w:r>
          </w:p>
        </w:tc>
        <w:tc>
          <w:tcPr>
            <w:tcW w:w="1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1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2"/>
        </w:trPr>
        <w:tc>
          <w:tcPr>
            <w:tcW w:w="3780" w:type="dxa"/>
            <w:vAlign w:val="bottom"/>
          </w:tcPr>
          <w:p>
            <w:pPr>
              <w:ind w:left="340"/>
              <w:spacing w:after="0"/>
              <w:rPr>
                <w:sz w:val="20"/>
                <w:szCs w:val="20"/>
                <w:color w:val="auto"/>
              </w:rPr>
            </w:pPr>
            <w:r>
              <w:rPr>
                <w:rFonts w:ascii="Arial" w:cs="Arial" w:eastAsia="Arial" w:hAnsi="Arial"/>
                <w:sz w:val="12"/>
                <w:szCs w:val="12"/>
                <w:color w:val="auto"/>
              </w:rPr>
              <w:t>Equity securities</w:t>
            </w:r>
          </w:p>
        </w:tc>
        <w:tc>
          <w:tcPr>
            <w:tcW w:w="8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1120" w:type="dxa"/>
            <w:vAlign w:val="bottom"/>
            <w:gridSpan w:val="2"/>
          </w:tcPr>
          <w:p>
            <w:pPr>
              <w:ind w:left="84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8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2"/>
                <w:szCs w:val="12"/>
                <w:b w:val="1"/>
                <w:bCs w:val="1"/>
                <w:color w:val="auto"/>
              </w:rPr>
              <w:t>Total investments</w:t>
            </w:r>
          </w:p>
        </w:tc>
        <w:tc>
          <w:tcPr>
            <w:tcW w:w="80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1,601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9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2"/>
                <w:szCs w:val="12"/>
                <w:color w:val="auto"/>
                <w:w w:val="95"/>
              </w:rPr>
              <w:t>(1)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87" w:name="page88"/>
    <w:bookmarkEnd w:id="87"/>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jc w:val="both"/>
        <w:ind w:firstLine="331"/>
        <w:spacing w:after="0" w:line="295" w:lineRule="auto"/>
        <w:rPr>
          <w:sz w:val="20"/>
          <w:szCs w:val="20"/>
          <w:color w:val="auto"/>
        </w:rPr>
      </w:pPr>
      <w:r>
        <w:rPr>
          <w:rFonts w:ascii="Arial" w:cs="Arial" w:eastAsia="Arial" w:hAnsi="Arial"/>
          <w:sz w:val="13"/>
          <w:szCs w:val="13"/>
          <w:color w:val="auto"/>
        </w:rPr>
        <w:t>The gross unrealized loss position on the fixed maturity available-for-sale fixed and equity portfolio was $197 million and $38 million as of September 30, 2021 and December 31, 2020, respectively. Most components of the portfolio exhibited price depreciation caused by higher treasury rates, offset by narrower spreads in certain sectors. The total amortized cost of all securities in an unrealized loss position was $7,243 million and $1,601 million as of September 30, 2021 and December 31, 2020, respectively. The average market value/book value of the investment category with the largest unrealized loss position was 96% for Services, media and other as of September 30, 2021. In aggregate, Services, media and other represented 24% of the total unrealized loss position as of September 30, 2021. The average market value/book value of the investment category with the largest unrealized loss position was 97% for Asset backed securities as of December 31, 2020. In aggregate, Asset backed securities represented 47% of the total unrealized loss position as of December 31, 2020.</w:t>
      </w:r>
    </w:p>
    <w:p>
      <w:pPr>
        <w:spacing w:after="0" w:line="57" w:lineRule="exact"/>
        <w:rPr>
          <w:sz w:val="20"/>
          <w:szCs w:val="20"/>
          <w:color w:val="auto"/>
        </w:rPr>
      </w:pPr>
    </w:p>
    <w:p>
      <w:pPr>
        <w:jc w:val="both"/>
        <w:ind w:firstLine="331"/>
        <w:spacing w:after="0" w:line="266" w:lineRule="auto"/>
        <w:rPr>
          <w:sz w:val="20"/>
          <w:szCs w:val="20"/>
          <w:color w:val="auto"/>
        </w:rPr>
      </w:pPr>
      <w:r>
        <w:rPr>
          <w:rFonts w:ascii="Arial" w:cs="Arial" w:eastAsia="Arial" w:hAnsi="Arial"/>
          <w:sz w:val="15"/>
          <w:szCs w:val="15"/>
          <w:color w:val="auto"/>
        </w:rPr>
        <w:t>The amortized cost and fair value of fixed maturity available for sale securities under watch list analysis and the number of months in a loss position with investment grade securities (NRSRO rating of BBB/Baa or higher) as of September 30, 2021 and December 31, 2020, were as follows (dollars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54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87"/>
              </w:rPr>
              <w:t>September 30, 2021</w:t>
            </w: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540" w:type="dxa"/>
            <w:vAlign w:val="bottom"/>
          </w:tcPr>
          <w:p>
            <w:pPr>
              <w:spacing w:after="0"/>
              <w:rPr>
                <w:sz w:val="9"/>
                <w:szCs w:val="9"/>
                <w:color w:val="auto"/>
              </w:rPr>
            </w:pPr>
          </w:p>
        </w:tc>
        <w:tc>
          <w:tcPr>
            <w:tcW w:w="13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Number of securities</w:t>
            </w:r>
          </w:p>
        </w:tc>
        <w:tc>
          <w:tcPr>
            <w:tcW w:w="140" w:type="dxa"/>
            <w:vAlign w:val="bottom"/>
          </w:tcPr>
          <w:p>
            <w:pPr>
              <w:spacing w:after="0"/>
              <w:rPr>
                <w:sz w:val="9"/>
                <w:szCs w:val="9"/>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Amortized Cost</w:t>
            </w:r>
          </w:p>
        </w:tc>
        <w:tc>
          <w:tcPr>
            <w:tcW w:w="100" w:type="dxa"/>
            <w:vAlign w:val="bottom"/>
          </w:tcPr>
          <w:p>
            <w:pPr>
              <w:spacing w:after="0"/>
              <w:rPr>
                <w:sz w:val="9"/>
                <w:szCs w:val="9"/>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4"/>
              </w:rPr>
              <w:t>Fair Value</w:t>
            </w:r>
          </w:p>
        </w:tc>
        <w:tc>
          <w:tcPr>
            <w:tcW w:w="80" w:type="dxa"/>
            <w:vAlign w:val="bottom"/>
          </w:tcPr>
          <w:p>
            <w:pPr>
              <w:spacing w:after="0"/>
              <w:rPr>
                <w:sz w:val="9"/>
                <w:szCs w:val="9"/>
                <w:color w:val="auto"/>
              </w:rPr>
            </w:pPr>
          </w:p>
        </w:tc>
        <w:tc>
          <w:tcPr>
            <w:tcW w:w="128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Allowance for Credit</w:t>
            </w:r>
          </w:p>
        </w:tc>
        <w:tc>
          <w:tcPr>
            <w:tcW w:w="12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85"/>
              </w:rPr>
              <w:t>Gross Unrealized Losses</w:t>
            </w:r>
          </w:p>
        </w:tc>
        <w:tc>
          <w:tcPr>
            <w:tcW w:w="0" w:type="dxa"/>
            <w:vAlign w:val="bottom"/>
          </w:tcPr>
          <w:p>
            <w:pPr>
              <w:spacing w:after="0"/>
              <w:rPr>
                <w:sz w:val="1"/>
                <w:szCs w:val="1"/>
                <w:color w:val="auto"/>
              </w:rPr>
            </w:pPr>
          </w:p>
        </w:tc>
      </w:tr>
      <w:tr>
        <w:trPr>
          <w:trHeight w:val="153"/>
        </w:trPr>
        <w:tc>
          <w:tcPr>
            <w:tcW w:w="454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ind w:left="420"/>
              <w:spacing w:after="0"/>
              <w:rPr>
                <w:sz w:val="20"/>
                <w:szCs w:val="20"/>
                <w:color w:val="auto"/>
              </w:rPr>
            </w:pPr>
            <w:r>
              <w:rPr>
                <w:rFonts w:ascii="Arial" w:cs="Arial" w:eastAsia="Arial" w:hAnsi="Arial"/>
                <w:sz w:val="12"/>
                <w:szCs w:val="12"/>
                <w:b w:val="1"/>
                <w:bCs w:val="1"/>
                <w:color w:val="auto"/>
              </w:rPr>
              <w:t>Loss</w:t>
            </w:r>
          </w:p>
        </w:tc>
        <w:tc>
          <w:tcPr>
            <w:tcW w:w="1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454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2"/>
                <w:szCs w:val="12"/>
                <w:b w:val="1"/>
                <w:bCs w:val="1"/>
                <w:color w:val="auto"/>
              </w:rPr>
              <w:t>Investment grade:</w:t>
            </w:r>
          </w:p>
        </w:tc>
        <w:tc>
          <w:tcPr>
            <w:tcW w:w="12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4540" w:type="dxa"/>
            <w:vAlign w:val="bottom"/>
          </w:tcPr>
          <w:p>
            <w:pPr>
              <w:ind w:left="20"/>
              <w:spacing w:after="0"/>
              <w:rPr>
                <w:sz w:val="20"/>
                <w:szCs w:val="20"/>
                <w:color w:val="auto"/>
              </w:rPr>
            </w:pPr>
            <w:r>
              <w:rPr>
                <w:rFonts w:ascii="Arial" w:cs="Arial" w:eastAsia="Arial" w:hAnsi="Arial"/>
                <w:sz w:val="12"/>
                <w:szCs w:val="12"/>
                <w:color w:val="auto"/>
              </w:rPr>
              <w:t>Less than six months</w:t>
            </w:r>
          </w:p>
        </w:tc>
        <w:tc>
          <w:tcPr>
            <w:tcW w:w="126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3"/>
                <w:szCs w:val="13"/>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17</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280" w:type="dxa"/>
            <w:vAlign w:val="bottom"/>
            <w:gridSpan w:val="2"/>
          </w:tcPr>
          <w:p>
            <w:pPr>
              <w:ind w:left="1000"/>
              <w:spacing w:after="0"/>
              <w:rPr>
                <w:sz w:val="20"/>
                <w:szCs w:val="20"/>
                <w:color w:val="auto"/>
              </w:rPr>
            </w:pPr>
            <w:r>
              <w:rPr>
                <w:rFonts w:ascii="Arial" w:cs="Arial" w:eastAsia="Arial" w:hAnsi="Arial"/>
                <w:sz w:val="12"/>
                <w:szCs w:val="12"/>
                <w:color w:val="auto"/>
              </w:rPr>
              <w:t>—</w:t>
            </w:r>
          </w:p>
        </w:tc>
        <w:tc>
          <w:tcPr>
            <w:tcW w:w="560" w:type="dxa"/>
            <w:vAlign w:val="bottom"/>
          </w:tcPr>
          <w:p>
            <w:pPr>
              <w:ind w:left="2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7"/>
        </w:trPr>
        <w:tc>
          <w:tcPr>
            <w:tcW w:w="4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Six months or more and less than twelve months</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52"/>
        </w:trPr>
        <w:tc>
          <w:tcPr>
            <w:tcW w:w="4540" w:type="dxa"/>
            <w:vAlign w:val="bottom"/>
          </w:tcPr>
          <w:p>
            <w:pPr>
              <w:ind w:left="20"/>
              <w:spacing w:after="0"/>
              <w:rPr>
                <w:sz w:val="20"/>
                <w:szCs w:val="20"/>
                <w:color w:val="auto"/>
              </w:rPr>
            </w:pPr>
            <w:r>
              <w:rPr>
                <w:rFonts w:ascii="Arial" w:cs="Arial" w:eastAsia="Arial" w:hAnsi="Arial"/>
                <w:sz w:val="12"/>
                <w:szCs w:val="12"/>
                <w:color w:val="auto"/>
              </w:rPr>
              <w:t>Twelve months or greater</w:t>
            </w:r>
          </w:p>
        </w:tc>
        <w:tc>
          <w:tcPr>
            <w:tcW w:w="13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80" w:type="dxa"/>
            <w:vAlign w:val="bottom"/>
            <w:gridSpan w:val="2"/>
          </w:tcPr>
          <w:p>
            <w:pPr>
              <w:ind w:left="100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45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 investment grade</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150</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144</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1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5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Below investment grade:</w:t>
            </w: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540" w:type="dxa"/>
            <w:vAlign w:val="bottom"/>
          </w:tcPr>
          <w:p>
            <w:pPr>
              <w:ind w:left="20"/>
              <w:spacing w:after="0"/>
              <w:rPr>
                <w:sz w:val="20"/>
                <w:szCs w:val="20"/>
                <w:color w:val="auto"/>
              </w:rPr>
            </w:pPr>
            <w:r>
              <w:rPr>
                <w:rFonts w:ascii="Arial" w:cs="Arial" w:eastAsia="Arial" w:hAnsi="Arial"/>
                <w:sz w:val="12"/>
                <w:szCs w:val="12"/>
                <w:color w:val="auto"/>
              </w:rPr>
              <w:t>Less than six months</w:t>
            </w:r>
          </w:p>
        </w:tc>
        <w:tc>
          <w:tcPr>
            <w:tcW w:w="13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80" w:type="dxa"/>
            <w:vAlign w:val="bottom"/>
            <w:gridSpan w:val="2"/>
          </w:tcPr>
          <w:p>
            <w:pPr>
              <w:ind w:left="100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7"/>
        </w:trPr>
        <w:tc>
          <w:tcPr>
            <w:tcW w:w="4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Six months or more and less than twelve months</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52"/>
        </w:trPr>
        <w:tc>
          <w:tcPr>
            <w:tcW w:w="4540" w:type="dxa"/>
            <w:vAlign w:val="bottom"/>
          </w:tcPr>
          <w:p>
            <w:pPr>
              <w:ind w:left="20"/>
              <w:spacing w:after="0"/>
              <w:rPr>
                <w:sz w:val="20"/>
                <w:szCs w:val="20"/>
                <w:color w:val="auto"/>
              </w:rPr>
            </w:pPr>
            <w:r>
              <w:rPr>
                <w:rFonts w:ascii="Arial" w:cs="Arial" w:eastAsia="Arial" w:hAnsi="Arial"/>
                <w:sz w:val="12"/>
                <w:szCs w:val="12"/>
                <w:color w:val="auto"/>
              </w:rPr>
              <w:t>Twelve months or greater</w:t>
            </w:r>
          </w:p>
        </w:tc>
        <w:tc>
          <w:tcPr>
            <w:tcW w:w="126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ind w:left="100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8"/>
        </w:trPr>
        <w:tc>
          <w:tcPr>
            <w:tcW w:w="45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 below investment grade</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58</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1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46"/>
        </w:trPr>
        <w:tc>
          <w:tcPr>
            <w:tcW w:w="4540" w:type="dxa"/>
            <w:vAlign w:val="bottom"/>
          </w:tcPr>
          <w:p>
            <w:pPr>
              <w:ind w:left="20"/>
              <w:spacing w:after="0"/>
              <w:rPr>
                <w:sz w:val="20"/>
                <w:szCs w:val="20"/>
                <w:color w:val="auto"/>
              </w:rPr>
            </w:pPr>
            <w:r>
              <w:rPr>
                <w:rFonts w:ascii="Arial" w:cs="Arial" w:eastAsia="Arial" w:hAnsi="Arial"/>
                <w:sz w:val="12"/>
                <w:szCs w:val="12"/>
                <w:b w:val="1"/>
                <w:bCs w:val="1"/>
                <w:color w:val="auto"/>
              </w:rPr>
              <w:t>Total</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2"/>
                <w:szCs w:val="12"/>
                <w:color w:val="auto"/>
              </w:rPr>
            </w:pPr>
          </w:p>
        </w:tc>
        <w:tc>
          <w:tcPr>
            <w:tcW w:w="14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208</w:t>
            </w: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195</w:t>
            </w: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180" w:type="dxa"/>
            <w:vAlign w:val="bottom"/>
            <w:tcBorders>
              <w:bottom w:val="single" w:sz="8" w:color="auto"/>
            </w:tcBorders>
          </w:tcPr>
          <w:p>
            <w:pPr>
              <w:ind w:left="10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5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54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86"/>
              </w:rPr>
              <w:t>December 31, 2020</w:t>
            </w: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4540" w:type="dxa"/>
            <w:vAlign w:val="bottom"/>
            <w:shd w:val="clear" w:color="auto" w:fill="CCEEFF"/>
          </w:tcPr>
          <w:p>
            <w:pPr>
              <w:spacing w:after="0"/>
              <w:rPr>
                <w:sz w:val="8"/>
                <w:szCs w:val="8"/>
                <w:color w:val="auto"/>
              </w:rPr>
            </w:pPr>
          </w:p>
        </w:tc>
        <w:tc>
          <w:tcPr>
            <w:tcW w:w="1380" w:type="dxa"/>
            <w:vAlign w:val="bottom"/>
            <w:gridSpan w:val="2"/>
            <w:vMerge w:val="restart"/>
            <w:shd w:val="clear" w:color="auto" w:fill="CCEEFF"/>
          </w:tcPr>
          <w:p>
            <w:pPr>
              <w:ind w:left="120"/>
              <w:spacing w:after="0"/>
              <w:rPr>
                <w:sz w:val="20"/>
                <w:szCs w:val="20"/>
                <w:color w:val="auto"/>
              </w:rPr>
            </w:pPr>
            <w:r>
              <w:rPr>
                <w:rFonts w:ascii="Arial" w:cs="Arial" w:eastAsia="Arial" w:hAnsi="Arial"/>
                <w:sz w:val="12"/>
                <w:szCs w:val="12"/>
                <w:b w:val="1"/>
                <w:bCs w:val="1"/>
                <w:color w:val="auto"/>
              </w:rPr>
              <w:t>Number of securities</w:t>
            </w:r>
          </w:p>
        </w:tc>
        <w:tc>
          <w:tcPr>
            <w:tcW w:w="140" w:type="dxa"/>
            <w:vAlign w:val="bottom"/>
            <w:shd w:val="clear" w:color="auto" w:fill="CCEEFF"/>
          </w:tcPr>
          <w:p>
            <w:pPr>
              <w:spacing w:after="0"/>
              <w:rPr>
                <w:sz w:val="8"/>
                <w:szCs w:val="8"/>
                <w:color w:val="auto"/>
              </w:rPr>
            </w:pPr>
          </w:p>
        </w:tc>
        <w:tc>
          <w:tcPr>
            <w:tcW w:w="1220" w:type="dxa"/>
            <w:vAlign w:val="bottom"/>
            <w:gridSpan w:val="2"/>
            <w:vMerge w:val="restart"/>
            <w:shd w:val="clear" w:color="auto" w:fill="CCEEFF"/>
          </w:tcPr>
          <w:p>
            <w:pPr>
              <w:ind w:left="80"/>
              <w:spacing w:after="0"/>
              <w:rPr>
                <w:sz w:val="20"/>
                <w:szCs w:val="20"/>
                <w:color w:val="auto"/>
              </w:rPr>
            </w:pPr>
            <w:r>
              <w:rPr>
                <w:rFonts w:ascii="Arial" w:cs="Arial" w:eastAsia="Arial" w:hAnsi="Arial"/>
                <w:sz w:val="12"/>
                <w:szCs w:val="12"/>
                <w:b w:val="1"/>
                <w:bCs w:val="1"/>
                <w:color w:val="auto"/>
              </w:rPr>
              <w:t>Amortized Cost</w:t>
            </w:r>
          </w:p>
        </w:tc>
        <w:tc>
          <w:tcPr>
            <w:tcW w:w="120" w:type="dxa"/>
            <w:vAlign w:val="bottom"/>
            <w:shd w:val="clear" w:color="auto" w:fill="CCEEFF"/>
          </w:tcPr>
          <w:p>
            <w:pPr>
              <w:spacing w:after="0"/>
              <w:rPr>
                <w:sz w:val="8"/>
                <w:szCs w:val="8"/>
                <w:color w:val="auto"/>
              </w:rPr>
            </w:pPr>
          </w:p>
        </w:tc>
        <w:tc>
          <w:tcPr>
            <w:tcW w:w="126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2"/>
                <w:szCs w:val="12"/>
                <w:b w:val="1"/>
                <w:bCs w:val="1"/>
                <w:color w:val="auto"/>
                <w:w w:val="94"/>
              </w:rPr>
              <w:t>Fair Value</w:t>
            </w:r>
          </w:p>
        </w:tc>
        <w:tc>
          <w:tcPr>
            <w:tcW w:w="80" w:type="dxa"/>
            <w:vAlign w:val="bottom"/>
            <w:shd w:val="clear" w:color="auto" w:fill="CCEEFF"/>
          </w:tcPr>
          <w:p>
            <w:pPr>
              <w:spacing w:after="0"/>
              <w:rPr>
                <w:sz w:val="8"/>
                <w:szCs w:val="8"/>
                <w:color w:val="auto"/>
              </w:rPr>
            </w:pPr>
          </w:p>
        </w:tc>
        <w:tc>
          <w:tcPr>
            <w:tcW w:w="1280" w:type="dxa"/>
            <w:vAlign w:val="bottom"/>
            <w:gridSpan w:val="2"/>
            <w:shd w:val="clear" w:color="auto" w:fill="CCEEFF"/>
          </w:tcPr>
          <w:p>
            <w:pPr>
              <w:ind w:left="20"/>
              <w:spacing w:after="0" w:line="103" w:lineRule="exact"/>
              <w:rPr>
                <w:sz w:val="20"/>
                <w:szCs w:val="20"/>
                <w:color w:val="auto"/>
              </w:rPr>
            </w:pPr>
            <w:r>
              <w:rPr>
                <w:rFonts w:ascii="Arial" w:cs="Arial" w:eastAsia="Arial" w:hAnsi="Arial"/>
                <w:sz w:val="11"/>
                <w:szCs w:val="11"/>
                <w:b w:val="1"/>
                <w:bCs w:val="1"/>
                <w:color w:val="auto"/>
              </w:rPr>
              <w:t>Allowance for Credit</w:t>
            </w:r>
          </w:p>
        </w:tc>
        <w:tc>
          <w:tcPr>
            <w:tcW w:w="126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b w:val="1"/>
                <w:bCs w:val="1"/>
                <w:color w:val="auto"/>
                <w:w w:val="85"/>
              </w:rPr>
              <w:t>Gross Unrealized Losses</w:t>
            </w:r>
          </w:p>
        </w:tc>
        <w:tc>
          <w:tcPr>
            <w:tcW w:w="0" w:type="dxa"/>
            <w:vAlign w:val="bottom"/>
          </w:tcPr>
          <w:p>
            <w:pPr>
              <w:spacing w:after="0"/>
              <w:rPr>
                <w:sz w:val="1"/>
                <w:szCs w:val="1"/>
                <w:color w:val="auto"/>
              </w:rPr>
            </w:pPr>
          </w:p>
        </w:tc>
      </w:tr>
      <w:tr>
        <w:trPr>
          <w:trHeight w:val="155"/>
        </w:trPr>
        <w:tc>
          <w:tcPr>
            <w:tcW w:w="4540" w:type="dxa"/>
            <w:vAlign w:val="bottom"/>
            <w:shd w:val="clear" w:color="auto" w:fill="CCEEFF"/>
          </w:tcPr>
          <w:p>
            <w:pPr>
              <w:spacing w:after="0"/>
              <w:rPr>
                <w:sz w:val="13"/>
                <w:szCs w:val="13"/>
                <w:color w:val="auto"/>
              </w:rPr>
            </w:pPr>
          </w:p>
        </w:tc>
        <w:tc>
          <w:tcPr>
            <w:tcW w:w="13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2"/>
                <w:szCs w:val="12"/>
                <w:b w:val="1"/>
                <w:bCs w:val="1"/>
                <w:color w:val="auto"/>
              </w:rPr>
              <w:t>Loss</w:t>
            </w:r>
          </w:p>
        </w:tc>
        <w:tc>
          <w:tcPr>
            <w:tcW w:w="12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5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Investment grade:</w:t>
            </w:r>
          </w:p>
        </w:tc>
        <w:tc>
          <w:tcPr>
            <w:tcW w:w="12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Less than six months</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80" w:type="dxa"/>
            <w:vAlign w:val="bottom"/>
            <w:shd w:val="clear" w:color="auto" w:fill="CCEEFF"/>
          </w:tcPr>
          <w:p>
            <w:pPr>
              <w:ind w:left="1020"/>
              <w:spacing w:after="0"/>
              <w:rPr>
                <w:sz w:val="20"/>
                <w:szCs w:val="20"/>
                <w:color w:val="auto"/>
              </w:rPr>
            </w:pPr>
            <w:r>
              <w:rPr>
                <w:rFonts w:ascii="Arial" w:cs="Arial" w:eastAsia="Arial" w:hAnsi="Arial"/>
                <w:sz w:val="12"/>
                <w:szCs w:val="12"/>
                <w:color w:val="auto"/>
                <w:w w:val="95"/>
              </w:rPr>
              <w:t>(6)</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ind w:left="520"/>
              <w:spacing w:after="0"/>
              <w:rPr>
                <w:sz w:val="20"/>
                <w:szCs w:val="20"/>
                <w:color w:val="auto"/>
              </w:rPr>
            </w:pPr>
            <w:r>
              <w:rPr>
                <w:rFonts w:ascii="Arial" w:cs="Arial" w:eastAsia="Arial" w:hAnsi="Arial"/>
                <w:sz w:val="12"/>
                <w:szCs w:val="12"/>
                <w:color w:val="auto"/>
                <w:w w:val="95"/>
              </w:rPr>
              <w:t>(1)</w:t>
            </w:r>
          </w:p>
        </w:tc>
        <w:tc>
          <w:tcPr>
            <w:tcW w:w="0" w:type="dxa"/>
            <w:vAlign w:val="bottom"/>
          </w:tcPr>
          <w:p>
            <w:pPr>
              <w:spacing w:after="0"/>
              <w:rPr>
                <w:sz w:val="1"/>
                <w:szCs w:val="1"/>
                <w:color w:val="auto"/>
              </w:rPr>
            </w:pPr>
          </w:p>
        </w:tc>
      </w:tr>
      <w:tr>
        <w:trPr>
          <w:trHeight w:val="152"/>
        </w:trPr>
        <w:tc>
          <w:tcPr>
            <w:tcW w:w="4540" w:type="dxa"/>
            <w:vAlign w:val="bottom"/>
          </w:tcPr>
          <w:p>
            <w:pPr>
              <w:ind w:left="20"/>
              <w:spacing w:after="0"/>
              <w:rPr>
                <w:sz w:val="20"/>
                <w:szCs w:val="20"/>
                <w:color w:val="auto"/>
              </w:rPr>
            </w:pPr>
            <w:r>
              <w:rPr>
                <w:rFonts w:ascii="Arial" w:cs="Arial" w:eastAsia="Arial" w:hAnsi="Arial"/>
                <w:sz w:val="12"/>
                <w:szCs w:val="12"/>
                <w:color w:val="auto"/>
              </w:rPr>
              <w:t>Six months or more and less than twelve months</w:t>
            </w:r>
          </w:p>
        </w:tc>
        <w:tc>
          <w:tcPr>
            <w:tcW w:w="13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80" w:type="dxa"/>
            <w:vAlign w:val="bottom"/>
            <w:gridSpan w:val="2"/>
          </w:tcPr>
          <w:p>
            <w:pPr>
              <w:ind w:left="100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3"/>
                <w:szCs w:val="13"/>
                <w:color w:val="auto"/>
              </w:rPr>
            </w:pPr>
          </w:p>
        </w:tc>
        <w:tc>
          <w:tcPr>
            <w:tcW w:w="680" w:type="dxa"/>
            <w:vAlign w:val="bottom"/>
          </w:tcPr>
          <w:p>
            <w:pPr>
              <w:ind w:left="5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7"/>
        </w:trPr>
        <w:tc>
          <w:tcPr>
            <w:tcW w:w="4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Twelve months or greater</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3"/>
                <w:szCs w:val="13"/>
                <w:color w:val="auto"/>
              </w:rPr>
            </w:pPr>
          </w:p>
        </w:tc>
        <w:tc>
          <w:tcPr>
            <w:tcW w:w="680" w:type="dxa"/>
            <w:vAlign w:val="bottom"/>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4540" w:type="dxa"/>
            <w:vAlign w:val="bottom"/>
            <w:tcBorders>
              <w:bottom w:val="single" w:sz="8" w:color="CCEEFF"/>
            </w:tcBorders>
          </w:tcPr>
          <w:p>
            <w:pPr>
              <w:ind w:left="180"/>
              <w:spacing w:after="0" w:line="136" w:lineRule="exact"/>
              <w:rPr>
                <w:sz w:val="20"/>
                <w:szCs w:val="20"/>
                <w:color w:val="auto"/>
              </w:rPr>
            </w:pPr>
            <w:r>
              <w:rPr>
                <w:rFonts w:ascii="Arial" w:cs="Arial" w:eastAsia="Arial" w:hAnsi="Arial"/>
                <w:sz w:val="12"/>
                <w:szCs w:val="12"/>
                <w:color w:val="auto"/>
              </w:rPr>
              <w:t>Total investment grade</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102</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95</w:t>
            </w: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2"/>
                <w:szCs w:val="12"/>
                <w:color w:val="auto"/>
                <w:w w:val="95"/>
              </w:rPr>
              <w:t>(6)</w:t>
            </w:r>
          </w:p>
        </w:tc>
        <w:tc>
          <w:tcPr>
            <w:tcW w:w="1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2"/>
                <w:szCs w:val="12"/>
                <w:color w:val="auto"/>
                <w:w w:val="95"/>
              </w:rPr>
              <w:t>(1)</w:t>
            </w: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540" w:type="dxa"/>
            <w:vAlign w:val="bottom"/>
          </w:tcPr>
          <w:p>
            <w:pPr>
              <w:ind w:left="20"/>
              <w:spacing w:after="0"/>
              <w:rPr>
                <w:sz w:val="20"/>
                <w:szCs w:val="20"/>
                <w:color w:val="auto"/>
              </w:rPr>
            </w:pPr>
            <w:r>
              <w:rPr>
                <w:rFonts w:ascii="Arial" w:cs="Arial" w:eastAsia="Arial" w:hAnsi="Arial"/>
                <w:sz w:val="12"/>
                <w:szCs w:val="12"/>
                <w:b w:val="1"/>
                <w:bCs w:val="1"/>
                <w:color w:val="auto"/>
              </w:rPr>
              <w:t>Below investment grade:</w:t>
            </w: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Less than six months</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3"/>
                <w:szCs w:val="13"/>
                <w:color w:val="auto"/>
              </w:rPr>
            </w:pPr>
          </w:p>
        </w:tc>
        <w:tc>
          <w:tcPr>
            <w:tcW w:w="680" w:type="dxa"/>
            <w:vAlign w:val="bottom"/>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4540" w:type="dxa"/>
            <w:vAlign w:val="bottom"/>
          </w:tcPr>
          <w:p>
            <w:pPr>
              <w:ind w:left="20"/>
              <w:spacing w:after="0"/>
              <w:rPr>
                <w:sz w:val="20"/>
                <w:szCs w:val="20"/>
                <w:color w:val="auto"/>
              </w:rPr>
            </w:pPr>
            <w:r>
              <w:rPr>
                <w:rFonts w:ascii="Arial" w:cs="Arial" w:eastAsia="Arial" w:hAnsi="Arial"/>
                <w:sz w:val="12"/>
                <w:szCs w:val="12"/>
                <w:color w:val="auto"/>
              </w:rPr>
              <w:t>Six months or more and less than twelve months</w:t>
            </w:r>
          </w:p>
        </w:tc>
        <w:tc>
          <w:tcPr>
            <w:tcW w:w="13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80" w:type="dxa"/>
            <w:vAlign w:val="bottom"/>
            <w:gridSpan w:val="2"/>
          </w:tcPr>
          <w:p>
            <w:pPr>
              <w:ind w:left="100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3"/>
                <w:szCs w:val="13"/>
                <w:color w:val="auto"/>
              </w:rPr>
            </w:pPr>
          </w:p>
        </w:tc>
        <w:tc>
          <w:tcPr>
            <w:tcW w:w="680" w:type="dxa"/>
            <w:vAlign w:val="bottom"/>
          </w:tcPr>
          <w:p>
            <w:pPr>
              <w:ind w:left="5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7"/>
        </w:trPr>
        <w:tc>
          <w:tcPr>
            <w:tcW w:w="4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Twelve months or greater</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3"/>
                <w:szCs w:val="13"/>
                <w:color w:val="auto"/>
              </w:rPr>
            </w:pPr>
          </w:p>
        </w:tc>
        <w:tc>
          <w:tcPr>
            <w:tcW w:w="680" w:type="dxa"/>
            <w:vAlign w:val="bottom"/>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4540" w:type="dxa"/>
            <w:vAlign w:val="bottom"/>
            <w:tcBorders>
              <w:bottom w:val="single" w:sz="8" w:color="CCEEFF"/>
            </w:tcBorders>
          </w:tcPr>
          <w:p>
            <w:pPr>
              <w:ind w:left="180"/>
              <w:spacing w:after="0" w:line="136" w:lineRule="exact"/>
              <w:rPr>
                <w:sz w:val="20"/>
                <w:szCs w:val="20"/>
                <w:color w:val="auto"/>
              </w:rPr>
            </w:pPr>
            <w:r>
              <w:rPr>
                <w:rFonts w:ascii="Arial" w:cs="Arial" w:eastAsia="Arial" w:hAnsi="Arial"/>
                <w:sz w:val="12"/>
                <w:szCs w:val="12"/>
                <w:color w:val="auto"/>
              </w:rPr>
              <w:t>Total below investment grade</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102</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2"/>
                <w:szCs w:val="12"/>
                <w:color w:val="auto"/>
                <w:w w:val="95"/>
              </w:rPr>
              <w:t>(6)</w:t>
            </w: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2"/>
                <w:szCs w:val="12"/>
                <w:color w:val="auto"/>
                <w:w w:val="95"/>
              </w:rPr>
              <w:t>(1)</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5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45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8" w:name="page89"/>
    <w:bookmarkEnd w:id="88"/>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Expected Credit Losses and Watch List</w:t>
      </w:r>
    </w:p>
    <w:p>
      <w:pPr>
        <w:spacing w:after="0" w:line="15" w:lineRule="exact"/>
        <w:rPr>
          <w:sz w:val="20"/>
          <w:szCs w:val="20"/>
          <w:color w:val="auto"/>
        </w:rPr>
      </w:pPr>
    </w:p>
    <w:p>
      <w:pPr>
        <w:jc w:val="both"/>
        <w:ind w:firstLine="331"/>
        <w:spacing w:after="0" w:line="298" w:lineRule="auto"/>
        <w:rPr>
          <w:sz w:val="20"/>
          <w:szCs w:val="20"/>
          <w:color w:val="auto"/>
        </w:rPr>
      </w:pPr>
      <w:r>
        <w:rPr>
          <w:rFonts w:ascii="Arial" w:cs="Arial" w:eastAsia="Arial" w:hAnsi="Arial"/>
          <w:sz w:val="13"/>
          <w:szCs w:val="13"/>
          <w:color w:val="auto"/>
        </w:rPr>
        <w:t>F&amp;G prepares a watch list to identify securities to evaluate for expected credit losses. Factors used in preparing the watch list include fair values relative to amortized cost, ratings and negative ratings actions and other factors. Detailed analysis is performed for each security on the watch list to further assess the presence of credit impairment loss indicators and, where present, calculate an allowance for expected credit loss or direct write-down of a security’s amortized cost. At September 30, 2021, our watch list included twelve securities in an unrealized loss position with an amortized cost of $208 million, allowance for expected credit losses of $0 million, unrealized losses of $13 million and a fair value of $195 million.</w:t>
      </w:r>
    </w:p>
    <w:p>
      <w:pPr>
        <w:spacing w:after="0" w:line="53" w:lineRule="exact"/>
        <w:rPr>
          <w:sz w:val="20"/>
          <w:szCs w:val="20"/>
          <w:color w:val="auto"/>
        </w:rPr>
      </w:pPr>
    </w:p>
    <w:p>
      <w:pPr>
        <w:jc w:val="both"/>
        <w:ind w:firstLine="331"/>
        <w:spacing w:after="0" w:line="266" w:lineRule="auto"/>
        <w:rPr>
          <w:sz w:val="20"/>
          <w:szCs w:val="20"/>
          <w:color w:val="auto"/>
        </w:rPr>
      </w:pPr>
      <w:r>
        <w:rPr>
          <w:rFonts w:ascii="Arial" w:cs="Arial" w:eastAsia="Arial" w:hAnsi="Arial"/>
          <w:sz w:val="15"/>
          <w:szCs w:val="15"/>
          <w:color w:val="auto"/>
        </w:rPr>
        <w:t>At December 31, 2020, our watch list included four securities in an unrealized loss position with an amortized cost of $102 million, allowance for expected credit losses of $6 million, unrealized losses of $1 million and a fair value of $95 million.</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watch list excludes structured securities due to a revision of processes as a result of ASU 2016-13.</w:t>
      </w:r>
    </w:p>
    <w:p>
      <w:pPr>
        <w:spacing w:after="0" w:line="104" w:lineRule="exact"/>
        <w:rPr>
          <w:sz w:val="20"/>
          <w:szCs w:val="20"/>
          <w:color w:val="auto"/>
        </w:rPr>
      </w:pPr>
    </w:p>
    <w:p>
      <w:pPr>
        <w:jc w:val="both"/>
        <w:ind w:firstLine="331"/>
        <w:spacing w:after="0" w:line="255" w:lineRule="auto"/>
        <w:rPr>
          <w:sz w:val="20"/>
          <w:szCs w:val="20"/>
          <w:color w:val="auto"/>
        </w:rPr>
      </w:pPr>
      <w:r>
        <w:rPr>
          <w:rFonts w:ascii="Arial" w:cs="Arial" w:eastAsia="Arial" w:hAnsi="Arial"/>
          <w:sz w:val="15"/>
          <w:szCs w:val="15"/>
          <w:color w:val="auto"/>
        </w:rPr>
        <w:t>There were 26 and 36 structured securities with a fair value of $38 million and $65 million to which we had potential credit exposure as of September 30, 2021 and December 31, 2020, respectively. Our analysis of these structured securities, which included cash flow testing, resulted in allowances for expected credit losses of $7 million and $3 million as of September 30, 2021 and December 31, 2020,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Exposure to Sovereign Debt</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Our investment portfolio had no direct exposure to European sovereign debt as of September 30, 2021 and December 31, 2020.</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As of September 30, 2021 and December 31, 2020, the Company also had no material exposure risk related to financial investments in Puerto Rico.</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and investment income</w:t>
      </w:r>
    </w:p>
    <w:p>
      <w:pPr>
        <w:spacing w:after="0" w:line="137" w:lineRule="exact"/>
        <w:rPr>
          <w:sz w:val="20"/>
          <w:szCs w:val="20"/>
          <w:color w:val="auto"/>
        </w:rPr>
      </w:pPr>
    </w:p>
    <w:p>
      <w:pPr>
        <w:jc w:val="both"/>
        <w:ind w:firstLine="331"/>
        <w:spacing w:after="0" w:line="266" w:lineRule="auto"/>
        <w:rPr>
          <w:sz w:val="20"/>
          <w:szCs w:val="20"/>
          <w:color w:val="auto"/>
        </w:rPr>
      </w:pPr>
      <w:r>
        <w:rPr>
          <w:rFonts w:ascii="Arial" w:cs="Arial" w:eastAsia="Arial" w:hAnsi="Arial"/>
          <w:sz w:val="15"/>
          <w:szCs w:val="15"/>
          <w:color w:val="auto"/>
        </w:rPr>
        <w:t>For discussion regarding our net investment income and net investment gains (losses) refer to Note D to the unaudited Condensed Consolidated Financial Statements included in Item 1 of Part I of this Report.</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AFS Securities</w:t>
      </w:r>
    </w:p>
    <w:p>
      <w:pPr>
        <w:spacing w:after="0" w:line="104" w:lineRule="exact"/>
        <w:rPr>
          <w:sz w:val="20"/>
          <w:szCs w:val="20"/>
          <w:color w:val="auto"/>
        </w:rPr>
      </w:pPr>
    </w:p>
    <w:p>
      <w:pPr>
        <w:jc w:val="both"/>
        <w:ind w:firstLine="331"/>
        <w:spacing w:after="0" w:line="255" w:lineRule="auto"/>
        <w:rPr>
          <w:sz w:val="20"/>
          <w:szCs w:val="20"/>
          <w:color w:val="auto"/>
        </w:rPr>
      </w:pPr>
      <w:r>
        <w:rPr>
          <w:rFonts w:ascii="Arial" w:cs="Arial" w:eastAsia="Arial" w:hAnsi="Arial"/>
          <w:sz w:val="15"/>
          <w:szCs w:val="15"/>
          <w:color w:val="auto"/>
        </w:rPr>
        <w:t>For additional information regarding our AFS securities, including the amortized cost, gross unrealized gains (losses), and fair value as well as the amortized cost and fair value of fixed maturity AFS securities by contractual maturities, as of September 30, 2021 and December 31, 2020, refer to Note D to the unaudited Condensed Consolidated Financial Statements included in Item 1 of Part I of this Report.</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Concentrations of Financial Instruments</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There have been no material changes in the concentrations of financial instruments described in our Annual Report on Form 10-K for the year ended December 31, 2020.</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Derivatives</w:t>
      </w:r>
    </w:p>
    <w:p>
      <w:pPr>
        <w:spacing w:after="0" w:line="115" w:lineRule="exact"/>
        <w:rPr>
          <w:sz w:val="20"/>
          <w:szCs w:val="20"/>
          <w:color w:val="auto"/>
        </w:rPr>
      </w:pPr>
    </w:p>
    <w:p>
      <w:pPr>
        <w:jc w:val="both"/>
        <w:ind w:firstLine="331"/>
        <w:spacing w:after="0" w:line="266" w:lineRule="auto"/>
        <w:rPr>
          <w:sz w:val="20"/>
          <w:szCs w:val="20"/>
          <w:color w:val="auto"/>
        </w:rPr>
      </w:pPr>
      <w:r>
        <w:rPr>
          <w:rFonts w:ascii="Arial" w:cs="Arial" w:eastAsia="Arial" w:hAnsi="Arial"/>
          <w:sz w:val="15"/>
          <w:szCs w:val="15"/>
          <w:color w:val="auto"/>
        </w:rPr>
        <w:t>We are exposed to credit loss in the event of nonperformance by our counterparties on call options. We attempt to reduce this credit risk by purchasing such options from large, well-established financial institutions.</w:t>
      </w:r>
    </w:p>
    <w:p>
      <w:pPr>
        <w:spacing w:after="0" w:line="70" w:lineRule="exact"/>
        <w:rPr>
          <w:sz w:val="20"/>
          <w:szCs w:val="20"/>
          <w:color w:val="auto"/>
        </w:rPr>
      </w:pPr>
    </w:p>
    <w:p>
      <w:pPr>
        <w:jc w:val="both"/>
        <w:ind w:right="20" w:firstLine="331"/>
        <w:spacing w:after="0" w:line="266" w:lineRule="auto"/>
        <w:rPr>
          <w:sz w:val="20"/>
          <w:szCs w:val="20"/>
          <w:color w:val="auto"/>
        </w:rPr>
      </w:pPr>
      <w:r>
        <w:rPr>
          <w:rFonts w:ascii="Arial" w:cs="Arial" w:eastAsia="Arial" w:hAnsi="Arial"/>
          <w:sz w:val="15"/>
          <w:szCs w:val="15"/>
          <w:color w:val="auto"/>
        </w:rPr>
        <w:t>We also hold cash and cash equivalents received from counterparties for call option collateral, as well as U.S. Government securities pledged as call option collateral, if our counterparty’s net exposures exceed pre-determined thresholds.</w:t>
      </w:r>
    </w:p>
    <w:p>
      <w:pPr>
        <w:spacing w:after="0" w:line="70" w:lineRule="exact"/>
        <w:rPr>
          <w:sz w:val="20"/>
          <w:szCs w:val="20"/>
          <w:color w:val="auto"/>
        </w:rPr>
      </w:pPr>
    </w:p>
    <w:p>
      <w:pPr>
        <w:jc w:val="both"/>
        <w:ind w:firstLine="331"/>
        <w:spacing w:after="0" w:line="252" w:lineRule="auto"/>
        <w:rPr>
          <w:sz w:val="20"/>
          <w:szCs w:val="20"/>
          <w:color w:val="auto"/>
        </w:rPr>
      </w:pPr>
      <w:r>
        <w:rPr>
          <w:rFonts w:ascii="Arial" w:cs="Arial" w:eastAsia="Arial" w:hAnsi="Arial"/>
          <w:sz w:val="15"/>
          <w:szCs w:val="15"/>
          <w:color w:val="auto"/>
        </w:rPr>
        <w:t>The Company is required to pay counterparties the effective federal funds rate each day for cash collateral posted to F&amp;G for daily mark to market margin changes. The Company reduces the negative interest cost associated with cash collateral posted from counterparties under various ISDA agreements by reinvesting derivative cash collateral. This program permits collateral cash received to be invested in short term Treasury securities, bank deposits and commercial paper rated A1/P1 which are included in Cash and cash equivalents in the accompanying unaudited Condensed Consolidated Balance Sheets.</w:t>
      </w:r>
    </w:p>
    <w:p>
      <w:pPr>
        <w:spacing w:after="0" w:line="92" w:lineRule="exact"/>
        <w:rPr>
          <w:sz w:val="20"/>
          <w:szCs w:val="20"/>
          <w:color w:val="auto"/>
        </w:rPr>
      </w:pPr>
    </w:p>
    <w:p>
      <w:pPr>
        <w:jc w:val="both"/>
        <w:ind w:firstLine="331"/>
        <w:spacing w:after="0" w:line="266" w:lineRule="auto"/>
        <w:rPr>
          <w:sz w:val="20"/>
          <w:szCs w:val="20"/>
          <w:color w:val="auto"/>
        </w:rPr>
      </w:pPr>
      <w:r>
        <w:rPr>
          <w:rFonts w:ascii="Arial" w:cs="Arial" w:eastAsia="Arial" w:hAnsi="Arial"/>
          <w:sz w:val="15"/>
          <w:szCs w:val="15"/>
          <w:color w:val="auto"/>
        </w:rPr>
        <w:t>See Note E to the unaudited Condensed Consolidated Financial Statements included in Item 1 of Part I of this Report for additional information regarding our derivatives and our exposure to credit loss on call options.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9" w:name="page90"/>
    <w:bookmarkEnd w:id="89"/>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Corporate and Other</w:t>
      </w:r>
    </w:p>
    <w:p>
      <w:pPr>
        <w:spacing w:after="0" w:line="115" w:lineRule="exact"/>
        <w:rPr>
          <w:sz w:val="20"/>
          <w:szCs w:val="20"/>
          <w:color w:val="auto"/>
        </w:rPr>
      </w:pPr>
    </w:p>
    <w:p>
      <w:pPr>
        <w:jc w:val="both"/>
        <w:ind w:right="80" w:firstLine="331"/>
        <w:spacing w:after="0" w:line="271" w:lineRule="auto"/>
        <w:rPr>
          <w:sz w:val="20"/>
          <w:szCs w:val="20"/>
          <w:color w:val="auto"/>
        </w:rPr>
      </w:pPr>
      <w:r>
        <w:rPr>
          <w:rFonts w:ascii="Arial" w:cs="Arial" w:eastAsia="Arial" w:hAnsi="Arial"/>
          <w:sz w:val="14"/>
          <w:szCs w:val="14"/>
          <w:color w:val="auto"/>
        </w:rPr>
        <w:t>The Corporate and Other segment consists of the operations of the parent holding company, our various real estate brokerage businesses and our real estate technology subsidiaries. This segment also includes certain other unallocated corporate overhead expenses and eliminations of revenues and expenses between it and our Title segment.</w:t>
      </w:r>
    </w:p>
    <w:p>
      <w:pPr>
        <w:ind w:left="280"/>
        <w:spacing w:after="0"/>
        <w:rPr>
          <w:sz w:val="20"/>
          <w:szCs w:val="20"/>
          <w:color w:val="auto"/>
        </w:rPr>
      </w:pPr>
      <w:r>
        <w:rPr>
          <w:rFonts w:ascii="Arial" w:cs="Arial" w:eastAsia="Arial" w:hAnsi="Arial"/>
          <w:sz w:val="15"/>
          <w:szCs w:val="15"/>
          <w:color w:val="auto"/>
        </w:rPr>
        <w:t>The following table presents the results from operations of our Corporate and Other segment:</w:t>
      </w:r>
    </w:p>
    <w:p>
      <w:pPr>
        <w:spacing w:after="0" w:line="108" w:lineRule="exact"/>
        <w:rPr>
          <w:sz w:val="20"/>
          <w:szCs w:val="20"/>
          <w:color w:val="auto"/>
        </w:rPr>
      </w:pPr>
    </w:p>
    <w:tbl>
      <w:tblPr>
        <w:tblLayout w:type="fixed"/>
        <w:tblInd w:w="200" w:type="dxa"/>
        <w:tblCellMar>
          <w:top w:w="0" w:type="dxa"/>
          <w:left w:w="0" w:type="dxa"/>
          <w:bottom w:w="0" w:type="dxa"/>
          <w:right w:w="0" w:type="dxa"/>
        </w:tblCellMar>
      </w:tblPr>
      <w:tr>
        <w:trPr>
          <w:trHeight w:val="156"/>
        </w:trPr>
        <w:tc>
          <w:tcPr>
            <w:tcW w:w="4500" w:type="dxa"/>
            <w:vAlign w:val="bottom"/>
          </w:tcPr>
          <w:p>
            <w:pPr>
              <w:spacing w:after="0"/>
              <w:rPr>
                <w:sz w:val="13"/>
                <w:szCs w:val="13"/>
                <w:color w:val="auto"/>
              </w:rPr>
            </w:pPr>
          </w:p>
        </w:tc>
        <w:tc>
          <w:tcPr>
            <w:tcW w:w="298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2"/>
                <w:szCs w:val="12"/>
                <w:b w:val="1"/>
                <w:bCs w:val="1"/>
                <w:color w:val="auto"/>
              </w:rPr>
              <w:t>Three months ended September 30,</w:t>
            </w:r>
          </w:p>
        </w:tc>
        <w:tc>
          <w:tcPr>
            <w:tcW w:w="4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20" w:type="dxa"/>
            <w:vAlign w:val="bottom"/>
            <w:tcBorders>
              <w:bottom w:val="single" w:sz="8" w:color="auto"/>
            </w:tcBorders>
            <w:gridSpan w:val="4"/>
          </w:tcPr>
          <w:p>
            <w:pPr>
              <w:jc w:val="right"/>
              <w:ind w:right="151"/>
              <w:spacing w:after="0"/>
              <w:rPr>
                <w:sz w:val="20"/>
                <w:szCs w:val="20"/>
                <w:color w:val="auto"/>
              </w:rPr>
            </w:pPr>
            <w:r>
              <w:rPr>
                <w:rFonts w:ascii="Arial" w:cs="Arial" w:eastAsia="Arial" w:hAnsi="Arial"/>
                <w:sz w:val="12"/>
                <w:szCs w:val="12"/>
                <w:b w:val="1"/>
                <w:bCs w:val="1"/>
                <w:color w:val="auto"/>
              </w:rPr>
              <w:t>Nine months ended September 30,</w:t>
            </w:r>
          </w:p>
        </w:tc>
        <w:tc>
          <w:tcPr>
            <w:tcW w:w="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220" w:type="dxa"/>
            <w:vAlign w:val="bottom"/>
            <w:tcBorders>
              <w:bottom w:val="single" w:sz="8" w:color="auto"/>
            </w:tcBorders>
          </w:tcPr>
          <w:p>
            <w:pPr>
              <w:jc w:val="right"/>
              <w:ind w:right="114"/>
              <w:spacing w:after="0"/>
              <w:rPr>
                <w:sz w:val="20"/>
                <w:szCs w:val="20"/>
                <w:color w:val="auto"/>
              </w:rPr>
            </w:pPr>
            <w:r>
              <w:rPr>
                <w:rFonts w:ascii="Arial" w:cs="Arial" w:eastAsia="Arial" w:hAnsi="Arial"/>
                <w:sz w:val="12"/>
                <w:szCs w:val="12"/>
                <w:b w:val="1"/>
                <w:bCs w:val="1"/>
                <w:color w:val="auto"/>
              </w:rPr>
              <w:t>2021</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111"/>
              <w:spacing w:after="0"/>
              <w:rPr>
                <w:sz w:val="20"/>
                <w:szCs w:val="20"/>
                <w:color w:val="auto"/>
              </w:rPr>
            </w:pPr>
            <w:r>
              <w:rPr>
                <w:rFonts w:ascii="Arial" w:cs="Arial" w:eastAsia="Arial" w:hAnsi="Arial"/>
                <w:sz w:val="12"/>
                <w:szCs w:val="12"/>
                <w:b w:val="1"/>
                <w:bCs w:val="1"/>
                <w:color w:val="auto"/>
              </w:rPr>
              <w:t>2020</w:t>
            </w: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2"/>
                <w:szCs w:val="12"/>
                <w:b w:val="1"/>
                <w:bCs w:val="1"/>
                <w:color w:val="auto"/>
              </w:rPr>
              <w:t>2021</w:t>
            </w: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2"/>
                <w:szCs w:val="12"/>
                <w:b w:val="1"/>
                <w:bCs w:val="1"/>
                <w:color w:val="auto"/>
              </w:rPr>
              <w:t>2020</w:t>
            </w:r>
          </w:p>
        </w:tc>
        <w:tc>
          <w:tcPr>
            <w:tcW w:w="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760" w:type="dxa"/>
            <w:vAlign w:val="bottom"/>
            <w:gridSpan w:val="3"/>
          </w:tcPr>
          <w:p>
            <w:pPr>
              <w:jc w:val="right"/>
              <w:ind w:right="791"/>
              <w:spacing w:after="0"/>
              <w:rPr>
                <w:sz w:val="20"/>
                <w:szCs w:val="20"/>
                <w:color w:val="auto"/>
              </w:rPr>
            </w:pPr>
            <w:r>
              <w:rPr>
                <w:rFonts w:ascii="Arial" w:cs="Arial" w:eastAsia="Arial" w:hAnsi="Arial"/>
                <w:sz w:val="12"/>
                <w:szCs w:val="12"/>
                <w:b w:val="1"/>
                <w:bCs w:val="1"/>
                <w:color w:val="auto"/>
              </w:rPr>
              <w:t>(In millions)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720" w:type="dxa"/>
            <w:vAlign w:val="bottom"/>
            <w:gridSpan w:val="3"/>
          </w:tcPr>
          <w:p>
            <w:pPr>
              <w:jc w:val="right"/>
              <w:ind w:right="711"/>
              <w:spacing w:after="0"/>
              <w:rPr>
                <w:sz w:val="20"/>
                <w:szCs w:val="20"/>
                <w:color w:val="auto"/>
              </w:rPr>
            </w:pPr>
            <w:r>
              <w:rPr>
                <w:rFonts w:ascii="Arial" w:cs="Arial" w:eastAsia="Arial" w:hAnsi="Arial"/>
                <w:sz w:val="12"/>
                <w:szCs w:val="12"/>
                <w:b w:val="1"/>
                <w:bCs w:val="1"/>
                <w:color w:val="auto"/>
              </w:rPr>
              <w:t>(In millions)</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500" w:type="dxa"/>
            <w:vAlign w:val="bottom"/>
          </w:tcPr>
          <w:p>
            <w:pPr>
              <w:ind w:left="220"/>
              <w:spacing w:after="0"/>
              <w:rPr>
                <w:sz w:val="20"/>
                <w:szCs w:val="20"/>
                <w:color w:val="auto"/>
              </w:rPr>
            </w:pPr>
            <w:r>
              <w:rPr>
                <w:rFonts w:ascii="Arial" w:cs="Arial" w:eastAsia="Arial" w:hAnsi="Arial"/>
                <w:sz w:val="15"/>
                <w:szCs w:val="15"/>
                <w:color w:val="auto"/>
              </w:rPr>
              <w:t>Revenues:</w:t>
            </w: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Escrow, title-related and other fees</w:t>
            </w:r>
          </w:p>
        </w:tc>
        <w:tc>
          <w:tcPr>
            <w:tcW w:w="1220" w:type="dxa"/>
            <w:vAlign w:val="bottom"/>
            <w:shd w:val="clear" w:color="auto" w:fill="CCEEFF"/>
          </w:tcPr>
          <w:p>
            <w:pPr>
              <w:jc w:val="right"/>
              <w:ind w:right="87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51"/>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754"/>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11"/>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88"/>
        </w:trPr>
        <w:tc>
          <w:tcPr>
            <w:tcW w:w="4500" w:type="dxa"/>
            <w:vAlign w:val="bottom"/>
          </w:tcPr>
          <w:p>
            <w:pPr>
              <w:ind w:left="380"/>
              <w:spacing w:after="0"/>
              <w:rPr>
                <w:sz w:val="20"/>
                <w:szCs w:val="20"/>
                <w:color w:val="auto"/>
              </w:rPr>
            </w:pPr>
            <w:r>
              <w:rPr>
                <w:rFonts w:ascii="Arial" w:cs="Arial" w:eastAsia="Arial" w:hAnsi="Arial"/>
                <w:sz w:val="15"/>
                <w:szCs w:val="15"/>
                <w:color w:val="auto"/>
              </w:rPr>
              <w:t>Interest and investment income</w:t>
            </w:r>
          </w:p>
        </w:tc>
        <w:tc>
          <w:tcPr>
            <w:tcW w:w="122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2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10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Recognized gains and losses, net</w:t>
            </w:r>
          </w:p>
        </w:tc>
        <w:tc>
          <w:tcPr>
            <w:tcW w:w="12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4500" w:type="dxa"/>
            <w:vAlign w:val="bottom"/>
          </w:tcPr>
          <w:p>
            <w:pPr>
              <w:ind w:left="620"/>
              <w:spacing w:after="0"/>
              <w:rPr>
                <w:sz w:val="20"/>
                <w:szCs w:val="20"/>
                <w:color w:val="auto"/>
              </w:rPr>
            </w:pPr>
            <w:r>
              <w:rPr>
                <w:rFonts w:ascii="Arial" w:cs="Arial" w:eastAsia="Arial" w:hAnsi="Arial"/>
                <w:sz w:val="15"/>
                <w:szCs w:val="15"/>
                <w:color w:val="auto"/>
              </w:rPr>
              <w:t>Total revenues</w:t>
            </w:r>
          </w:p>
        </w:tc>
        <w:tc>
          <w:tcPr>
            <w:tcW w:w="12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44</w:t>
            </w:r>
          </w:p>
        </w:tc>
        <w:tc>
          <w:tcPr>
            <w:tcW w:w="10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50</w:t>
            </w:r>
          </w:p>
        </w:tc>
        <w:tc>
          <w:tcPr>
            <w:tcW w:w="8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142</w:t>
            </w:r>
          </w:p>
        </w:tc>
        <w:tc>
          <w:tcPr>
            <w:tcW w:w="14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88"/>
        </w:trPr>
        <w:tc>
          <w:tcPr>
            <w:tcW w:w="45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Expenses:</w:t>
            </w:r>
          </w:p>
        </w:tc>
        <w:tc>
          <w:tcPr>
            <w:tcW w:w="1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00" w:type="dxa"/>
            <w:vAlign w:val="bottom"/>
          </w:tcPr>
          <w:p>
            <w:pPr>
              <w:ind w:left="380"/>
              <w:spacing w:after="0"/>
              <w:rPr>
                <w:sz w:val="20"/>
                <w:szCs w:val="20"/>
                <w:color w:val="auto"/>
              </w:rPr>
            </w:pPr>
            <w:r>
              <w:rPr>
                <w:rFonts w:ascii="Arial" w:cs="Arial" w:eastAsia="Arial" w:hAnsi="Arial"/>
                <w:sz w:val="15"/>
                <w:szCs w:val="15"/>
                <w:color w:val="auto"/>
              </w:rPr>
              <w:t>Personnel costs</w:t>
            </w:r>
          </w:p>
        </w:tc>
        <w:tc>
          <w:tcPr>
            <w:tcW w:w="12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33</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85</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88"/>
        </w:trPr>
        <w:tc>
          <w:tcPr>
            <w:tcW w:w="4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operating expenses</w:t>
            </w:r>
          </w:p>
        </w:tc>
        <w:tc>
          <w:tcPr>
            <w:tcW w:w="12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88"/>
        </w:trPr>
        <w:tc>
          <w:tcPr>
            <w:tcW w:w="4500" w:type="dxa"/>
            <w:vAlign w:val="bottom"/>
          </w:tcPr>
          <w:p>
            <w:pPr>
              <w:ind w:left="380"/>
              <w:spacing w:after="0"/>
              <w:rPr>
                <w:sz w:val="20"/>
                <w:szCs w:val="20"/>
                <w:color w:val="auto"/>
              </w:rPr>
            </w:pPr>
            <w:r>
              <w:rPr>
                <w:rFonts w:ascii="Arial" w:cs="Arial" w:eastAsia="Arial" w:hAnsi="Arial"/>
                <w:sz w:val="15"/>
                <w:szCs w:val="15"/>
                <w:color w:val="auto"/>
              </w:rPr>
              <w:t>Depreciation and amortization</w:t>
            </w:r>
          </w:p>
        </w:tc>
        <w:tc>
          <w:tcPr>
            <w:tcW w:w="12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18</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88"/>
        </w:trPr>
        <w:tc>
          <w:tcPr>
            <w:tcW w:w="4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Interest expense</w:t>
            </w:r>
          </w:p>
        </w:tc>
        <w:tc>
          <w:tcPr>
            <w:tcW w:w="122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00" w:type="dxa"/>
            <w:vAlign w:val="bottom"/>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8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14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79"/>
        </w:trPr>
        <w:tc>
          <w:tcPr>
            <w:tcW w:w="4500" w:type="dxa"/>
            <w:vAlign w:val="bottom"/>
            <w:tcBorders>
              <w:bottom w:val="single" w:sz="8" w:color="CCEEFF"/>
            </w:tcBorders>
          </w:tcPr>
          <w:p>
            <w:pPr>
              <w:ind w:left="620"/>
              <w:spacing w:after="0"/>
              <w:rPr>
                <w:sz w:val="20"/>
                <w:szCs w:val="20"/>
                <w:color w:val="auto"/>
              </w:rPr>
            </w:pPr>
            <w:r>
              <w:rPr>
                <w:rFonts w:ascii="Arial" w:cs="Arial" w:eastAsia="Arial" w:hAnsi="Arial"/>
                <w:sz w:val="15"/>
                <w:szCs w:val="15"/>
                <w:color w:val="auto"/>
              </w:rPr>
              <w:t>Total expenses</w:t>
            </w:r>
          </w:p>
        </w:tc>
        <w:tc>
          <w:tcPr>
            <w:tcW w:w="12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w:t>
            </w: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w:t>
            </w: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240</w:t>
            </w:r>
          </w:p>
        </w:tc>
        <w:tc>
          <w:tcPr>
            <w:tcW w:w="14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124"/>
        </w:trPr>
        <w:tc>
          <w:tcPr>
            <w:tcW w:w="4500" w:type="dxa"/>
            <w:vAlign w:val="bottom"/>
            <w:shd w:val="clear" w:color="auto" w:fill="CCEEFF"/>
          </w:tcPr>
          <w:p>
            <w:pPr>
              <w:ind w:left="220"/>
              <w:spacing w:after="0" w:line="124" w:lineRule="exact"/>
              <w:rPr>
                <w:sz w:val="20"/>
                <w:szCs w:val="20"/>
                <w:color w:val="auto"/>
              </w:rPr>
            </w:pPr>
            <w:r>
              <w:rPr>
                <w:rFonts w:ascii="Arial" w:cs="Arial" w:eastAsia="Arial" w:hAnsi="Arial"/>
                <w:sz w:val="14"/>
                <w:szCs w:val="14"/>
                <w:color w:val="auto"/>
              </w:rPr>
              <w:t>Loss from continuing operations, before income taxes and equity in</w:t>
            </w:r>
          </w:p>
        </w:tc>
        <w:tc>
          <w:tcPr>
            <w:tcW w:w="1220" w:type="dxa"/>
            <w:vAlign w:val="bottom"/>
            <w:vMerge w:val="restart"/>
            <w:shd w:val="clear" w:color="auto" w:fill="CCEEFF"/>
          </w:tcPr>
          <w:p>
            <w:pPr>
              <w:jc w:val="right"/>
              <w:ind w:right="874"/>
              <w:spacing w:after="0"/>
              <w:rPr>
                <w:sz w:val="20"/>
                <w:szCs w:val="20"/>
                <w:color w:val="auto"/>
              </w:rPr>
            </w:pPr>
            <w:r>
              <w:rPr>
                <w:rFonts w:ascii="Arial" w:cs="Arial" w:eastAsia="Arial" w:hAnsi="Arial"/>
                <w:sz w:val="15"/>
                <w:szCs w:val="15"/>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100" w:type="dxa"/>
            <w:vAlign w:val="bottom"/>
            <w:shd w:val="clear" w:color="auto" w:fill="CCEEFF"/>
          </w:tcPr>
          <w:p>
            <w:pPr>
              <w:spacing w:after="0"/>
              <w:rPr>
                <w:sz w:val="10"/>
                <w:szCs w:val="10"/>
                <w:color w:val="auto"/>
              </w:rPr>
            </w:pPr>
          </w:p>
        </w:tc>
        <w:tc>
          <w:tcPr>
            <w:tcW w:w="1220" w:type="dxa"/>
            <w:vAlign w:val="bottom"/>
            <w:vMerge w:val="restart"/>
            <w:shd w:val="clear" w:color="auto" w:fill="CCEEFF"/>
          </w:tcPr>
          <w:p>
            <w:pPr>
              <w:jc w:val="right"/>
              <w:ind w:right="851"/>
              <w:spacing w:after="0"/>
              <w:rPr>
                <w:sz w:val="20"/>
                <w:szCs w:val="20"/>
                <w:color w:val="auto"/>
              </w:rPr>
            </w:pPr>
            <w:r>
              <w:rPr>
                <w:rFonts w:ascii="Arial" w:cs="Arial" w:eastAsia="Arial" w:hAnsi="Arial"/>
                <w:sz w:val="15"/>
                <w:szCs w:val="15"/>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8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ind w:right="754"/>
              <w:spacing w:after="0"/>
              <w:rPr>
                <w:sz w:val="20"/>
                <w:szCs w:val="20"/>
                <w:color w:val="auto"/>
              </w:rPr>
            </w:pPr>
            <w:r>
              <w:rPr>
                <w:rFonts w:ascii="Arial" w:cs="Arial" w:eastAsia="Arial" w:hAnsi="Arial"/>
                <w:sz w:val="15"/>
                <w:szCs w:val="15"/>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14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ind w:right="811"/>
              <w:spacing w:after="0"/>
              <w:rPr>
                <w:sz w:val="20"/>
                <w:szCs w:val="20"/>
                <w:color w:val="auto"/>
              </w:rPr>
            </w:pPr>
            <w:r>
              <w:rPr>
                <w:rFonts w:ascii="Arial" w:cs="Arial" w:eastAsia="Arial" w:hAnsi="Arial"/>
                <w:sz w:val="15"/>
                <w:szCs w:val="15"/>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85"/>
        </w:trPr>
        <w:tc>
          <w:tcPr>
            <w:tcW w:w="4500" w:type="dxa"/>
            <w:vAlign w:val="bottom"/>
            <w:tcBorders>
              <w:bottom w:val="single" w:sz="8" w:color="CCEEFF"/>
            </w:tcBorders>
            <w:shd w:val="clear" w:color="auto" w:fill="CCEEFF"/>
          </w:tcPr>
          <w:p>
            <w:pPr>
              <w:ind w:left="20"/>
              <w:spacing w:after="0" w:line="165" w:lineRule="exact"/>
              <w:rPr>
                <w:sz w:val="20"/>
                <w:szCs w:val="20"/>
                <w:color w:val="auto"/>
              </w:rPr>
            </w:pPr>
            <w:r>
              <w:rPr>
                <w:rFonts w:ascii="Arial" w:cs="Arial" w:eastAsia="Arial" w:hAnsi="Arial"/>
                <w:sz w:val="15"/>
                <w:szCs w:val="15"/>
                <w:color w:val="auto"/>
              </w:rPr>
              <w:t>earnings of unconsolidated affiliates</w:t>
            </w: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4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4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42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3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jc w:val="both"/>
        <w:ind w:right="80" w:firstLine="199"/>
        <w:spacing w:after="0" w:line="266" w:lineRule="auto"/>
        <w:rPr>
          <w:sz w:val="20"/>
          <w:szCs w:val="20"/>
          <w:color w:val="auto"/>
        </w:rPr>
      </w:pPr>
      <w:r>
        <w:rPr>
          <w:rFonts w:ascii="Arial" w:cs="Arial" w:eastAsia="Arial" w:hAnsi="Arial"/>
          <w:sz w:val="15"/>
          <w:szCs w:val="15"/>
          <w:color w:val="auto"/>
        </w:rPr>
        <w:t>The revenue in the Corporate and Other segment for all periods represents revenue generated by our non-title real estate technology and brokerage subsidiaries as well as mark-to-market valuation changes on certain corporate deferred compensation plans.</w:t>
      </w:r>
    </w:p>
    <w:p>
      <w:pPr>
        <w:spacing w:after="0" w:line="59" w:lineRule="exact"/>
        <w:rPr>
          <w:sz w:val="20"/>
          <w:szCs w:val="20"/>
          <w:color w:val="auto"/>
        </w:rPr>
      </w:pPr>
    </w:p>
    <w:p>
      <w:pPr>
        <w:jc w:val="both"/>
        <w:ind w:right="80" w:firstLine="199"/>
        <w:spacing w:after="0" w:line="303" w:lineRule="auto"/>
        <w:rPr>
          <w:sz w:val="20"/>
          <w:szCs w:val="20"/>
          <w:color w:val="auto"/>
        </w:rPr>
      </w:pPr>
      <w:r>
        <w:rPr>
          <w:rFonts w:ascii="Arial" w:cs="Arial" w:eastAsia="Arial" w:hAnsi="Arial"/>
          <w:sz w:val="13"/>
          <w:szCs w:val="13"/>
          <w:color w:val="auto"/>
        </w:rPr>
        <w:t>Total revenues in the Corporate and Other segment decreased $6 million, or 12%, in the three-month period ended September 30, 2021 and increased $31 million, or 28% in the nine-month period ended September 30, 2021 from the corresponding periods in 2020. The decrease in the three-month 2021 period when compared to the 2020 period is attributable to various immaterial items. The increase in the nine-month 2021 period when compared to the 2020 period is primarily attributable to year-over-year increases in valuation gains of $27 million associated with our deferred compensation plan assets and increased real estate technology revenues of $23 million, partially offset by reduced brokerage revenue of $19 million.</w:t>
      </w:r>
    </w:p>
    <w:p>
      <w:pPr>
        <w:spacing w:after="0" w:line="40" w:lineRule="exact"/>
        <w:rPr>
          <w:sz w:val="20"/>
          <w:szCs w:val="20"/>
          <w:color w:val="auto"/>
        </w:rPr>
      </w:pPr>
    </w:p>
    <w:p>
      <w:pPr>
        <w:jc w:val="both"/>
        <w:ind w:right="80" w:firstLine="199"/>
        <w:spacing w:after="0" w:line="313" w:lineRule="auto"/>
        <w:rPr>
          <w:sz w:val="20"/>
          <w:szCs w:val="20"/>
          <w:color w:val="auto"/>
        </w:rPr>
      </w:pPr>
      <w:r>
        <w:rPr>
          <w:rFonts w:ascii="Arial" w:cs="Arial" w:eastAsia="Arial" w:hAnsi="Arial"/>
          <w:sz w:val="13"/>
          <w:szCs w:val="13"/>
          <w:color w:val="auto"/>
        </w:rPr>
        <w:t>Personnel costs in the Corporate and Other segment decreased $9 million, or 27%, in the three-month period ended September 30, 2021 and increased $21 million, or 33% in the nine-month period ended September 30, 2021 from the corresponding period in 2020. The decrease in the three-month period and the increase in the nine-month period compared to the corresponding periods in 2020 are primarily attributable to variability in expense associated with the aforementioned valuation changes associated with our deferred compensation plan assets.</w:t>
      </w:r>
    </w:p>
    <w:p>
      <w:pPr>
        <w:spacing w:after="0" w:line="33" w:lineRule="exact"/>
        <w:rPr>
          <w:sz w:val="20"/>
          <w:szCs w:val="20"/>
          <w:color w:val="auto"/>
        </w:rPr>
      </w:pPr>
    </w:p>
    <w:p>
      <w:pPr>
        <w:jc w:val="both"/>
        <w:ind w:right="80" w:firstLine="199"/>
        <w:spacing w:after="0" w:line="250" w:lineRule="auto"/>
        <w:rPr>
          <w:sz w:val="20"/>
          <w:szCs w:val="20"/>
          <w:color w:val="auto"/>
        </w:rPr>
      </w:pPr>
      <w:r>
        <w:rPr>
          <w:rFonts w:ascii="Arial" w:cs="Arial" w:eastAsia="Arial" w:hAnsi="Arial"/>
          <w:sz w:val="15"/>
          <w:szCs w:val="15"/>
          <w:color w:val="auto"/>
        </w:rPr>
        <w:t>Other operating expenses in the Corporate and Other segment decreased $5 million, or 17%, in the three-month period ended September 30, 2021 and decreased $46 million, or 38% in the nine-month period ended September 30, 2021 from the corresponding periods in 2020. The decrease in the three-month 2021 period when compared to the 2020 period is primarily attributable to decreased brokerage expenses in the 2021 period. The decrease in the nine-month 2021 period when compared to the 2020 period is primarily attributable to a decrease in F&amp;G transaction costs of approximately $38 million and reduced real estate brokerage expenses of $18 million in the 2021 period related to previous divestitures, partially offset by growth in our real estate technology businesses.</w:t>
      </w:r>
    </w:p>
    <w:p>
      <w:pPr>
        <w:spacing w:after="0" w:line="73" w:lineRule="exact"/>
        <w:rPr>
          <w:sz w:val="20"/>
          <w:szCs w:val="20"/>
          <w:color w:val="auto"/>
        </w:rPr>
      </w:pPr>
    </w:p>
    <w:p>
      <w:pPr>
        <w:jc w:val="both"/>
        <w:ind w:right="80" w:firstLine="199"/>
        <w:spacing w:after="0" w:line="255" w:lineRule="auto"/>
        <w:rPr>
          <w:sz w:val="20"/>
          <w:szCs w:val="20"/>
          <w:color w:val="auto"/>
        </w:rPr>
      </w:pPr>
      <w:r>
        <w:rPr>
          <w:rFonts w:ascii="Arial" w:cs="Arial" w:eastAsia="Arial" w:hAnsi="Arial"/>
          <w:sz w:val="15"/>
          <w:szCs w:val="15"/>
          <w:color w:val="auto"/>
        </w:rPr>
        <w:t>Interest expense in the Corporate and Other segment decreased $1 million, or 5%, in the three-month period ended September 30, 2021 and increased $11 million or 22%, in the nine-month period ended September 30, 2021 from the corresponding periods in 2020. The increase in the nine-month period is primarily attributable to increased average debt outstanding in the 2021 period.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90" w:name="page91"/>
    <w:bookmarkEnd w:id="90"/>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96" w:lineRule="exact"/>
        <w:rPr>
          <w:sz w:val="20"/>
          <w:szCs w:val="20"/>
          <w:color w:val="auto"/>
        </w:rPr>
      </w:pPr>
    </w:p>
    <w:p>
      <w:pPr>
        <w:jc w:val="both"/>
        <w:ind w:firstLine="265"/>
        <w:spacing w:after="0" w:line="273" w:lineRule="auto"/>
        <w:rPr>
          <w:sz w:val="20"/>
          <w:szCs w:val="20"/>
          <w:color w:val="auto"/>
        </w:rPr>
      </w:pPr>
      <w:r>
        <w:rPr>
          <w:rFonts w:ascii="Arial" w:cs="Arial" w:eastAsia="Arial" w:hAnsi="Arial"/>
          <w:sz w:val="14"/>
          <w:szCs w:val="14"/>
          <w:i w:val="1"/>
          <w:iCs w:val="1"/>
          <w:color w:val="auto"/>
        </w:rPr>
        <w:t xml:space="preserve">Cash Requirements. </w:t>
      </w:r>
      <w:r>
        <w:rPr>
          <w:rFonts w:ascii="Arial" w:cs="Arial" w:eastAsia="Arial" w:hAnsi="Arial"/>
          <w:sz w:val="14"/>
          <w:szCs w:val="14"/>
          <w:color w:val="auto"/>
        </w:rPr>
        <w:t>Our current cash requirements include personnel costs, operating expenses, claim payments, taxes, payments of interest and principal on our debt, capital</w:t>
      </w:r>
      <w:r>
        <w:rPr>
          <w:rFonts w:ascii="Arial" w:cs="Arial" w:eastAsia="Arial" w:hAnsi="Arial"/>
          <w:sz w:val="14"/>
          <w:szCs w:val="14"/>
          <w:i w:val="1"/>
          <w:iCs w:val="1"/>
          <w:color w:val="auto"/>
        </w:rPr>
        <w:t xml:space="preserve"> </w:t>
      </w:r>
      <w:r>
        <w:rPr>
          <w:rFonts w:ascii="Arial" w:cs="Arial" w:eastAsia="Arial" w:hAnsi="Arial"/>
          <w:sz w:val="14"/>
          <w:szCs w:val="14"/>
          <w:color w:val="auto"/>
        </w:rPr>
        <w:t>expenditures, business acquisitions, stock repurchases and dividends on our common stock. We paid dividends of $0.40 per share in the third quarter of 2021, or approximately $113 million to our common shareholders. On November 2, 2021, our Board of Directors declared cash dividends of $0.44 per share, payable on December 31, 2021, to FNF common shareholders of record as of December 17, 2021.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w:t>
      </w:r>
    </w:p>
    <w:p>
      <w:pPr>
        <w:spacing w:after="0" w:line="56" w:lineRule="exact"/>
        <w:rPr>
          <w:sz w:val="20"/>
          <w:szCs w:val="20"/>
          <w:color w:val="auto"/>
        </w:rPr>
      </w:pPr>
    </w:p>
    <w:p>
      <w:pPr>
        <w:jc w:val="both"/>
        <w:ind w:firstLine="265"/>
        <w:spacing w:after="0" w:line="249" w:lineRule="auto"/>
        <w:rPr>
          <w:sz w:val="20"/>
          <w:szCs w:val="20"/>
          <w:color w:val="auto"/>
        </w:rPr>
      </w:pPr>
      <w:r>
        <w:rPr>
          <w:rFonts w:ascii="Arial" w:cs="Arial" w:eastAsia="Arial" w:hAnsi="Arial"/>
          <w:sz w:val="15"/>
          <w:szCs w:val="15"/>
          <w:color w:val="auto"/>
        </w:rPr>
        <w:t>As of September 30, 2021, we had cash and cash equivalents of $5,148 million, short term investments of $527 million and available capacity under our Revolving Credit Facility of $800 million. We continually assess our capital allocation strategy, including decisions relating to the amount of our dividend, reducing debt, repurchasing our stock, investing in growth of our subsidiaries, making acquisitions and/or conserving cash. We believe that all anticipated cash requirements for current operations will be met from internally generated funds, through cash dividends from subsidiaries, cash generated by investment securities, potential sales of non-strategic assets, potential issuances of additional debt or equity securities, and borrowings on our Revolving Credit Facility.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72" w:lineRule="exact"/>
        <w:rPr>
          <w:sz w:val="20"/>
          <w:szCs w:val="20"/>
          <w:color w:val="auto"/>
        </w:rPr>
      </w:pPr>
    </w:p>
    <w:p>
      <w:pPr>
        <w:jc w:val="both"/>
        <w:ind w:firstLine="265"/>
        <w:spacing w:after="0" w:line="255" w:lineRule="auto"/>
        <w:rPr>
          <w:sz w:val="20"/>
          <w:szCs w:val="20"/>
          <w:color w:val="auto"/>
        </w:rPr>
      </w:pPr>
      <w:r>
        <w:rPr>
          <w:rFonts w:ascii="Arial" w:cs="Arial" w:eastAsia="Arial" w:hAnsi="Arial"/>
          <w:sz w:val="15"/>
          <w:szCs w:val="15"/>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title claim loss reserves, we do not specifically match durations of our investments to the cash outflows required to pay claims, but do manage outflows on a shorter time frame.</w:t>
      </w:r>
    </w:p>
    <w:p>
      <w:pPr>
        <w:spacing w:after="0" w:line="68" w:lineRule="exact"/>
        <w:rPr>
          <w:sz w:val="20"/>
          <w:szCs w:val="20"/>
          <w:color w:val="auto"/>
        </w:rPr>
      </w:pPr>
    </w:p>
    <w:p>
      <w:pPr>
        <w:jc w:val="both"/>
        <w:ind w:firstLine="265"/>
        <w:spacing w:after="0" w:line="295" w:lineRule="auto"/>
        <w:rPr>
          <w:sz w:val="20"/>
          <w:szCs w:val="20"/>
          <w:color w:val="auto"/>
        </w:rPr>
      </w:pPr>
      <w:r>
        <w:rPr>
          <w:rFonts w:ascii="Arial" w:cs="Arial" w:eastAsia="Arial" w:hAnsi="Arial"/>
          <w:sz w:val="13"/>
          <w:szCs w:val="13"/>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applicable state of domicile regulates the extent to which our title underwriters can pay dividends or make other distributions. As of December 31, 2020, $2,559 million of our net assets were restricted from dividend payments without prior approval from the relevant departments of insurance. We anticipate that our title insurance subsidiaries will pay or make dividends in the remainder of 2021 of approximately $144 million. Our underwritten title companies and non-insurance subsidiaries are not regulated to the same extent as our insurance subsidiaries.</w:t>
      </w:r>
    </w:p>
    <w:p>
      <w:pPr>
        <w:spacing w:after="0" w:line="46" w:lineRule="exact"/>
        <w:rPr>
          <w:sz w:val="20"/>
          <w:szCs w:val="20"/>
          <w:color w:val="auto"/>
        </w:rPr>
      </w:pPr>
    </w:p>
    <w:p>
      <w:pPr>
        <w:jc w:val="both"/>
        <w:ind w:firstLine="265"/>
        <w:spacing w:after="0" w:line="250" w:lineRule="auto"/>
        <w:rPr>
          <w:sz w:val="20"/>
          <w:szCs w:val="20"/>
          <w:color w:val="auto"/>
        </w:rPr>
      </w:pPr>
      <w:r>
        <w:rPr>
          <w:rFonts w:ascii="Arial" w:cs="Arial" w:eastAsia="Arial" w:hAnsi="Arial"/>
          <w:sz w:val="15"/>
          <w:szCs w:val="15"/>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73" w:lineRule="exact"/>
        <w:rPr>
          <w:sz w:val="20"/>
          <w:szCs w:val="20"/>
          <w:color w:val="auto"/>
        </w:rPr>
      </w:pPr>
    </w:p>
    <w:p>
      <w:pPr>
        <w:jc w:val="both"/>
        <w:ind w:firstLine="265"/>
        <w:spacing w:after="0" w:line="266" w:lineRule="auto"/>
        <w:rPr>
          <w:sz w:val="20"/>
          <w:szCs w:val="20"/>
          <w:color w:val="auto"/>
        </w:rPr>
      </w:pPr>
      <w:r>
        <w:rPr>
          <w:rFonts w:ascii="Arial" w:cs="Arial" w:eastAsia="Arial" w:hAnsi="Arial"/>
          <w:sz w:val="15"/>
          <w:szCs w:val="15"/>
          <w:color w:val="auto"/>
        </w:rPr>
        <w:t>Cash flow from our operations will be used for general corporate purposes including to reinvest in operations, repay debt, pay dividends, repurchase stock, pursue other strategic initiatives and/or conserve cash.</w:t>
      </w:r>
    </w:p>
    <w:p>
      <w:pPr>
        <w:spacing w:after="0" w:line="59" w:lineRule="exact"/>
        <w:rPr>
          <w:sz w:val="20"/>
          <w:szCs w:val="20"/>
          <w:color w:val="auto"/>
        </w:rPr>
      </w:pPr>
    </w:p>
    <w:p>
      <w:pPr>
        <w:jc w:val="both"/>
        <w:ind w:firstLine="265"/>
        <w:spacing w:after="0" w:line="273" w:lineRule="auto"/>
        <w:rPr>
          <w:sz w:val="20"/>
          <w:szCs w:val="20"/>
          <w:color w:val="auto"/>
        </w:rPr>
      </w:pPr>
      <w:r>
        <w:rPr>
          <w:rFonts w:ascii="Arial" w:cs="Arial" w:eastAsia="Arial" w:hAnsi="Arial"/>
          <w:sz w:val="14"/>
          <w:szCs w:val="14"/>
          <w:i w:val="1"/>
          <w:iCs w:val="1"/>
          <w:color w:val="auto"/>
        </w:rPr>
        <w:t>Operating Cash Flow</w:t>
      </w:r>
      <w:r>
        <w:rPr>
          <w:rFonts w:ascii="Arial" w:cs="Arial" w:eastAsia="Arial" w:hAnsi="Arial"/>
          <w:sz w:val="14"/>
          <w:szCs w:val="14"/>
          <w:color w:val="auto"/>
        </w:rPr>
        <w:t>. Our cash flows provided by operations for the nine months ended September 30, 2021 and 2020 totaled $2,600 million and $965 million, respectively. The increase</w:t>
      </w:r>
      <w:r>
        <w:rPr>
          <w:rFonts w:ascii="Arial" w:cs="Arial" w:eastAsia="Arial" w:hAnsi="Arial"/>
          <w:sz w:val="14"/>
          <w:szCs w:val="14"/>
          <w:i w:val="1"/>
          <w:iCs w:val="1"/>
          <w:color w:val="auto"/>
        </w:rPr>
        <w:t xml:space="preserve"> </w:t>
      </w:r>
      <w:r>
        <w:rPr>
          <w:rFonts w:ascii="Arial" w:cs="Arial" w:eastAsia="Arial" w:hAnsi="Arial"/>
          <w:sz w:val="14"/>
          <w:szCs w:val="14"/>
          <w:color w:val="auto"/>
        </w:rPr>
        <w:t>in cash provided by operating activities in the 2021 period of $1,635 million is primarily attributable to the increase in pre-tax earnings, excluding non-cash valuation losses in the 2021 period, the net change in funds withheld from reinsurers of $691 million, increases in future policy benefits of $261 million, partially offset by the timing of receipts and payments of prepaid assets and payables, decreased deferred policy acquisition costs and deferred sales inducements of $334 million, and increased net gains on sales of investments and other assets of $516 million. The increased activity in the 2021 period is primarily a result of our acquisition of F&amp;G.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1" w:name="page92"/>
    <w:bookmarkEnd w:id="9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265"/>
        <w:spacing w:after="0" w:line="250" w:lineRule="auto"/>
        <w:rPr>
          <w:sz w:val="20"/>
          <w:szCs w:val="20"/>
          <w:color w:val="auto"/>
        </w:rPr>
      </w:pPr>
      <w:r>
        <w:rPr>
          <w:rFonts w:ascii="Arial" w:cs="Arial" w:eastAsia="Arial" w:hAnsi="Arial"/>
          <w:sz w:val="15"/>
          <w:szCs w:val="15"/>
          <w:i w:val="1"/>
          <w:iCs w:val="1"/>
          <w:color w:val="auto"/>
        </w:rPr>
        <w:t xml:space="preserve">Investing Cash Flows. </w:t>
      </w:r>
      <w:r>
        <w:rPr>
          <w:rFonts w:ascii="Arial" w:cs="Arial" w:eastAsia="Arial" w:hAnsi="Arial"/>
          <w:sz w:val="15"/>
          <w:szCs w:val="15"/>
          <w:color w:val="auto"/>
        </w:rPr>
        <w:t>Our cash flows used in investing activities for the nine months ended September 30, 2021 and 2020 were $4,863 million and $1,040 million, respectively. The</w:t>
      </w:r>
      <w:r>
        <w:rPr>
          <w:rFonts w:ascii="Arial" w:cs="Arial" w:eastAsia="Arial" w:hAnsi="Arial"/>
          <w:sz w:val="15"/>
          <w:szCs w:val="15"/>
          <w:i w:val="1"/>
          <w:iCs w:val="1"/>
          <w:color w:val="auto"/>
        </w:rPr>
        <w:t xml:space="preserve"> </w:t>
      </w:r>
      <w:r>
        <w:rPr>
          <w:rFonts w:ascii="Arial" w:cs="Arial" w:eastAsia="Arial" w:hAnsi="Arial"/>
          <w:sz w:val="15"/>
          <w:szCs w:val="15"/>
          <w:color w:val="auto"/>
        </w:rPr>
        <w:t>increase in cash used in investing activities of $3,823 million in the 2021 period is primarily attributable to increased purchases of investment securities of $7,730, increases in our investments in unconsolidated affiliates of $844 million, and decreased net proceeds from the sales and maturities of short-term investments of $699 million, partially offset by increased sales, calls, and maturities of investment securities of $4,348 million and decreases in net cash used in acquisitions and dispositions of $1,012 million. The change in activity in the 2021 period is primarily a result of our acquisition of F&amp;G.</w:t>
      </w:r>
    </w:p>
    <w:p>
      <w:pPr>
        <w:spacing w:after="0" w:line="73" w:lineRule="exact"/>
        <w:rPr>
          <w:sz w:val="20"/>
          <w:szCs w:val="20"/>
          <w:color w:val="auto"/>
        </w:rPr>
      </w:pPr>
    </w:p>
    <w:p>
      <w:pPr>
        <w:jc w:val="both"/>
        <w:ind w:right="20" w:firstLine="265"/>
        <w:spacing w:after="0" w:line="266" w:lineRule="auto"/>
        <w:rPr>
          <w:sz w:val="20"/>
          <w:szCs w:val="20"/>
          <w:color w:val="auto"/>
        </w:rPr>
      </w:pPr>
      <w:r>
        <w:rPr>
          <w:rFonts w:ascii="Arial" w:cs="Arial" w:eastAsia="Arial" w:hAnsi="Arial"/>
          <w:sz w:val="15"/>
          <w:szCs w:val="15"/>
          <w:i w:val="1"/>
          <w:iCs w:val="1"/>
          <w:color w:val="auto"/>
        </w:rPr>
        <w:t xml:space="preserve">Capital Expenditures. </w:t>
      </w:r>
      <w:r>
        <w:rPr>
          <w:rFonts w:ascii="Arial" w:cs="Arial" w:eastAsia="Arial" w:hAnsi="Arial"/>
          <w:sz w:val="15"/>
          <w:szCs w:val="15"/>
          <w:color w:val="auto"/>
        </w:rPr>
        <w:t>Total capital expenditures for property and equipment and capitalized software were $93 million and $75 million for the nine-month periods ended September 30,</w:t>
      </w:r>
      <w:r>
        <w:rPr>
          <w:rFonts w:ascii="Arial" w:cs="Arial" w:eastAsia="Arial" w:hAnsi="Arial"/>
          <w:sz w:val="15"/>
          <w:szCs w:val="15"/>
          <w:i w:val="1"/>
          <w:iCs w:val="1"/>
          <w:color w:val="auto"/>
        </w:rPr>
        <w:t xml:space="preserve"> </w:t>
      </w:r>
      <w:r>
        <w:rPr>
          <w:rFonts w:ascii="Arial" w:cs="Arial" w:eastAsia="Arial" w:hAnsi="Arial"/>
          <w:sz w:val="15"/>
          <w:szCs w:val="15"/>
          <w:color w:val="auto"/>
        </w:rPr>
        <w:t>2021 and 2020, respectively.</w:t>
      </w:r>
    </w:p>
    <w:p>
      <w:pPr>
        <w:spacing w:after="0" w:line="59" w:lineRule="exact"/>
        <w:rPr>
          <w:sz w:val="20"/>
          <w:szCs w:val="20"/>
          <w:color w:val="auto"/>
        </w:rPr>
      </w:pPr>
    </w:p>
    <w:p>
      <w:pPr>
        <w:jc w:val="both"/>
        <w:ind w:firstLine="265"/>
        <w:spacing w:after="0" w:line="298" w:lineRule="auto"/>
        <w:rPr>
          <w:sz w:val="20"/>
          <w:szCs w:val="20"/>
          <w:color w:val="auto"/>
        </w:rPr>
      </w:pPr>
      <w:r>
        <w:rPr>
          <w:rFonts w:ascii="Arial" w:cs="Arial" w:eastAsia="Arial" w:hAnsi="Arial"/>
          <w:sz w:val="13"/>
          <w:szCs w:val="13"/>
          <w:i w:val="1"/>
          <w:iCs w:val="1"/>
          <w:color w:val="auto"/>
        </w:rPr>
        <w:t xml:space="preserve">Financing Cash Flows. </w:t>
      </w:r>
      <w:r>
        <w:rPr>
          <w:rFonts w:ascii="Arial" w:cs="Arial" w:eastAsia="Arial" w:hAnsi="Arial"/>
          <w:sz w:val="13"/>
          <w:szCs w:val="13"/>
          <w:color w:val="auto"/>
        </w:rPr>
        <w:t>Our cash flows provided by financing activities for the nine months ended September 30, 2021 and 2020 were $4,692 million and $1,570 million, respectively.</w:t>
      </w:r>
      <w:r>
        <w:rPr>
          <w:rFonts w:ascii="Arial" w:cs="Arial" w:eastAsia="Arial" w:hAnsi="Arial"/>
          <w:sz w:val="13"/>
          <w:szCs w:val="13"/>
          <w:i w:val="1"/>
          <w:iCs w:val="1"/>
          <w:color w:val="auto"/>
        </w:rPr>
        <w:t xml:space="preserve"> </w:t>
      </w:r>
      <w:r>
        <w:rPr>
          <w:rFonts w:ascii="Arial" w:cs="Arial" w:eastAsia="Arial" w:hAnsi="Arial"/>
          <w:sz w:val="13"/>
          <w:szCs w:val="13"/>
          <w:color w:val="auto"/>
        </w:rPr>
        <w:t>The increase in cash provided by financing activities of $3,122 million from the comparable 2020 period is primarily attributable to increased cash inflows from contractholder account deposits of $5,339 million, reduced debt service payments of $1,000 million, decreased investment in consolidated subs of $89 million and the net change in secured trust deposits of $399 million, partially offset by increased cash outflows from contractholder withdrawals of $1,620 million, increased purchases of treasury stock of $257 million, increased dividend payments of $38 million and a decrease in net borrowings of $1,797 million. The activity related to contractholder deposits and withdrawals in the 2021 period is a result of our acquisition of F&amp;G.</w:t>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 xml:space="preserve">Financing Arrangements. </w:t>
      </w:r>
      <w:r>
        <w:rPr>
          <w:rFonts w:ascii="Arial" w:cs="Arial" w:eastAsia="Arial" w:hAnsi="Arial"/>
          <w:sz w:val="15"/>
          <w:szCs w:val="15"/>
          <w:color w:val="auto"/>
        </w:rPr>
        <w:t>For a description of our financing arrangements see Note O</w:t>
      </w:r>
      <w:r>
        <w:rPr>
          <w:rFonts w:ascii="Arial" w:cs="Arial" w:eastAsia="Arial" w:hAnsi="Arial"/>
          <w:sz w:val="15"/>
          <w:szCs w:val="15"/>
          <w:i w:val="1"/>
          <w:iCs w:val="1"/>
          <w:color w:val="auto"/>
        </w:rPr>
        <w:t xml:space="preserve"> Notes Payable </w:t>
      </w:r>
      <w:r>
        <w:rPr>
          <w:rFonts w:ascii="Arial" w:cs="Arial" w:eastAsia="Arial" w:hAnsi="Arial"/>
          <w:sz w:val="15"/>
          <w:szCs w:val="15"/>
          <w:color w:val="auto"/>
        </w:rPr>
        <w:t>included in Part I of this quarterly report on Form 10-Q.</w:t>
      </w:r>
    </w:p>
    <w:p>
      <w:pPr>
        <w:spacing w:after="0" w:line="92" w:lineRule="exact"/>
        <w:rPr>
          <w:sz w:val="20"/>
          <w:szCs w:val="20"/>
          <w:color w:val="auto"/>
        </w:rPr>
      </w:pPr>
    </w:p>
    <w:p>
      <w:pPr>
        <w:jc w:val="both"/>
        <w:ind w:firstLine="265"/>
        <w:spacing w:after="0" w:line="268" w:lineRule="auto"/>
        <w:rPr>
          <w:sz w:val="20"/>
          <w:szCs w:val="20"/>
          <w:color w:val="auto"/>
        </w:rPr>
      </w:pPr>
      <w:r>
        <w:rPr>
          <w:rFonts w:ascii="Arial" w:cs="Arial" w:eastAsia="Arial" w:hAnsi="Arial"/>
          <w:sz w:val="14"/>
          <w:szCs w:val="14"/>
          <w:i w:val="1"/>
          <w:iCs w:val="1"/>
          <w:color w:val="auto"/>
        </w:rPr>
        <w:t>Capital Stock Transactions</w:t>
      </w:r>
      <w:r>
        <w:rPr>
          <w:rFonts w:ascii="Arial" w:cs="Arial" w:eastAsia="Arial" w:hAnsi="Arial"/>
          <w:sz w:val="14"/>
          <w:szCs w:val="14"/>
          <w:color w:val="auto"/>
        </w:rPr>
        <w:t>. On July 17, 2018, our Board of Directors approved a three-year stock repurchase program effective August 1, 2018 (the "2018 Repurchase Program") under</w:t>
      </w:r>
      <w:r>
        <w:rPr>
          <w:rFonts w:ascii="Arial" w:cs="Arial" w:eastAsia="Arial" w:hAnsi="Arial"/>
          <w:sz w:val="14"/>
          <w:szCs w:val="14"/>
          <w:i w:val="1"/>
          <w:iCs w:val="1"/>
          <w:color w:val="auto"/>
        </w:rPr>
        <w:t xml:space="preserve"> </w:t>
      </w:r>
      <w:r>
        <w:rPr>
          <w:rFonts w:ascii="Arial" w:cs="Arial" w:eastAsia="Arial" w:hAnsi="Arial"/>
          <w:sz w:val="14"/>
          <w:szCs w:val="14"/>
          <w:color w:val="auto"/>
        </w:rPr>
        <w:t>which we may purchase up to 25 million shares of our FNF common stock through July 31, 2021. We may make repurchases from time to time in the open market, in block purchases or in privately negotiated transactions, depending on market conditions and other factors. On October 28, 2020, we announced that we intend to purchase approximately $500 million of FNF common shares over the next 12 months, based on market conditions. On August 3, 2021, our Board of Directors approved the 2021 Repurchase Program under which we may purchase up to 25 million shares of our FNF common stock through July 31, 2024. We repurchased 8,125,000 shares of FNF common stock during the nine months ended September 30, 2021 for approximately $356 million, at an average price of $43.87 per share. Subsequent to September 30, 2021 and through market close on October 31, 2021, we repurchased a total of 105,000 shares for $5 million, at an average price of $45.72 under this program. Since the original commencement of the Repurchase Programs, we repurchased a total of 18,460,000 FNF common shares for $711 million, at an average price of $38.53 per share.</w:t>
      </w:r>
    </w:p>
    <w:p>
      <w:pPr>
        <w:spacing w:after="0" w:line="63" w:lineRule="exact"/>
        <w:rPr>
          <w:sz w:val="20"/>
          <w:szCs w:val="20"/>
          <w:color w:val="auto"/>
        </w:rPr>
      </w:pPr>
    </w:p>
    <w:p>
      <w:pPr>
        <w:jc w:val="both"/>
        <w:ind w:firstLine="265"/>
        <w:spacing w:after="0" w:line="255" w:lineRule="auto"/>
        <w:rPr>
          <w:sz w:val="20"/>
          <w:szCs w:val="20"/>
          <w:color w:val="auto"/>
        </w:rPr>
      </w:pPr>
      <w:r>
        <w:rPr>
          <w:rFonts w:ascii="Arial" w:cs="Arial" w:eastAsia="Arial" w:hAnsi="Arial"/>
          <w:sz w:val="15"/>
          <w:szCs w:val="15"/>
          <w:i w:val="1"/>
          <w:iCs w:val="1"/>
          <w:color w:val="auto"/>
        </w:rPr>
        <w:t xml:space="preserve">Equity and Preferred Security Investments. </w:t>
      </w:r>
      <w:r>
        <w:rPr>
          <w:rFonts w:ascii="Arial" w:cs="Arial" w:eastAsia="Arial" w:hAnsi="Arial"/>
          <w:sz w:val="15"/>
          <w:szCs w:val="15"/>
          <w:color w:val="auto"/>
        </w:rPr>
        <w:t>Our equity and preferred security investments may be subject to significant volatility. Currently prevailing accounting standards require us to</w:t>
      </w:r>
      <w:r>
        <w:rPr>
          <w:rFonts w:ascii="Arial" w:cs="Arial" w:eastAsia="Arial" w:hAnsi="Arial"/>
          <w:sz w:val="15"/>
          <w:szCs w:val="15"/>
          <w:i w:val="1"/>
          <w:iCs w:val="1"/>
          <w:color w:val="auto"/>
        </w:rPr>
        <w:t xml:space="preserve"> </w:t>
      </w:r>
      <w:r>
        <w:rPr>
          <w:rFonts w:ascii="Arial" w:cs="Arial" w:eastAsia="Arial" w:hAnsi="Arial"/>
          <w:sz w:val="15"/>
          <w:szCs w:val="15"/>
          <w:color w:val="auto"/>
        </w:rPr>
        <w:t>record the change in fair value of equity and preferred security investments held as of any given period end within earnings. Our results of operations in future periods is anticipated to be subject to such volatility.</w:t>
      </w:r>
    </w:p>
    <w:p>
      <w:pPr>
        <w:spacing w:after="0" w:line="68" w:lineRule="exact"/>
        <w:rPr>
          <w:sz w:val="20"/>
          <w:szCs w:val="20"/>
          <w:color w:val="auto"/>
        </w:rPr>
      </w:pPr>
    </w:p>
    <w:p>
      <w:pPr>
        <w:jc w:val="both"/>
        <w:ind w:firstLine="265"/>
        <w:spacing w:after="0" w:line="266" w:lineRule="auto"/>
        <w:rPr>
          <w:sz w:val="20"/>
          <w:szCs w:val="20"/>
          <w:color w:val="auto"/>
        </w:rPr>
      </w:pPr>
      <w:r>
        <w:rPr>
          <w:rFonts w:ascii="Arial" w:cs="Arial" w:eastAsia="Arial" w:hAnsi="Arial"/>
          <w:sz w:val="15"/>
          <w:szCs w:val="15"/>
          <w:i w:val="1"/>
          <w:iCs w:val="1"/>
          <w:color w:val="auto"/>
        </w:rPr>
        <w:t xml:space="preserve">Off-Balance Sheet Arrangements. </w:t>
      </w:r>
      <w:r>
        <w:rPr>
          <w:rFonts w:ascii="Arial" w:cs="Arial" w:eastAsia="Arial" w:hAnsi="Arial"/>
          <w:sz w:val="15"/>
          <w:szCs w:val="15"/>
          <w:color w:val="auto"/>
        </w:rPr>
        <w:t>Other than our unfunded investment commitments discussed below, there have been no significant changes to our off-balance sheet arrangements since</w:t>
      </w:r>
      <w:r>
        <w:rPr>
          <w:rFonts w:ascii="Arial" w:cs="Arial" w:eastAsia="Arial" w:hAnsi="Arial"/>
          <w:sz w:val="15"/>
          <w:szCs w:val="15"/>
          <w:i w:val="1"/>
          <w:iCs w:val="1"/>
          <w:color w:val="auto"/>
        </w:rPr>
        <w:t xml:space="preserve"> </w:t>
      </w:r>
      <w:r>
        <w:rPr>
          <w:rFonts w:ascii="Arial" w:cs="Arial" w:eastAsia="Arial" w:hAnsi="Arial"/>
          <w:sz w:val="15"/>
          <w:szCs w:val="15"/>
          <w:color w:val="auto"/>
        </w:rPr>
        <w:t>our Annual Report on Form 10-K for the year ended December 31, 2020.</w:t>
      </w:r>
    </w:p>
    <w:p>
      <w:pPr>
        <w:spacing w:after="0" w:line="103" w:lineRule="exact"/>
        <w:rPr>
          <w:sz w:val="20"/>
          <w:szCs w:val="20"/>
          <w:color w:val="auto"/>
        </w:rPr>
      </w:pPr>
    </w:p>
    <w:p>
      <w:pPr>
        <w:jc w:val="both"/>
        <w:ind w:firstLine="331"/>
        <w:spacing w:after="0" w:line="255" w:lineRule="auto"/>
        <w:rPr>
          <w:sz w:val="20"/>
          <w:szCs w:val="20"/>
          <w:color w:val="auto"/>
        </w:rPr>
      </w:pPr>
      <w:r>
        <w:rPr>
          <w:rFonts w:ascii="Arial" w:cs="Arial" w:eastAsia="Arial" w:hAnsi="Arial"/>
          <w:sz w:val="15"/>
          <w:szCs w:val="15"/>
          <w:color w:val="auto"/>
        </w:rPr>
        <w:t xml:space="preserve">We have unfunded investment commitments as of September 30, 2021 based upon the timing of when investments are executed compared to when the actual investments are funded, as some investments require that funding occur over a period of months or years. Please refer to Note F </w:t>
      </w:r>
      <w:r>
        <w:rPr>
          <w:rFonts w:ascii="Arial" w:cs="Arial" w:eastAsia="Arial" w:hAnsi="Arial"/>
          <w:sz w:val="15"/>
          <w:szCs w:val="15"/>
          <w:i w:val="1"/>
          <w:iCs w:val="1"/>
          <w:color w:val="auto"/>
        </w:rPr>
        <w:t>Commitments and Contingencies</w:t>
      </w:r>
      <w:r>
        <w:rPr>
          <w:rFonts w:ascii="Arial" w:cs="Arial" w:eastAsia="Arial" w:hAnsi="Arial"/>
          <w:sz w:val="15"/>
          <w:szCs w:val="15"/>
          <w:color w:val="auto"/>
        </w:rPr>
        <w:t xml:space="preserve"> to the unaudited Condensed Consolidated Financial Statements included in Item 1 of Part I of this Report for additional details on unfunded investment commitments.</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There have been no material changes to our critical accounting policies described in our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2" w:name="page93"/>
    <w:bookmarkEnd w:id="9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2"/>
          <w:szCs w:val="12"/>
          <w:b w:val="1"/>
          <w:bCs w:val="1"/>
          <w:i w:val="1"/>
          <w:iCs w:val="1"/>
          <w:color w:val="auto"/>
        </w:rPr>
        <w:t>Quantitative and Qualitative Disclosures about Market Risk</w:t>
      </w:r>
    </w:p>
    <w:p>
      <w:pPr>
        <w:spacing w:after="0" w:line="14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There have been no material changes in the market risks described in our Annual Report on Form 10-K for the year ended December 31, 2020.</w:t>
      </w: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Controls and Procedures</w:t>
      </w:r>
    </w:p>
    <w:p>
      <w:pPr>
        <w:spacing w:after="0" w:line="9" w:lineRule="exact"/>
        <w:rPr>
          <w:sz w:val="20"/>
          <w:szCs w:val="20"/>
          <w:color w:val="auto"/>
        </w:rPr>
      </w:pPr>
    </w:p>
    <w:p>
      <w:pPr>
        <w:jc w:val="both"/>
        <w:ind w:firstLine="265"/>
        <w:spacing w:after="0" w:line="219" w:lineRule="auto"/>
        <w:rPr>
          <w:sz w:val="20"/>
          <w:szCs w:val="20"/>
          <w:color w:val="auto"/>
        </w:rPr>
      </w:pPr>
      <w:r>
        <w:rPr>
          <w:rFonts w:ascii="Arial" w:cs="Arial" w:eastAsia="Arial" w:hAnsi="Arial"/>
          <w:sz w:val="15"/>
          <w:szCs w:val="15"/>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170" w:lineRule="exact"/>
        <w:rPr>
          <w:sz w:val="20"/>
          <w:szCs w:val="20"/>
          <w:color w:val="auto"/>
        </w:rPr>
      </w:pPr>
    </w:p>
    <w:p>
      <w:pPr>
        <w:jc w:val="both"/>
        <w:ind w:firstLine="265"/>
        <w:spacing w:after="0" w:line="268" w:lineRule="auto"/>
        <w:rPr>
          <w:sz w:val="20"/>
          <w:szCs w:val="20"/>
          <w:color w:val="auto"/>
        </w:rPr>
      </w:pPr>
      <w:r>
        <w:rPr>
          <w:rFonts w:ascii="Arial" w:cs="Arial" w:eastAsia="Arial" w:hAnsi="Arial"/>
          <w:sz w:val="13"/>
          <w:szCs w:val="13"/>
          <w:color w:val="auto"/>
        </w:rPr>
        <w:t xml:space="preserve">In the second quarter of 2020 we completed our acquisition of F&amp;G (see Note N </w:t>
      </w:r>
      <w:r>
        <w:rPr>
          <w:rFonts w:ascii="Arial" w:cs="Arial" w:eastAsia="Arial" w:hAnsi="Arial"/>
          <w:sz w:val="13"/>
          <w:szCs w:val="13"/>
          <w:i w:val="1"/>
          <w:iCs w:val="1"/>
          <w:color w:val="auto"/>
        </w:rPr>
        <w:t>Acquisitions</w:t>
      </w:r>
      <w:r>
        <w:rPr>
          <w:rFonts w:ascii="Arial" w:cs="Arial" w:eastAsia="Arial" w:hAnsi="Arial"/>
          <w:sz w:val="13"/>
          <w:szCs w:val="13"/>
          <w:color w:val="auto"/>
        </w:rPr>
        <w:t xml:space="preserve"> to the unaudited Condensed Consolidated Financial Statements included in Item 1 of Part I of this Report for additional details on the acquisition of F&amp;G). F&amp;G's controls have been integrated into our overall internal control over financial reporting program. Other than the integration of F&amp;G into our overall internal control over financial reporting program there were no changes in our internal control over financial reporting that occurred during the nine months ended September 30, 2021 that have materially affected, or are reasonably likely to materially affect, our internal control over financial reporting, other than described above.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3" w:name="page94"/>
    <w:bookmarkEnd w:id="93"/>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PART II</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Legal Proceedings</w:t>
      </w:r>
    </w:p>
    <w:p>
      <w:pPr>
        <w:spacing w:after="0" w:line="96" w:lineRule="exact"/>
        <w:rPr>
          <w:sz w:val="20"/>
          <w:szCs w:val="20"/>
          <w:color w:val="auto"/>
        </w:rPr>
      </w:pPr>
    </w:p>
    <w:p>
      <w:pPr>
        <w:ind w:right="60" w:firstLine="265"/>
        <w:spacing w:after="0" w:line="266" w:lineRule="auto"/>
        <w:rPr>
          <w:sz w:val="20"/>
          <w:szCs w:val="20"/>
          <w:color w:val="auto"/>
        </w:rPr>
      </w:pPr>
      <w:r>
        <w:rPr>
          <w:rFonts w:ascii="Arial" w:cs="Arial" w:eastAsia="Arial" w:hAnsi="Arial"/>
          <w:sz w:val="15"/>
          <w:szCs w:val="15"/>
          <w:color w:val="auto"/>
        </w:rPr>
        <w:t xml:space="preserve">See discussion of legal proceedings in Note F </w:t>
      </w:r>
      <w:r>
        <w:rPr>
          <w:rFonts w:ascii="Arial" w:cs="Arial" w:eastAsia="Arial" w:hAnsi="Arial"/>
          <w:sz w:val="15"/>
          <w:szCs w:val="15"/>
          <w:i w:val="1"/>
          <w:iCs w:val="1"/>
          <w:color w:val="auto"/>
        </w:rPr>
        <w:t>Commitment and Contingencies</w:t>
      </w:r>
      <w:r>
        <w:rPr>
          <w:rFonts w:ascii="Arial" w:cs="Arial" w:eastAsia="Arial" w:hAnsi="Arial"/>
          <w:sz w:val="15"/>
          <w:szCs w:val="15"/>
          <w:color w:val="auto"/>
        </w:rPr>
        <w:t xml:space="preserve"> to the Condensed Consolidated Financial Statements included in Item 1 of Part I of this Quarterly Report, which is incorporated by reference into this Item 1 of Part II.</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Item 2. Unregistered Sales of Equity Securities and Use of Proceeds</w:t>
      </w:r>
    </w:p>
    <w:p>
      <w:pPr>
        <w:spacing w:after="0" w:line="13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summarizes repurchases of equity securities by FNF during the three months ended September 30, 2021:</w:t>
      </w:r>
    </w:p>
    <w:p>
      <w:pPr>
        <w:spacing w:after="0" w:line="76" w:lineRule="exact"/>
        <w:rPr>
          <w:sz w:val="20"/>
          <w:szCs w:val="20"/>
          <w:color w:val="auto"/>
        </w:rPr>
      </w:pPr>
    </w:p>
    <w:tbl>
      <w:tblPr>
        <w:tblLayout w:type="fixed"/>
        <w:tblInd w:w="280" w:type="dxa"/>
        <w:tblCellMar>
          <w:top w:w="0" w:type="dxa"/>
          <w:left w:w="0" w:type="dxa"/>
          <w:bottom w:w="0" w:type="dxa"/>
          <w:right w:w="0" w:type="dxa"/>
        </w:tblCellMar>
      </w:tblPr>
      <w:tr>
        <w:trPr>
          <w:trHeight w:val="138"/>
        </w:trPr>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vMerge w:val="restart"/>
          </w:tcPr>
          <w:p>
            <w:pPr>
              <w:ind w:left="340"/>
              <w:spacing w:after="0"/>
              <w:rPr>
                <w:sz w:val="20"/>
                <w:szCs w:val="20"/>
                <w:color w:val="auto"/>
              </w:rPr>
            </w:pPr>
            <w:r>
              <w:rPr>
                <w:rFonts w:ascii="Arial" w:cs="Arial" w:eastAsia="Arial" w:hAnsi="Arial"/>
                <w:sz w:val="12"/>
                <w:szCs w:val="12"/>
                <w:b w:val="1"/>
                <w:bCs w:val="1"/>
                <w:color w:val="auto"/>
              </w:rPr>
              <w:t>Total Number of Shares</w:t>
            </w: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jc w:val="right"/>
              <w:ind w:right="213"/>
              <w:spacing w:after="0"/>
              <w:rPr>
                <w:sz w:val="20"/>
                <w:szCs w:val="20"/>
                <w:color w:val="auto"/>
              </w:rPr>
            </w:pPr>
            <w:r>
              <w:rPr>
                <w:rFonts w:ascii="Arial" w:cs="Arial" w:eastAsia="Arial" w:hAnsi="Arial"/>
                <w:sz w:val="12"/>
                <w:szCs w:val="12"/>
                <w:b w:val="1"/>
                <w:bCs w:val="1"/>
                <w:color w:val="auto"/>
              </w:rPr>
              <w:t>Total Number of Shares</w:t>
            </w:r>
          </w:p>
        </w:tc>
        <w:tc>
          <w:tcPr>
            <w:tcW w:w="100" w:type="dxa"/>
            <w:vAlign w:val="bottom"/>
          </w:tcPr>
          <w:p>
            <w:pPr>
              <w:spacing w:after="0"/>
              <w:rPr>
                <w:sz w:val="12"/>
                <w:szCs w:val="12"/>
                <w:color w:val="auto"/>
              </w:rPr>
            </w:pPr>
          </w:p>
        </w:tc>
        <w:tc>
          <w:tcPr>
            <w:tcW w:w="1820" w:type="dxa"/>
            <w:vAlign w:val="bottom"/>
          </w:tcPr>
          <w:p>
            <w:pPr>
              <w:jc w:val="right"/>
              <w:spacing w:after="0"/>
              <w:rPr>
                <w:sz w:val="20"/>
                <w:szCs w:val="20"/>
                <w:color w:val="auto"/>
              </w:rPr>
            </w:pPr>
            <w:r>
              <w:rPr>
                <w:rFonts w:ascii="Arial" w:cs="Arial" w:eastAsia="Arial" w:hAnsi="Arial"/>
                <w:sz w:val="12"/>
                <w:szCs w:val="12"/>
                <w:b w:val="1"/>
                <w:bCs w:val="1"/>
                <w:color w:val="auto"/>
                <w:w w:val="94"/>
              </w:rPr>
              <w:t>Maximum Number of Shares that</w:t>
            </w:r>
          </w:p>
        </w:tc>
        <w:tc>
          <w:tcPr>
            <w:tcW w:w="0" w:type="dxa"/>
            <w:vAlign w:val="bottom"/>
          </w:tcPr>
          <w:p>
            <w:pPr>
              <w:spacing w:after="0"/>
              <w:rPr>
                <w:sz w:val="1"/>
                <w:szCs w:val="1"/>
                <w:color w:val="auto"/>
              </w:rPr>
            </w:pPr>
          </w:p>
        </w:tc>
      </w:tr>
      <w:tr>
        <w:trPr>
          <w:trHeight w:val="110"/>
        </w:trPr>
        <w:tc>
          <w:tcPr>
            <w:tcW w:w="3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Period</w:t>
            </w:r>
          </w:p>
        </w:tc>
        <w:tc>
          <w:tcPr>
            <w:tcW w:w="100" w:type="dxa"/>
            <w:vAlign w:val="bottom"/>
            <w:vMerge w:val="restart"/>
          </w:tcPr>
          <w:p>
            <w:pPr>
              <w:spacing w:after="0"/>
              <w:rPr>
                <w:sz w:val="9"/>
                <w:szCs w:val="9"/>
                <w:color w:val="auto"/>
              </w:rPr>
            </w:pPr>
          </w:p>
        </w:tc>
        <w:tc>
          <w:tcPr>
            <w:tcW w:w="19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jc w:val="right"/>
              <w:ind w:right="89"/>
              <w:spacing w:after="0"/>
              <w:rPr>
                <w:sz w:val="20"/>
                <w:szCs w:val="20"/>
                <w:color w:val="auto"/>
              </w:rPr>
            </w:pPr>
            <w:r>
              <w:rPr>
                <w:rFonts w:ascii="Arial" w:cs="Arial" w:eastAsia="Arial" w:hAnsi="Arial"/>
                <w:sz w:val="12"/>
                <w:szCs w:val="12"/>
                <w:b w:val="1"/>
                <w:bCs w:val="1"/>
                <w:color w:val="auto"/>
                <w:w w:val="88"/>
              </w:rPr>
              <w:t>Average Price Paid per Share</w:t>
            </w:r>
          </w:p>
        </w:tc>
        <w:tc>
          <w:tcPr>
            <w:tcW w:w="120" w:type="dxa"/>
            <w:vAlign w:val="bottom"/>
            <w:vMerge w:val="restart"/>
          </w:tcPr>
          <w:p>
            <w:pPr>
              <w:spacing w:after="0"/>
              <w:rPr>
                <w:sz w:val="9"/>
                <w:szCs w:val="9"/>
                <w:color w:val="auto"/>
              </w:rPr>
            </w:pPr>
          </w:p>
        </w:tc>
        <w:tc>
          <w:tcPr>
            <w:tcW w:w="1820" w:type="dxa"/>
            <w:vAlign w:val="bottom"/>
          </w:tcPr>
          <w:p>
            <w:pPr>
              <w:jc w:val="right"/>
              <w:ind w:right="113"/>
              <w:spacing w:after="0" w:line="111" w:lineRule="exact"/>
              <w:rPr>
                <w:sz w:val="20"/>
                <w:szCs w:val="20"/>
                <w:color w:val="auto"/>
              </w:rPr>
            </w:pPr>
            <w:r>
              <w:rPr>
                <w:rFonts w:ascii="Arial" w:cs="Arial" w:eastAsia="Arial" w:hAnsi="Arial"/>
                <w:sz w:val="12"/>
                <w:szCs w:val="12"/>
                <w:b w:val="1"/>
                <w:bCs w:val="1"/>
                <w:color w:val="auto"/>
                <w:w w:val="95"/>
              </w:rPr>
              <w:t>Purchased as Part of Publicly</w:t>
            </w:r>
          </w:p>
        </w:tc>
        <w:tc>
          <w:tcPr>
            <w:tcW w:w="100" w:type="dxa"/>
            <w:vAlign w:val="bottom"/>
          </w:tcPr>
          <w:p>
            <w:pPr>
              <w:spacing w:after="0"/>
              <w:rPr>
                <w:sz w:val="9"/>
                <w:szCs w:val="9"/>
                <w:color w:val="auto"/>
              </w:rPr>
            </w:pPr>
          </w:p>
        </w:tc>
        <w:tc>
          <w:tcPr>
            <w:tcW w:w="1820" w:type="dxa"/>
            <w:vAlign w:val="bottom"/>
          </w:tcPr>
          <w:p>
            <w:pPr>
              <w:jc w:val="right"/>
              <w:ind w:right="1"/>
              <w:spacing w:after="0" w:line="111" w:lineRule="exact"/>
              <w:rPr>
                <w:sz w:val="20"/>
                <w:szCs w:val="20"/>
                <w:color w:val="auto"/>
              </w:rPr>
            </w:pPr>
            <w:r>
              <w:rPr>
                <w:rFonts w:ascii="Arial" w:cs="Arial" w:eastAsia="Arial" w:hAnsi="Arial"/>
                <w:sz w:val="12"/>
                <w:szCs w:val="12"/>
                <w:b w:val="1"/>
                <w:bCs w:val="1"/>
                <w:color w:val="auto"/>
                <w:w w:val="92"/>
              </w:rPr>
              <w:t>May Yet Be Purchased Under the</w:t>
            </w:r>
          </w:p>
        </w:tc>
        <w:tc>
          <w:tcPr>
            <w:tcW w:w="0" w:type="dxa"/>
            <w:vAlign w:val="bottom"/>
          </w:tcPr>
          <w:p>
            <w:pPr>
              <w:spacing w:after="0"/>
              <w:rPr>
                <w:sz w:val="1"/>
                <w:szCs w:val="1"/>
                <w:color w:val="auto"/>
              </w:rPr>
            </w:pPr>
          </w:p>
        </w:tc>
      </w:tr>
      <w:tr>
        <w:trPr>
          <w:trHeight w:val="153"/>
        </w:trPr>
        <w:tc>
          <w:tcPr>
            <w:tcW w:w="33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820" w:type="dxa"/>
            <w:vAlign w:val="bottom"/>
            <w:tcBorders>
              <w:bottom w:val="single" w:sz="8" w:color="auto"/>
            </w:tcBorders>
          </w:tcPr>
          <w:p>
            <w:pPr>
              <w:jc w:val="right"/>
              <w:ind w:right="571"/>
              <w:spacing w:after="0"/>
              <w:rPr>
                <w:sz w:val="20"/>
                <w:szCs w:val="20"/>
                <w:color w:val="auto"/>
              </w:rPr>
            </w:pPr>
            <w:r>
              <w:rPr>
                <w:rFonts w:ascii="Arial" w:cs="Arial" w:eastAsia="Arial" w:hAnsi="Arial"/>
                <w:sz w:val="12"/>
                <w:szCs w:val="12"/>
                <w:b w:val="1"/>
                <w:bCs w:val="1"/>
                <w:color w:val="auto"/>
              </w:rPr>
              <w:t>Purchased</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Announced Plans or Programs (1)</w:t>
            </w:r>
          </w:p>
        </w:tc>
        <w:tc>
          <w:tcPr>
            <w:tcW w:w="100" w:type="dxa"/>
            <w:vAlign w:val="bottom"/>
            <w:tcBorders>
              <w:bottom w:val="single" w:sz="8" w:color="CCEEFF"/>
            </w:tcBorders>
          </w:tcPr>
          <w:p>
            <w:pPr>
              <w:spacing w:after="0"/>
              <w:rPr>
                <w:sz w:val="13"/>
                <w:szCs w:val="13"/>
                <w:color w:val="auto"/>
              </w:rPr>
            </w:pPr>
          </w:p>
        </w:tc>
        <w:tc>
          <w:tcPr>
            <w:tcW w:w="1820" w:type="dxa"/>
            <w:vAlign w:val="bottom"/>
            <w:tcBorders>
              <w:bottom w:val="single" w:sz="8" w:color="auto"/>
            </w:tcBorders>
          </w:tcPr>
          <w:p>
            <w:pPr>
              <w:jc w:val="right"/>
              <w:ind w:right="301"/>
              <w:spacing w:after="0"/>
              <w:rPr>
                <w:sz w:val="20"/>
                <w:szCs w:val="20"/>
                <w:color w:val="auto"/>
              </w:rPr>
            </w:pPr>
            <w:r>
              <w:rPr>
                <w:rFonts w:ascii="Arial" w:cs="Arial" w:eastAsia="Arial" w:hAnsi="Arial"/>
                <w:sz w:val="12"/>
                <w:szCs w:val="12"/>
                <w:b w:val="1"/>
                <w:bCs w:val="1"/>
                <w:color w:val="auto"/>
              </w:rPr>
              <w:t>Plans or Programs (2)</w:t>
            </w:r>
          </w:p>
        </w:tc>
        <w:tc>
          <w:tcPr>
            <w:tcW w:w="0" w:type="dxa"/>
            <w:vAlign w:val="bottom"/>
          </w:tcPr>
          <w:p>
            <w:pPr>
              <w:spacing w:after="0"/>
              <w:rPr>
                <w:sz w:val="1"/>
                <w:szCs w:val="1"/>
                <w:color w:val="auto"/>
              </w:rPr>
            </w:pPr>
          </w:p>
        </w:tc>
      </w:tr>
      <w:tr>
        <w:trPr>
          <w:trHeight w:val="181"/>
        </w:trPr>
        <w:tc>
          <w:tcPr>
            <w:tcW w:w="3320" w:type="dxa"/>
            <w:vAlign w:val="bottom"/>
            <w:shd w:val="clear" w:color="auto" w:fill="CCEEFF"/>
          </w:tcPr>
          <w:p>
            <w:pPr>
              <w:ind w:left="80"/>
              <w:spacing w:after="0"/>
              <w:rPr>
                <w:sz w:val="20"/>
                <w:szCs w:val="20"/>
                <w:color w:val="auto"/>
              </w:rPr>
            </w:pPr>
            <w:r>
              <w:rPr>
                <w:rFonts w:ascii="Arial" w:cs="Arial" w:eastAsia="Arial" w:hAnsi="Arial"/>
                <w:sz w:val="15"/>
                <w:szCs w:val="15"/>
                <w:color w:val="auto"/>
              </w:rPr>
              <w:t>7/1/2021 - 7/31/2021</w:t>
            </w: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400,000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43.71</w:t>
            </w: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400,000</w:t>
            </w:r>
          </w:p>
        </w:tc>
        <w:tc>
          <w:tcPr>
            <w:tcW w:w="1920" w:type="dxa"/>
            <w:vAlign w:val="bottom"/>
            <w:gridSpan w:val="2"/>
            <w:shd w:val="clear" w:color="auto" w:fill="CCEEFF"/>
          </w:tcPr>
          <w:p>
            <w:pPr>
              <w:jc w:val="right"/>
              <w:ind w:right="1"/>
              <w:spacing w:after="0"/>
              <w:rPr>
                <w:sz w:val="20"/>
                <w:szCs w:val="20"/>
                <w:color w:val="auto"/>
              </w:rPr>
            </w:pPr>
            <w:r>
              <w:rPr>
                <w:rFonts w:ascii="Arial" w:cs="Arial" w:eastAsia="Arial" w:hAnsi="Arial"/>
                <w:sz w:val="15"/>
                <w:szCs w:val="15"/>
                <w:color w:val="auto"/>
              </w:rPr>
              <w:t>7,570,000</w:t>
            </w:r>
          </w:p>
        </w:tc>
        <w:tc>
          <w:tcPr>
            <w:tcW w:w="0" w:type="dxa"/>
            <w:vAlign w:val="bottom"/>
          </w:tcPr>
          <w:p>
            <w:pPr>
              <w:spacing w:after="0"/>
              <w:rPr>
                <w:sz w:val="1"/>
                <w:szCs w:val="1"/>
                <w:color w:val="auto"/>
              </w:rPr>
            </w:pPr>
          </w:p>
        </w:tc>
      </w:tr>
      <w:tr>
        <w:trPr>
          <w:trHeight w:val="188"/>
        </w:trPr>
        <w:tc>
          <w:tcPr>
            <w:tcW w:w="3320" w:type="dxa"/>
            <w:vAlign w:val="bottom"/>
          </w:tcPr>
          <w:p>
            <w:pPr>
              <w:ind w:left="80"/>
              <w:spacing w:after="0"/>
              <w:rPr>
                <w:sz w:val="20"/>
                <w:szCs w:val="20"/>
                <w:color w:val="auto"/>
              </w:rPr>
            </w:pPr>
            <w:r>
              <w:rPr>
                <w:rFonts w:ascii="Arial" w:cs="Arial" w:eastAsia="Arial" w:hAnsi="Arial"/>
                <w:sz w:val="15"/>
                <w:szCs w:val="15"/>
                <w:color w:val="auto"/>
              </w:rPr>
              <w:t>8/1/2021 - 8/31/2021</w:t>
            </w:r>
          </w:p>
        </w:tc>
        <w:tc>
          <w:tcPr>
            <w:tcW w:w="1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475,000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48.43</w:t>
            </w:r>
          </w:p>
        </w:tc>
        <w:tc>
          <w:tcPr>
            <w:tcW w:w="12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475,000</w:t>
            </w:r>
          </w:p>
        </w:tc>
        <w:tc>
          <w:tcPr>
            <w:tcW w:w="1920" w:type="dxa"/>
            <w:vAlign w:val="bottom"/>
            <w:gridSpan w:val="2"/>
          </w:tcPr>
          <w:p>
            <w:pPr>
              <w:jc w:val="right"/>
              <w:ind w:right="1"/>
              <w:spacing w:after="0"/>
              <w:rPr>
                <w:sz w:val="20"/>
                <w:szCs w:val="20"/>
                <w:color w:val="auto"/>
              </w:rPr>
            </w:pPr>
            <w:r>
              <w:rPr>
                <w:rFonts w:ascii="Arial" w:cs="Arial" w:eastAsia="Arial" w:hAnsi="Arial"/>
                <w:sz w:val="15"/>
                <w:szCs w:val="15"/>
                <w:color w:val="auto"/>
              </w:rPr>
              <w:t>24,525,000</w:t>
            </w:r>
          </w:p>
        </w:tc>
        <w:tc>
          <w:tcPr>
            <w:tcW w:w="0" w:type="dxa"/>
            <w:vAlign w:val="bottom"/>
          </w:tcPr>
          <w:p>
            <w:pPr>
              <w:spacing w:after="0"/>
              <w:rPr>
                <w:sz w:val="1"/>
                <w:szCs w:val="1"/>
                <w:color w:val="auto"/>
              </w:rPr>
            </w:pPr>
          </w:p>
        </w:tc>
      </w:tr>
      <w:tr>
        <w:trPr>
          <w:trHeight w:val="188"/>
        </w:trPr>
        <w:tc>
          <w:tcPr>
            <w:tcW w:w="3320" w:type="dxa"/>
            <w:vAlign w:val="bottom"/>
            <w:shd w:val="clear" w:color="auto" w:fill="CCEEFF"/>
          </w:tcPr>
          <w:p>
            <w:pPr>
              <w:ind w:left="80"/>
              <w:spacing w:after="0"/>
              <w:rPr>
                <w:sz w:val="20"/>
                <w:szCs w:val="20"/>
                <w:color w:val="auto"/>
              </w:rPr>
            </w:pPr>
            <w:r>
              <w:rPr>
                <w:rFonts w:ascii="Arial" w:cs="Arial" w:eastAsia="Arial" w:hAnsi="Arial"/>
                <w:sz w:val="15"/>
                <w:szCs w:val="15"/>
                <w:color w:val="auto"/>
              </w:rPr>
              <w:t>9/1/2021 - 9/30/2021</w:t>
            </w:r>
          </w:p>
        </w:tc>
        <w:tc>
          <w:tcPr>
            <w:tcW w:w="100" w:type="dxa"/>
            <w:vAlign w:val="bottom"/>
            <w:shd w:val="clear" w:color="auto" w:fill="CCEEFF"/>
          </w:tcPr>
          <w:p>
            <w:pPr>
              <w:spacing w:after="0"/>
              <w:rPr>
                <w:sz w:val="16"/>
                <w:szCs w:val="16"/>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450,000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46.30</w:t>
            </w:r>
          </w:p>
        </w:tc>
        <w:tc>
          <w:tcPr>
            <w:tcW w:w="120" w:type="dxa"/>
            <w:vAlign w:val="bottom"/>
            <w:shd w:val="clear" w:color="auto" w:fill="CCEEFF"/>
          </w:tcPr>
          <w:p>
            <w:pPr>
              <w:spacing w:after="0"/>
              <w:rPr>
                <w:sz w:val="16"/>
                <w:szCs w:val="16"/>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450,000</w:t>
            </w:r>
          </w:p>
        </w:tc>
        <w:tc>
          <w:tcPr>
            <w:tcW w:w="1920" w:type="dxa"/>
            <w:vAlign w:val="bottom"/>
            <w:gridSpan w:val="2"/>
            <w:shd w:val="clear" w:color="auto" w:fill="CCEEFF"/>
          </w:tcPr>
          <w:p>
            <w:pPr>
              <w:jc w:val="right"/>
              <w:ind w:right="1"/>
              <w:spacing w:after="0"/>
              <w:rPr>
                <w:sz w:val="20"/>
                <w:szCs w:val="20"/>
                <w:color w:val="auto"/>
              </w:rPr>
            </w:pPr>
            <w:r>
              <w:rPr>
                <w:rFonts w:ascii="Arial" w:cs="Arial" w:eastAsia="Arial" w:hAnsi="Arial"/>
                <w:sz w:val="15"/>
                <w:szCs w:val="15"/>
                <w:color w:val="auto"/>
              </w:rPr>
              <w:t>24,075,000</w:t>
            </w:r>
          </w:p>
        </w:tc>
        <w:tc>
          <w:tcPr>
            <w:tcW w:w="0" w:type="dxa"/>
            <w:vAlign w:val="bottom"/>
          </w:tcPr>
          <w:p>
            <w:pPr>
              <w:spacing w:after="0"/>
              <w:rPr>
                <w:sz w:val="1"/>
                <w:szCs w:val="1"/>
                <w:color w:val="auto"/>
              </w:rPr>
            </w:pPr>
          </w:p>
        </w:tc>
      </w:tr>
      <w:tr>
        <w:trPr>
          <w:trHeight w:val="179"/>
        </w:trPr>
        <w:tc>
          <w:tcPr>
            <w:tcW w:w="3420" w:type="dxa"/>
            <w:vAlign w:val="bottom"/>
            <w:gridSpan w:val="2"/>
          </w:tcPr>
          <w:p>
            <w:pPr>
              <w:ind w:left="80"/>
              <w:spacing w:after="0"/>
              <w:rPr>
                <w:sz w:val="20"/>
                <w:szCs w:val="20"/>
                <w:color w:val="auto"/>
              </w:rPr>
            </w:pPr>
            <w:r>
              <w:rPr>
                <w:rFonts w:ascii="Arial" w:cs="Arial" w:eastAsia="Arial" w:hAnsi="Arial"/>
                <w:sz w:val="15"/>
                <w:szCs w:val="15"/>
                <w:color w:val="auto"/>
              </w:rPr>
              <w:t>Total</w:t>
            </w:r>
          </w:p>
        </w:tc>
        <w:tc>
          <w:tcPr>
            <w:tcW w:w="1820" w:type="dxa"/>
            <w:vAlign w:val="bottom"/>
          </w:tcPr>
          <w:p>
            <w:pPr>
              <w:jc w:val="right"/>
              <w:spacing w:after="0"/>
              <w:rPr>
                <w:sz w:val="20"/>
                <w:szCs w:val="20"/>
                <w:color w:val="auto"/>
              </w:rPr>
            </w:pPr>
            <w:r>
              <w:rPr>
                <w:rFonts w:ascii="Arial" w:cs="Arial" w:eastAsia="Arial" w:hAnsi="Arial"/>
                <w:sz w:val="15"/>
                <w:szCs w:val="15"/>
                <w:color w:val="auto"/>
              </w:rPr>
              <w:t>1,325,000</w:t>
            </w:r>
          </w:p>
        </w:tc>
        <w:tc>
          <w:tcPr>
            <w:tcW w:w="1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46.29</w:t>
            </w:r>
          </w:p>
        </w:tc>
        <w:tc>
          <w:tcPr>
            <w:tcW w:w="12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1,325,000</w:t>
            </w: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800" w:right="60" w:hanging="527"/>
        <w:spacing w:after="0" w:line="255" w:lineRule="auto"/>
        <w:tabs>
          <w:tab w:leader="none" w:pos="628" w:val="left"/>
        </w:tabs>
        <w:numPr>
          <w:ilvl w:val="0"/>
          <w:numId w:val="28"/>
        </w:numPr>
        <w:rPr>
          <w:rFonts w:ascii="Arial" w:cs="Arial" w:eastAsia="Arial" w:hAnsi="Arial"/>
          <w:sz w:val="15"/>
          <w:szCs w:val="15"/>
          <w:color w:val="auto"/>
        </w:rPr>
      </w:pPr>
      <w:r>
        <w:rPr>
          <w:rFonts w:ascii="Arial" w:cs="Arial" w:eastAsia="Arial" w:hAnsi="Arial"/>
          <w:sz w:val="15"/>
          <w:szCs w:val="15"/>
          <w:color w:val="auto"/>
        </w:rPr>
        <w:t>On August 3, 2021 our Board of Directors approved the 2021 Repurchase Program, effective August 3, 2021, under which we may purchase up to 25 million shares of our FNF common stock through July 31, 2024. The 2021 Repurchase Program replaces the 2018 Repurchase Program approved by our Board of Directors on July 17, 2018, pursuant to which we were authorized to purchase up to 25 million shares of our FNF common stock through July 31, 2021.</w:t>
      </w:r>
    </w:p>
    <w:p>
      <w:pPr>
        <w:spacing w:after="0" w:line="57" w:lineRule="exact"/>
        <w:rPr>
          <w:rFonts w:ascii="Arial" w:cs="Arial" w:eastAsia="Arial" w:hAnsi="Arial"/>
          <w:sz w:val="15"/>
          <w:szCs w:val="15"/>
          <w:color w:val="auto"/>
        </w:rPr>
      </w:pPr>
    </w:p>
    <w:p>
      <w:pPr>
        <w:ind w:left="580" w:hanging="307"/>
        <w:spacing w:after="0"/>
        <w:tabs>
          <w:tab w:leader="none" w:pos="5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As of the last day of the applicable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6. Exhibits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(a) Exhibits:</w:t>
      </w:r>
    </w:p>
    <w:p>
      <w:pPr>
        <w:spacing w:after="0" w:line="200" w:lineRule="exact"/>
        <w:rPr>
          <w:sz w:val="20"/>
          <w:szCs w:val="20"/>
          <w:color w:val="auto"/>
        </w:rPr>
      </w:pPr>
    </w:p>
    <w:p>
      <w:pPr>
        <w:spacing w:after="0" w:line="356"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82485" cy="393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340"/>
          </w:cols>
          <w:pgMar w:left="300" w:top="129" w:right="25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72"/>
        </w:trPr>
        <w:tc>
          <w:tcPr>
            <w:tcW w:w="1060" w:type="dxa"/>
            <w:vAlign w:val="bottom"/>
            <w:tcBorders>
              <w:bottom w:val="single" w:sz="8" w:color="0000FF"/>
            </w:tcBorders>
          </w:tcPr>
          <w:p>
            <w:pPr>
              <w:spacing w:after="0"/>
              <w:rPr>
                <w:rFonts w:ascii="Arial" w:cs="Arial" w:eastAsia="Arial" w:hAnsi="Arial"/>
                <w:sz w:val="15"/>
                <w:szCs w:val="15"/>
                <w:color w:val="0000FF"/>
                <w:w w:val="87"/>
              </w:rPr>
            </w:pPr>
            <w:hyperlink w:anchor="page2">
              <w:r>
                <w:rPr>
                  <w:rFonts w:ascii="Arial" w:cs="Arial" w:eastAsia="Arial" w:hAnsi="Arial"/>
                  <w:sz w:val="15"/>
                  <w:szCs w:val="15"/>
                  <w:color w:val="0000FF"/>
                  <w:w w:val="87"/>
                </w:rPr>
                <w:t>Table of Contents</w:t>
              </w:r>
            </w:hyperlink>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86"/>
        </w:trPr>
        <w:tc>
          <w:tcPr>
            <w:tcW w:w="1060" w:type="dxa"/>
            <w:vAlign w:val="bottom"/>
          </w:tcPr>
          <w:p>
            <w:pPr>
              <w:jc w:val="center"/>
              <w:spacing w:after="0"/>
              <w:rPr>
                <w:sz w:val="20"/>
                <w:szCs w:val="20"/>
                <w:color w:val="auto"/>
              </w:rPr>
            </w:pPr>
            <w:r>
              <w:rPr>
                <w:rFonts w:ascii="Arial" w:cs="Arial" w:eastAsia="Arial" w:hAnsi="Arial"/>
                <w:sz w:val="15"/>
                <w:szCs w:val="15"/>
                <w:color w:val="auto"/>
                <w:w w:val="95"/>
              </w:rPr>
              <w:t>4.1</w:t>
            </w:r>
          </w:p>
        </w:tc>
        <w:tc>
          <w:tcPr>
            <w:tcW w:w="460" w:type="dxa"/>
            <w:vAlign w:val="bottom"/>
          </w:tcPr>
          <w:p>
            <w:pPr>
              <w:spacing w:after="0"/>
              <w:rPr>
                <w:sz w:val="24"/>
                <w:szCs w:val="24"/>
                <w:color w:val="auto"/>
              </w:rPr>
            </w:pPr>
          </w:p>
        </w:tc>
        <w:tc>
          <w:tcPr>
            <w:tcW w:w="9760" w:type="dxa"/>
            <w:vAlign w:val="bottom"/>
            <w:gridSpan w:val="8"/>
          </w:tcPr>
          <w:p>
            <w:pPr>
              <w:spacing w:after="0"/>
              <w:rPr>
                <w:rFonts w:ascii="Arial" w:cs="Arial" w:eastAsia="Arial" w:hAnsi="Arial"/>
                <w:sz w:val="15"/>
                <w:szCs w:val="15"/>
                <w:color w:val="0000FF"/>
                <w:w w:val="92"/>
              </w:rPr>
            </w:pPr>
            <w:hyperlink r:id="rId144">
              <w:r>
                <w:rPr>
                  <w:rFonts w:ascii="Arial" w:cs="Arial" w:eastAsia="Arial" w:hAnsi="Arial"/>
                  <w:sz w:val="15"/>
                  <w:szCs w:val="15"/>
                  <w:color w:val="0000FF"/>
                  <w:w w:val="92"/>
                </w:rPr>
                <w:t>Seventh Supplemental Indenture, dated as of September 17, 2021, between Fidelity National Financial, Inc. and The Bank of New York Mellon Trust Company,</w:t>
              </w:r>
            </w:hyperlink>
          </w:p>
        </w:tc>
      </w:tr>
      <w:tr>
        <w:trPr>
          <w:trHeight w:val="124"/>
        </w:trPr>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740" w:type="dxa"/>
            <w:vAlign w:val="bottom"/>
            <w:tcBorders>
              <w:top w:val="single" w:sz="8" w:color="0000FF"/>
            </w:tcBorders>
            <w:gridSpan w:val="7"/>
          </w:tcPr>
          <w:p>
            <w:pPr>
              <w:spacing w:after="0" w:line="124" w:lineRule="exact"/>
              <w:rPr>
                <w:rFonts w:ascii="Arial" w:cs="Arial" w:eastAsia="Arial" w:hAnsi="Arial"/>
                <w:sz w:val="14"/>
                <w:szCs w:val="14"/>
                <w:color w:val="0000FF"/>
              </w:rPr>
            </w:pPr>
            <w:hyperlink r:id="rId144">
              <w:r>
                <w:rPr>
                  <w:rFonts w:ascii="Arial" w:cs="Arial" w:eastAsia="Arial" w:hAnsi="Arial"/>
                  <w:sz w:val="14"/>
                  <w:szCs w:val="14"/>
                  <w:color w:val="0000FF"/>
                </w:rPr>
                <w:t>N.A. (incorporated by reference to Exhibit 4.1 to the Registrant's Current Report on Form 8-K filed on September 17, 2021).</w:t>
              </w:r>
            </w:hyperlink>
          </w:p>
        </w:tc>
        <w:tc>
          <w:tcPr>
            <w:tcW w:w="20" w:type="dxa"/>
            <w:vAlign w:val="bottom"/>
          </w:tcPr>
          <w:p>
            <w:pPr>
              <w:spacing w:after="0"/>
              <w:rPr>
                <w:sz w:val="10"/>
                <w:szCs w:val="10"/>
                <w:color w:val="auto"/>
              </w:rPr>
            </w:pPr>
          </w:p>
        </w:tc>
      </w:tr>
      <w:tr>
        <w:trPr>
          <w:trHeight w:val="20"/>
        </w:trPr>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2"/>
        </w:trPr>
        <w:tc>
          <w:tcPr>
            <w:tcW w:w="1060" w:type="dxa"/>
            <w:vAlign w:val="bottom"/>
          </w:tcPr>
          <w:p>
            <w:pPr>
              <w:jc w:val="center"/>
              <w:spacing w:after="0"/>
              <w:rPr>
                <w:sz w:val="20"/>
                <w:szCs w:val="20"/>
                <w:color w:val="auto"/>
              </w:rPr>
            </w:pPr>
            <w:r>
              <w:rPr>
                <w:rFonts w:ascii="Arial" w:cs="Arial" w:eastAsia="Arial" w:hAnsi="Arial"/>
                <w:sz w:val="15"/>
                <w:szCs w:val="15"/>
                <w:color w:val="auto"/>
                <w:w w:val="95"/>
              </w:rPr>
              <w:t>4.2</w:t>
            </w:r>
          </w:p>
        </w:tc>
        <w:tc>
          <w:tcPr>
            <w:tcW w:w="460" w:type="dxa"/>
            <w:vAlign w:val="bottom"/>
          </w:tcPr>
          <w:p>
            <w:pPr>
              <w:spacing w:after="0"/>
              <w:rPr>
                <w:sz w:val="18"/>
                <w:szCs w:val="18"/>
                <w:color w:val="auto"/>
              </w:rPr>
            </w:pPr>
          </w:p>
        </w:tc>
        <w:tc>
          <w:tcPr>
            <w:tcW w:w="9760" w:type="dxa"/>
            <w:vAlign w:val="bottom"/>
            <w:tcBorders>
              <w:bottom w:val="single" w:sz="8" w:color="0000FF"/>
            </w:tcBorders>
            <w:gridSpan w:val="8"/>
          </w:tcPr>
          <w:p>
            <w:pPr>
              <w:spacing w:after="0"/>
              <w:rPr>
                <w:rFonts w:ascii="Arial" w:cs="Arial" w:eastAsia="Arial" w:hAnsi="Arial"/>
                <w:sz w:val="15"/>
                <w:szCs w:val="15"/>
                <w:color w:val="0000FF"/>
                <w:w w:val="91"/>
              </w:rPr>
            </w:pPr>
            <w:hyperlink r:id="rId144">
              <w:r>
                <w:rPr>
                  <w:rFonts w:ascii="Arial" w:cs="Arial" w:eastAsia="Arial" w:hAnsi="Arial"/>
                  <w:sz w:val="15"/>
                  <w:szCs w:val="15"/>
                  <w:color w:val="0000FF"/>
                  <w:w w:val="91"/>
                </w:rPr>
                <w:t>Form of Notes (included in exhibit 4.1 hereto which is incorporated by reference to Exhibit 4.1 to the Registrant's Current Report on Form 8-K filed on September</w:t>
              </w:r>
            </w:hyperlink>
          </w:p>
        </w:tc>
      </w:tr>
      <w:tr>
        <w:trPr>
          <w:trHeight w:val="124"/>
        </w:trPr>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Borders>
              <w:bottom w:val="single" w:sz="8" w:color="0000FF"/>
            </w:tcBorders>
          </w:tcPr>
          <w:p>
            <w:pPr>
              <w:spacing w:after="0" w:line="124" w:lineRule="exact"/>
              <w:rPr>
                <w:rFonts w:ascii="Arial" w:cs="Arial" w:eastAsia="Arial" w:hAnsi="Arial"/>
                <w:sz w:val="14"/>
                <w:szCs w:val="14"/>
                <w:color w:val="0000FF"/>
                <w:w w:val="91"/>
              </w:rPr>
            </w:pPr>
            <w:hyperlink r:id="rId144">
              <w:r>
                <w:rPr>
                  <w:rFonts w:ascii="Arial" w:cs="Arial" w:eastAsia="Arial" w:hAnsi="Arial"/>
                  <w:sz w:val="14"/>
                  <w:szCs w:val="14"/>
                  <w:color w:val="0000FF"/>
                  <w:w w:val="91"/>
                </w:rPr>
                <w:t>17, 2021).</w:t>
              </w:r>
            </w:hyperlink>
          </w:p>
        </w:tc>
        <w:tc>
          <w:tcPr>
            <w:tcW w:w="5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2"/>
        </w:trPr>
        <w:tc>
          <w:tcPr>
            <w:tcW w:w="1060" w:type="dxa"/>
            <w:vAlign w:val="bottom"/>
          </w:tcPr>
          <w:p>
            <w:pPr>
              <w:jc w:val="center"/>
              <w:spacing w:after="0"/>
              <w:rPr>
                <w:sz w:val="20"/>
                <w:szCs w:val="20"/>
                <w:color w:val="auto"/>
              </w:rPr>
            </w:pPr>
            <w:r>
              <w:rPr>
                <w:rFonts w:ascii="Arial" w:cs="Arial" w:eastAsia="Arial" w:hAnsi="Arial"/>
                <w:sz w:val="15"/>
                <w:szCs w:val="15"/>
                <w:color w:val="auto"/>
                <w:w w:val="82"/>
              </w:rPr>
              <w:t>31.1</w:t>
            </w:r>
          </w:p>
        </w:tc>
        <w:tc>
          <w:tcPr>
            <w:tcW w:w="460" w:type="dxa"/>
            <w:vAlign w:val="bottom"/>
          </w:tcPr>
          <w:p>
            <w:pPr>
              <w:spacing w:after="0"/>
              <w:rPr>
                <w:sz w:val="18"/>
                <w:szCs w:val="18"/>
                <w:color w:val="auto"/>
              </w:rPr>
            </w:pPr>
          </w:p>
        </w:tc>
        <w:tc>
          <w:tcPr>
            <w:tcW w:w="5920" w:type="dxa"/>
            <w:vAlign w:val="bottom"/>
            <w:tcBorders>
              <w:bottom w:val="single" w:sz="8" w:color="0000FF"/>
            </w:tcBorders>
            <w:gridSpan w:val="3"/>
          </w:tcPr>
          <w:p>
            <w:pPr>
              <w:spacing w:after="0"/>
              <w:rPr>
                <w:rFonts w:ascii="Arial" w:cs="Arial" w:eastAsia="Arial" w:hAnsi="Arial"/>
                <w:sz w:val="15"/>
                <w:szCs w:val="15"/>
                <w:color w:val="0000FF"/>
                <w:w w:val="90"/>
              </w:rPr>
            </w:pPr>
            <w:hyperlink w:anchor="page96">
              <w:r>
                <w:rPr>
                  <w:rFonts w:ascii="Arial" w:cs="Arial" w:eastAsia="Arial" w:hAnsi="Arial"/>
                  <w:sz w:val="15"/>
                  <w:szCs w:val="15"/>
                  <w:color w:val="0000FF"/>
                  <w:w w:val="90"/>
                </w:rPr>
                <w:t>Certification of Chief Executive Officer pursuant to Section 302 of the Sarbanes-Oxley Act of 2002.</w:t>
              </w:r>
            </w:hyperlink>
          </w:p>
        </w:tc>
        <w:tc>
          <w:tcPr>
            <w:tcW w:w="3840" w:type="dxa"/>
            <w:vAlign w:val="bottom"/>
            <w:gridSpan w:val="5"/>
          </w:tcPr>
          <w:p>
            <w:pPr>
              <w:spacing w:after="0"/>
              <w:rPr>
                <w:sz w:val="18"/>
                <w:szCs w:val="18"/>
                <w:color w:val="auto"/>
              </w:rPr>
            </w:pPr>
          </w:p>
        </w:tc>
      </w:tr>
      <w:tr>
        <w:trPr>
          <w:trHeight w:val="256"/>
        </w:trPr>
        <w:tc>
          <w:tcPr>
            <w:tcW w:w="1060" w:type="dxa"/>
            <w:vAlign w:val="bottom"/>
          </w:tcPr>
          <w:p>
            <w:pPr>
              <w:jc w:val="center"/>
              <w:spacing w:after="0"/>
              <w:rPr>
                <w:sz w:val="20"/>
                <w:szCs w:val="20"/>
                <w:color w:val="auto"/>
              </w:rPr>
            </w:pPr>
            <w:r>
              <w:rPr>
                <w:rFonts w:ascii="Arial" w:cs="Arial" w:eastAsia="Arial" w:hAnsi="Arial"/>
                <w:sz w:val="15"/>
                <w:szCs w:val="15"/>
                <w:color w:val="auto"/>
                <w:w w:val="82"/>
              </w:rPr>
              <w:t>31.2</w:t>
            </w:r>
          </w:p>
        </w:tc>
        <w:tc>
          <w:tcPr>
            <w:tcW w:w="460" w:type="dxa"/>
            <w:vAlign w:val="bottom"/>
          </w:tcPr>
          <w:p>
            <w:pPr>
              <w:spacing w:after="0"/>
              <w:rPr>
                <w:sz w:val="22"/>
                <w:szCs w:val="22"/>
                <w:color w:val="auto"/>
              </w:rPr>
            </w:pPr>
          </w:p>
        </w:tc>
        <w:tc>
          <w:tcPr>
            <w:tcW w:w="5880" w:type="dxa"/>
            <w:vAlign w:val="bottom"/>
            <w:tcBorders>
              <w:bottom w:val="single" w:sz="8" w:color="0000FF"/>
            </w:tcBorders>
            <w:gridSpan w:val="2"/>
          </w:tcPr>
          <w:p>
            <w:pPr>
              <w:spacing w:after="0"/>
              <w:rPr>
                <w:rFonts w:ascii="Arial" w:cs="Arial" w:eastAsia="Arial" w:hAnsi="Arial"/>
                <w:sz w:val="15"/>
                <w:szCs w:val="15"/>
                <w:color w:val="0000FF"/>
                <w:w w:val="90"/>
              </w:rPr>
            </w:pPr>
            <w:hyperlink w:anchor="page97">
              <w:r>
                <w:rPr>
                  <w:rFonts w:ascii="Arial" w:cs="Arial" w:eastAsia="Arial" w:hAnsi="Arial"/>
                  <w:sz w:val="15"/>
                  <w:szCs w:val="15"/>
                  <w:color w:val="0000FF"/>
                  <w:w w:val="90"/>
                </w:rPr>
                <w:t>Certification of Chief Financial Officer pursuant to Section 302 of the Sarbanes-Oxley Act of 2002.</w:t>
              </w:r>
            </w:hyperlink>
          </w:p>
        </w:tc>
        <w:tc>
          <w:tcPr>
            <w:tcW w:w="3880" w:type="dxa"/>
            <w:vAlign w:val="bottom"/>
            <w:gridSpan w:val="6"/>
          </w:tcPr>
          <w:p>
            <w:pPr>
              <w:spacing w:after="0"/>
              <w:rPr>
                <w:sz w:val="22"/>
                <w:szCs w:val="22"/>
                <w:color w:val="auto"/>
              </w:rPr>
            </w:pPr>
          </w:p>
        </w:tc>
      </w:tr>
      <w:tr>
        <w:trPr>
          <w:trHeight w:val="256"/>
        </w:trPr>
        <w:tc>
          <w:tcPr>
            <w:tcW w:w="1060" w:type="dxa"/>
            <w:vAlign w:val="bottom"/>
          </w:tcPr>
          <w:p>
            <w:pPr>
              <w:jc w:val="center"/>
              <w:spacing w:after="0"/>
              <w:rPr>
                <w:sz w:val="20"/>
                <w:szCs w:val="20"/>
                <w:color w:val="auto"/>
              </w:rPr>
            </w:pPr>
            <w:r>
              <w:rPr>
                <w:rFonts w:ascii="Arial" w:cs="Arial" w:eastAsia="Arial" w:hAnsi="Arial"/>
                <w:sz w:val="15"/>
                <w:szCs w:val="15"/>
                <w:color w:val="auto"/>
                <w:w w:val="82"/>
              </w:rPr>
              <w:t>32.1</w:t>
            </w:r>
          </w:p>
        </w:tc>
        <w:tc>
          <w:tcPr>
            <w:tcW w:w="460" w:type="dxa"/>
            <w:vAlign w:val="bottom"/>
          </w:tcPr>
          <w:p>
            <w:pPr>
              <w:spacing w:after="0"/>
              <w:rPr>
                <w:sz w:val="22"/>
                <w:szCs w:val="22"/>
                <w:color w:val="auto"/>
              </w:rPr>
            </w:pPr>
          </w:p>
        </w:tc>
        <w:tc>
          <w:tcPr>
            <w:tcW w:w="9760" w:type="dxa"/>
            <w:vAlign w:val="bottom"/>
            <w:gridSpan w:val="8"/>
          </w:tcPr>
          <w:p>
            <w:pPr>
              <w:spacing w:after="0"/>
              <w:rPr>
                <w:rFonts w:ascii="Arial" w:cs="Arial" w:eastAsia="Arial" w:hAnsi="Arial"/>
                <w:sz w:val="15"/>
                <w:szCs w:val="15"/>
                <w:color w:val="0000FF"/>
                <w:w w:val="95"/>
              </w:rPr>
            </w:pPr>
            <w:hyperlink w:anchor="page98">
              <w:r>
                <w:rPr>
                  <w:rFonts w:ascii="Arial" w:cs="Arial" w:eastAsia="Arial" w:hAnsi="Arial"/>
                  <w:sz w:val="15"/>
                  <w:szCs w:val="15"/>
                  <w:color w:val="0000FF"/>
                  <w:w w:val="95"/>
                </w:rPr>
                <w:t>Certification by Chief Executive Officer of Periodic Financial Reports pursuant to Section 906 of the Sarbanes-Oxley Act of 2002, 18 U.S.C. Section 1350.</w:t>
              </w:r>
            </w:hyperlink>
          </w:p>
        </w:tc>
      </w:tr>
      <w:tr>
        <w:trPr>
          <w:trHeight w:val="289"/>
        </w:trPr>
        <w:tc>
          <w:tcPr>
            <w:tcW w:w="1060" w:type="dxa"/>
            <w:vAlign w:val="bottom"/>
          </w:tcPr>
          <w:p>
            <w:pPr>
              <w:jc w:val="center"/>
              <w:spacing w:after="0"/>
              <w:rPr>
                <w:sz w:val="20"/>
                <w:szCs w:val="20"/>
                <w:color w:val="auto"/>
              </w:rPr>
            </w:pPr>
            <w:r>
              <w:rPr>
                <w:rFonts w:ascii="Arial" w:cs="Arial" w:eastAsia="Arial" w:hAnsi="Arial"/>
                <w:sz w:val="15"/>
                <w:szCs w:val="15"/>
                <w:color w:val="auto"/>
                <w:w w:val="82"/>
              </w:rPr>
              <w:t>32.2</w:t>
            </w:r>
          </w:p>
        </w:tc>
        <w:tc>
          <w:tcPr>
            <w:tcW w:w="460" w:type="dxa"/>
            <w:vAlign w:val="bottom"/>
          </w:tcPr>
          <w:p>
            <w:pPr>
              <w:spacing w:after="0"/>
              <w:rPr>
                <w:sz w:val="24"/>
                <w:szCs w:val="24"/>
                <w:color w:val="auto"/>
              </w:rPr>
            </w:pPr>
          </w:p>
        </w:tc>
        <w:tc>
          <w:tcPr>
            <w:tcW w:w="9160" w:type="dxa"/>
            <w:vAlign w:val="bottom"/>
            <w:tcBorders>
              <w:top w:val="single" w:sz="8" w:color="0000FF"/>
            </w:tcBorders>
            <w:gridSpan w:val="6"/>
          </w:tcPr>
          <w:p>
            <w:pPr>
              <w:spacing w:after="0"/>
              <w:rPr>
                <w:rFonts w:ascii="Arial" w:cs="Arial" w:eastAsia="Arial" w:hAnsi="Arial"/>
                <w:sz w:val="15"/>
                <w:szCs w:val="15"/>
                <w:color w:val="0000FF"/>
                <w:w w:val="90"/>
              </w:rPr>
            </w:pPr>
            <w:hyperlink w:anchor="page99">
              <w:r>
                <w:rPr>
                  <w:rFonts w:ascii="Arial" w:cs="Arial" w:eastAsia="Arial" w:hAnsi="Arial"/>
                  <w:sz w:val="15"/>
                  <w:szCs w:val="15"/>
                  <w:color w:val="0000FF"/>
                  <w:w w:val="90"/>
                </w:rPr>
                <w:t>Certification by Chief Financial Officer of Periodic Financial Reports pursuant to Section 906 of the Sarbanes-Oxley Act of 2002, 18 U.S.C. Section 1350.</w:t>
              </w:r>
            </w:hyperlink>
          </w:p>
        </w:tc>
        <w:tc>
          <w:tcPr>
            <w:tcW w:w="600" w:type="dxa"/>
            <w:vAlign w:val="bottom"/>
            <w:gridSpan w:val="2"/>
          </w:tcPr>
          <w:p>
            <w:pPr>
              <w:spacing w:after="0"/>
              <w:rPr>
                <w:sz w:val="24"/>
                <w:szCs w:val="24"/>
                <w:color w:val="auto"/>
              </w:rPr>
            </w:pPr>
          </w:p>
        </w:tc>
      </w:tr>
      <w:tr>
        <w:trPr>
          <w:trHeight w:val="322"/>
        </w:trPr>
        <w:tc>
          <w:tcPr>
            <w:tcW w:w="1060" w:type="dxa"/>
            <w:vAlign w:val="bottom"/>
          </w:tcPr>
          <w:p>
            <w:pPr>
              <w:jc w:val="center"/>
              <w:spacing w:after="0"/>
              <w:rPr>
                <w:sz w:val="20"/>
                <w:szCs w:val="20"/>
                <w:color w:val="auto"/>
              </w:rPr>
            </w:pPr>
            <w:r>
              <w:rPr>
                <w:rFonts w:ascii="Arial" w:cs="Arial" w:eastAsia="Arial" w:hAnsi="Arial"/>
                <w:sz w:val="15"/>
                <w:szCs w:val="15"/>
                <w:color w:val="auto"/>
                <w:w w:val="88"/>
              </w:rPr>
              <w:t>101.INS</w:t>
            </w:r>
          </w:p>
        </w:tc>
        <w:tc>
          <w:tcPr>
            <w:tcW w:w="460" w:type="dxa"/>
            <w:vAlign w:val="bottom"/>
          </w:tcPr>
          <w:p>
            <w:pPr>
              <w:spacing w:after="0"/>
              <w:rPr>
                <w:sz w:val="24"/>
                <w:szCs w:val="24"/>
                <w:color w:val="auto"/>
              </w:rPr>
            </w:pPr>
          </w:p>
        </w:tc>
        <w:tc>
          <w:tcPr>
            <w:tcW w:w="9120" w:type="dxa"/>
            <w:vAlign w:val="bottom"/>
            <w:tcBorders>
              <w:top w:val="single" w:sz="8" w:color="0000FF"/>
            </w:tcBorders>
            <w:gridSpan w:val="5"/>
          </w:tcPr>
          <w:p>
            <w:pPr>
              <w:spacing w:after="0"/>
              <w:rPr>
                <w:sz w:val="20"/>
                <w:szCs w:val="20"/>
                <w:color w:val="auto"/>
              </w:rPr>
            </w:pPr>
            <w:r>
              <w:rPr>
                <w:rFonts w:ascii="Arial" w:cs="Arial" w:eastAsia="Arial" w:hAnsi="Arial"/>
                <w:sz w:val="15"/>
                <w:szCs w:val="15"/>
                <w:color w:val="auto"/>
              </w:rPr>
              <w:t>Inline XBRL Instance Document*</w:t>
            </w:r>
          </w:p>
        </w:tc>
        <w:tc>
          <w:tcPr>
            <w:tcW w:w="640" w:type="dxa"/>
            <w:vAlign w:val="bottom"/>
            <w:gridSpan w:val="3"/>
          </w:tcPr>
          <w:p>
            <w:pPr>
              <w:spacing w:after="0"/>
              <w:rPr>
                <w:sz w:val="24"/>
                <w:szCs w:val="24"/>
                <w:color w:val="auto"/>
              </w:rPr>
            </w:pPr>
          </w:p>
        </w:tc>
      </w:tr>
      <w:tr>
        <w:trPr>
          <w:trHeight w:val="453"/>
        </w:trPr>
        <w:tc>
          <w:tcPr>
            <w:tcW w:w="1060" w:type="dxa"/>
            <w:vAlign w:val="bottom"/>
          </w:tcPr>
          <w:p>
            <w:pPr>
              <w:jc w:val="center"/>
              <w:spacing w:after="0"/>
              <w:rPr>
                <w:sz w:val="20"/>
                <w:szCs w:val="20"/>
                <w:color w:val="auto"/>
              </w:rPr>
            </w:pPr>
            <w:r>
              <w:rPr>
                <w:rFonts w:ascii="Arial" w:cs="Arial" w:eastAsia="Arial" w:hAnsi="Arial"/>
                <w:sz w:val="15"/>
                <w:szCs w:val="15"/>
                <w:color w:val="auto"/>
                <w:w w:val="91"/>
              </w:rPr>
              <w:t>101.SCH</w:t>
            </w:r>
          </w:p>
        </w:tc>
        <w:tc>
          <w:tcPr>
            <w:tcW w:w="46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Arial" w:cs="Arial" w:eastAsia="Arial" w:hAnsi="Arial"/>
                <w:sz w:val="15"/>
                <w:szCs w:val="15"/>
                <w:color w:val="auto"/>
              </w:rPr>
              <w:t>Inline XBRL Taxonomy Extension Schema Document</w:t>
            </w:r>
          </w:p>
        </w:tc>
      </w:tr>
      <w:tr>
        <w:trPr>
          <w:trHeight w:val="309"/>
        </w:trPr>
        <w:tc>
          <w:tcPr>
            <w:tcW w:w="1060" w:type="dxa"/>
            <w:vAlign w:val="bottom"/>
          </w:tcPr>
          <w:p>
            <w:pPr>
              <w:jc w:val="center"/>
              <w:spacing w:after="0"/>
              <w:rPr>
                <w:sz w:val="20"/>
                <w:szCs w:val="20"/>
                <w:color w:val="auto"/>
              </w:rPr>
            </w:pPr>
            <w:r>
              <w:rPr>
                <w:rFonts w:ascii="Arial" w:cs="Arial" w:eastAsia="Arial" w:hAnsi="Arial"/>
                <w:sz w:val="15"/>
                <w:szCs w:val="15"/>
                <w:color w:val="auto"/>
                <w:w w:val="95"/>
              </w:rPr>
              <w:t>101.CAL</w:t>
            </w:r>
          </w:p>
        </w:tc>
        <w:tc>
          <w:tcPr>
            <w:tcW w:w="46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Arial" w:cs="Arial" w:eastAsia="Arial" w:hAnsi="Arial"/>
                <w:sz w:val="15"/>
                <w:szCs w:val="15"/>
                <w:color w:val="auto"/>
              </w:rPr>
              <w:t>Inline XBRL Taxonomy Extension Calculation Linkbase Document</w:t>
            </w:r>
          </w:p>
        </w:tc>
      </w:tr>
      <w:tr>
        <w:trPr>
          <w:trHeight w:val="309"/>
        </w:trPr>
        <w:tc>
          <w:tcPr>
            <w:tcW w:w="1060" w:type="dxa"/>
            <w:vAlign w:val="bottom"/>
          </w:tcPr>
          <w:p>
            <w:pPr>
              <w:jc w:val="center"/>
              <w:spacing w:after="0"/>
              <w:rPr>
                <w:sz w:val="20"/>
                <w:szCs w:val="20"/>
                <w:color w:val="auto"/>
              </w:rPr>
            </w:pPr>
            <w:r>
              <w:rPr>
                <w:rFonts w:ascii="Arial" w:cs="Arial" w:eastAsia="Arial" w:hAnsi="Arial"/>
                <w:sz w:val="15"/>
                <w:szCs w:val="15"/>
                <w:color w:val="auto"/>
                <w:w w:val="87"/>
              </w:rPr>
              <w:t>101.DEF</w:t>
            </w:r>
          </w:p>
        </w:tc>
        <w:tc>
          <w:tcPr>
            <w:tcW w:w="46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Arial" w:cs="Arial" w:eastAsia="Arial" w:hAnsi="Arial"/>
                <w:sz w:val="15"/>
                <w:szCs w:val="15"/>
                <w:color w:val="auto"/>
              </w:rPr>
              <w:t>Inline XBRL Taxonomy Extension Definition Linkbase Document</w:t>
            </w:r>
          </w:p>
        </w:tc>
      </w:tr>
      <w:tr>
        <w:trPr>
          <w:trHeight w:val="309"/>
        </w:trPr>
        <w:tc>
          <w:tcPr>
            <w:tcW w:w="1060" w:type="dxa"/>
            <w:vAlign w:val="bottom"/>
          </w:tcPr>
          <w:p>
            <w:pPr>
              <w:jc w:val="center"/>
              <w:spacing w:after="0"/>
              <w:rPr>
                <w:sz w:val="20"/>
                <w:szCs w:val="20"/>
                <w:color w:val="auto"/>
              </w:rPr>
            </w:pPr>
            <w:r>
              <w:rPr>
                <w:rFonts w:ascii="Arial" w:cs="Arial" w:eastAsia="Arial" w:hAnsi="Arial"/>
                <w:sz w:val="15"/>
                <w:szCs w:val="15"/>
                <w:color w:val="auto"/>
                <w:w w:val="86"/>
              </w:rPr>
              <w:t>101.PRE</w:t>
            </w:r>
          </w:p>
        </w:tc>
        <w:tc>
          <w:tcPr>
            <w:tcW w:w="46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Arial" w:cs="Arial" w:eastAsia="Arial" w:hAnsi="Arial"/>
                <w:sz w:val="15"/>
                <w:szCs w:val="15"/>
                <w:color w:val="auto"/>
              </w:rPr>
              <w:t>Inline XBRL Taxonomy Extension Presentation Linkbase Document</w:t>
            </w:r>
          </w:p>
        </w:tc>
      </w:tr>
      <w:tr>
        <w:trPr>
          <w:trHeight w:val="309"/>
        </w:trPr>
        <w:tc>
          <w:tcPr>
            <w:tcW w:w="1060" w:type="dxa"/>
            <w:vAlign w:val="bottom"/>
          </w:tcPr>
          <w:p>
            <w:pPr>
              <w:jc w:val="center"/>
              <w:spacing w:after="0"/>
              <w:rPr>
                <w:sz w:val="20"/>
                <w:szCs w:val="20"/>
                <w:color w:val="auto"/>
              </w:rPr>
            </w:pPr>
            <w:r>
              <w:rPr>
                <w:rFonts w:ascii="Arial" w:cs="Arial" w:eastAsia="Arial" w:hAnsi="Arial"/>
                <w:sz w:val="15"/>
                <w:szCs w:val="15"/>
                <w:color w:val="auto"/>
                <w:w w:val="97"/>
              </w:rPr>
              <w:t>101.LAB</w:t>
            </w:r>
          </w:p>
        </w:tc>
        <w:tc>
          <w:tcPr>
            <w:tcW w:w="46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Arial" w:cs="Arial" w:eastAsia="Arial" w:hAnsi="Arial"/>
                <w:sz w:val="15"/>
                <w:szCs w:val="15"/>
                <w:color w:val="auto"/>
              </w:rPr>
              <w:t>Inline XBRL Taxonomy Extension Label Linkbase Document</w:t>
            </w:r>
          </w:p>
        </w:tc>
      </w:tr>
    </w:tbl>
    <w:p>
      <w:pPr>
        <w:spacing w:after="0" w:line="122" w:lineRule="exact"/>
        <w:rPr>
          <w:sz w:val="20"/>
          <w:szCs w:val="20"/>
          <w:color w:val="auto"/>
        </w:rPr>
      </w:pPr>
    </w:p>
    <w:p>
      <w:pPr>
        <w:ind w:left="1520" w:hanging="1070"/>
        <w:spacing w:after="0"/>
        <w:tabs>
          <w:tab w:leader="none" w:pos="1520" w:val="left"/>
        </w:tabs>
        <w:numPr>
          <w:ilvl w:val="1"/>
          <w:numId w:val="29"/>
        </w:numPr>
        <w:rPr>
          <w:rFonts w:ascii="Arial" w:cs="Arial" w:eastAsia="Arial" w:hAnsi="Arial"/>
          <w:sz w:val="15"/>
          <w:szCs w:val="15"/>
          <w:color w:val="auto"/>
        </w:rPr>
      </w:pPr>
      <w:r>
        <w:rPr>
          <w:rFonts w:ascii="Arial" w:cs="Arial" w:eastAsia="Arial" w:hAnsi="Arial"/>
          <w:sz w:val="15"/>
          <w:szCs w:val="15"/>
          <w:color w:val="auto"/>
        </w:rPr>
        <w:t>Cover Page Interactive Data File formatted in Inline XBRL and contained in Exhibit 101.</w:t>
      </w:r>
    </w:p>
    <w:p>
      <w:pPr>
        <w:spacing w:after="0" w:line="175" w:lineRule="exact"/>
        <w:rPr>
          <w:rFonts w:ascii="Arial" w:cs="Arial" w:eastAsia="Arial" w:hAnsi="Arial"/>
          <w:sz w:val="15"/>
          <w:szCs w:val="15"/>
          <w:color w:val="auto"/>
        </w:rPr>
      </w:pPr>
    </w:p>
    <w:p>
      <w:pPr>
        <w:ind w:left="20"/>
        <w:spacing w:after="0"/>
        <w:rPr>
          <w:rFonts w:ascii="Arial" w:cs="Arial" w:eastAsia="Arial" w:hAnsi="Arial"/>
          <w:sz w:val="15"/>
          <w:szCs w:val="15"/>
          <w:color w:val="auto"/>
        </w:rPr>
      </w:pPr>
      <w:r>
        <w:rPr>
          <w:rFonts w:ascii="Arial" w:cs="Arial" w:eastAsia="Arial" w:hAnsi="Arial"/>
          <w:sz w:val="12"/>
          <w:szCs w:val="12"/>
          <w:color w:val="auto"/>
        </w:rPr>
        <w:t>* The instance document does not appear in the interactive data file because its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SIGNATURES</w:t>
      </w:r>
    </w:p>
    <w:p>
      <w:pPr>
        <w:spacing w:after="0" w:line="92" w:lineRule="exact"/>
        <w:rPr>
          <w:sz w:val="20"/>
          <w:szCs w:val="20"/>
          <w:color w:val="auto"/>
        </w:rPr>
      </w:pPr>
    </w:p>
    <w:p>
      <w:pPr>
        <w:ind w:right="300" w:firstLine="132"/>
        <w:spacing w:after="0" w:line="266" w:lineRule="auto"/>
        <w:rPr>
          <w:sz w:val="20"/>
          <w:szCs w:val="20"/>
          <w:color w:val="auto"/>
        </w:rPr>
      </w:pPr>
      <w:r>
        <w:rPr>
          <w:rFonts w:ascii="Arial" w:cs="Arial" w:eastAsia="Arial" w:hAnsi="Arial"/>
          <w:sz w:val="15"/>
          <w:szCs w:val="15"/>
          <w:color w:val="auto"/>
        </w:rPr>
        <w:t>Pursuant to the requirements of the Securities Exchange Act of 1934, as amended, the registrant has duly caused this report to be signed on its behalf by the undersigned thereunto duly authorized.</w:t>
      </w:r>
    </w:p>
    <w:tbl>
      <w:tblPr>
        <w:tblLayout w:type="fixed"/>
        <w:tblInd w:w="600" w:type="dxa"/>
        <w:tblCellMar>
          <w:top w:w="0" w:type="dxa"/>
          <w:left w:w="0" w:type="dxa"/>
          <w:bottom w:w="0" w:type="dxa"/>
          <w:right w:w="0" w:type="dxa"/>
        </w:tblCellMar>
      </w:tblPr>
      <w:tr>
        <w:trPr>
          <w:trHeight w:val="148"/>
        </w:trPr>
        <w:tc>
          <w:tcPr>
            <w:tcW w:w="3160" w:type="dxa"/>
            <w:vAlign w:val="bottom"/>
          </w:tcPr>
          <w:p>
            <w:pPr>
              <w:spacing w:after="0" w:line="148" w:lineRule="exact"/>
              <w:rPr>
                <w:sz w:val="20"/>
                <w:szCs w:val="20"/>
                <w:color w:val="auto"/>
              </w:rPr>
            </w:pPr>
            <w:r>
              <w:rPr>
                <w:rFonts w:ascii="Arial" w:cs="Arial" w:eastAsia="Arial" w:hAnsi="Arial"/>
                <w:sz w:val="15"/>
                <w:szCs w:val="15"/>
                <w:color w:val="auto"/>
              </w:rPr>
              <w:t>Date: November 5, 2021</w:t>
            </w:r>
          </w:p>
        </w:tc>
        <w:tc>
          <w:tcPr>
            <w:tcW w:w="6440" w:type="dxa"/>
            <w:vAlign w:val="bottom"/>
            <w:gridSpan w:val="2"/>
          </w:tcPr>
          <w:p>
            <w:pPr>
              <w:ind w:left="1700"/>
              <w:spacing w:after="0" w:line="148" w:lineRule="exact"/>
              <w:rPr>
                <w:sz w:val="20"/>
                <w:szCs w:val="20"/>
                <w:color w:val="auto"/>
              </w:rPr>
            </w:pPr>
            <w:r>
              <w:rPr>
                <w:rFonts w:ascii="Arial" w:cs="Arial" w:eastAsia="Arial" w:hAnsi="Arial"/>
                <w:sz w:val="15"/>
                <w:szCs w:val="15"/>
                <w:color w:val="auto"/>
              </w:rPr>
              <w:t>FIDELITY NATIONAL FINANCIAL, INC.</w:t>
            </w:r>
          </w:p>
        </w:tc>
      </w:tr>
      <w:tr>
        <w:trPr>
          <w:trHeight w:val="187"/>
        </w:trPr>
        <w:tc>
          <w:tcPr>
            <w:tcW w:w="3160" w:type="dxa"/>
            <w:vAlign w:val="bottom"/>
          </w:tcPr>
          <w:p>
            <w:pPr>
              <w:spacing w:after="0"/>
              <w:rPr>
                <w:sz w:val="16"/>
                <w:szCs w:val="16"/>
                <w:color w:val="auto"/>
              </w:rPr>
            </w:pPr>
          </w:p>
        </w:tc>
        <w:tc>
          <w:tcPr>
            <w:tcW w:w="6440" w:type="dxa"/>
            <w:vAlign w:val="bottom"/>
            <w:gridSpan w:val="2"/>
          </w:tcPr>
          <w:p>
            <w:pPr>
              <w:ind w:left="1700"/>
              <w:spacing w:after="0"/>
              <w:rPr>
                <w:sz w:val="20"/>
                <w:szCs w:val="20"/>
                <w:color w:val="auto"/>
              </w:rPr>
            </w:pPr>
            <w:r>
              <w:rPr>
                <w:rFonts w:ascii="Arial" w:cs="Arial" w:eastAsia="Arial" w:hAnsi="Arial"/>
                <w:sz w:val="15"/>
                <w:szCs w:val="15"/>
                <w:color w:val="auto"/>
              </w:rPr>
              <w:t>(registrant)</w:t>
            </w:r>
          </w:p>
        </w:tc>
      </w:tr>
      <w:tr>
        <w:trPr>
          <w:trHeight w:val="331"/>
        </w:trPr>
        <w:tc>
          <w:tcPr>
            <w:tcW w:w="3160" w:type="dxa"/>
            <w:vAlign w:val="bottom"/>
          </w:tcPr>
          <w:p>
            <w:pPr>
              <w:spacing w:after="0"/>
              <w:rPr>
                <w:sz w:val="24"/>
                <w:szCs w:val="24"/>
                <w:color w:val="auto"/>
              </w:rPr>
            </w:pPr>
          </w:p>
        </w:tc>
        <w:tc>
          <w:tcPr>
            <w:tcW w:w="2180" w:type="dxa"/>
            <w:vAlign w:val="bottom"/>
          </w:tcPr>
          <w:p>
            <w:pPr>
              <w:ind w:left="1700"/>
              <w:spacing w:after="0"/>
              <w:rPr>
                <w:sz w:val="20"/>
                <w:szCs w:val="20"/>
                <w:color w:val="auto"/>
              </w:rPr>
            </w:pPr>
            <w:r>
              <w:rPr>
                <w:rFonts w:ascii="Arial" w:cs="Arial" w:eastAsia="Arial" w:hAnsi="Arial"/>
                <w:sz w:val="15"/>
                <w:szCs w:val="15"/>
                <w:color w:val="auto"/>
              </w:rPr>
              <w:t>By:</w:t>
            </w: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5"/>
                <w:szCs w:val="15"/>
                <w:i w:val="1"/>
                <w:iCs w:val="1"/>
                <w:color w:val="auto"/>
              </w:rPr>
              <w:t>/s/ Anthony J. Park</w:t>
            </w:r>
          </w:p>
        </w:tc>
      </w:tr>
      <w:tr>
        <w:trPr>
          <w:trHeight w:val="179"/>
        </w:trPr>
        <w:tc>
          <w:tcPr>
            <w:tcW w:w="31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4260" w:type="dxa"/>
            <w:vAlign w:val="bottom"/>
          </w:tcPr>
          <w:p>
            <w:pPr>
              <w:ind w:left="20"/>
              <w:spacing w:after="0"/>
              <w:rPr>
                <w:sz w:val="20"/>
                <w:szCs w:val="20"/>
                <w:color w:val="auto"/>
              </w:rPr>
            </w:pPr>
            <w:r>
              <w:rPr>
                <w:rFonts w:ascii="Arial" w:cs="Arial" w:eastAsia="Arial" w:hAnsi="Arial"/>
                <w:sz w:val="15"/>
                <w:szCs w:val="15"/>
                <w:color w:val="auto"/>
              </w:rPr>
              <w:t>Anthony J. Park</w:t>
            </w:r>
          </w:p>
        </w:tc>
      </w:tr>
    </w:tbl>
    <w:p>
      <w:pPr>
        <w:ind w:left="5960"/>
        <w:spacing w:after="0" w:line="217" w:lineRule="auto"/>
        <w:rPr>
          <w:sz w:val="20"/>
          <w:szCs w:val="20"/>
          <w:color w:val="auto"/>
        </w:rPr>
      </w:pPr>
      <w:r>
        <w:rPr>
          <w:rFonts w:ascii="Arial" w:cs="Arial" w:eastAsia="Arial" w:hAnsi="Arial"/>
          <w:sz w:val="15"/>
          <w:szCs w:val="15"/>
          <w:color w:val="auto"/>
        </w:rPr>
        <w:t>Chief Financial Officer</w:t>
      </w:r>
    </w:p>
    <w:p>
      <w:pPr>
        <w:ind w:left="5960"/>
        <w:spacing w:after="0"/>
        <w:rPr>
          <w:sz w:val="20"/>
          <w:szCs w:val="20"/>
          <w:color w:val="auto"/>
        </w:rPr>
      </w:pPr>
      <w:r>
        <w:rPr>
          <w:rFonts w:ascii="Arial" w:cs="Arial" w:eastAsia="Arial" w:hAnsi="Arial"/>
          <w:sz w:val="15"/>
          <w:szCs w:val="15"/>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93</w:t>
      </w:r>
    </w:p>
    <w:p>
      <w:pPr>
        <w:sectPr>
          <w:pgSz w:w="11900" w:h="16838" w:orient="portrait"/>
          <w:cols w:equalWidth="0" w:num="1">
            <w:col w:w="11260"/>
          </w:cols>
          <w:pgMar w:left="300" w:top="11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5"/>
          <w:szCs w:val="15"/>
          <w:b w:val="1"/>
          <w:bCs w:val="1"/>
          <w:color w:val="auto"/>
        </w:rPr>
        <w:t>Exhibit 31.1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I, Raymond R. Quirk, certify that:</w:t>
      </w:r>
    </w:p>
    <w:p>
      <w:pPr>
        <w:spacing w:after="0" w:line="126" w:lineRule="exact"/>
        <w:rPr>
          <w:sz w:val="20"/>
          <w:szCs w:val="20"/>
          <w:color w:val="auto"/>
        </w:rPr>
      </w:pPr>
    </w:p>
    <w:p>
      <w:pPr>
        <w:ind w:left="160" w:hanging="152"/>
        <w:spacing w:after="0"/>
        <w:tabs>
          <w:tab w:leader="none" w:pos="1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I have reviewed this annual report on Form 10-Q of Fidelity National Financial, Inc.;</w:t>
      </w:r>
    </w:p>
    <w:p>
      <w:pPr>
        <w:spacing w:after="0" w:line="136" w:lineRule="exact"/>
        <w:rPr>
          <w:rFonts w:ascii="Arial" w:cs="Arial" w:eastAsia="Arial" w:hAnsi="Arial"/>
          <w:sz w:val="15"/>
          <w:szCs w:val="15"/>
          <w:color w:val="auto"/>
        </w:rPr>
      </w:pPr>
    </w:p>
    <w:p>
      <w:pPr>
        <w:ind w:firstLine="8"/>
        <w:spacing w:after="0" w:line="266" w:lineRule="auto"/>
        <w:tabs>
          <w:tab w:leader="none" w:pos="1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3" w:lineRule="exact"/>
        <w:rPr>
          <w:rFonts w:ascii="Arial" w:cs="Arial" w:eastAsia="Arial" w:hAnsi="Arial"/>
          <w:sz w:val="15"/>
          <w:szCs w:val="15"/>
          <w:color w:val="auto"/>
        </w:rPr>
      </w:pPr>
    </w:p>
    <w:p>
      <w:pPr>
        <w:ind w:firstLine="8"/>
        <w:spacing w:after="0" w:line="266" w:lineRule="auto"/>
        <w:tabs>
          <w:tab w:leader="none" w:pos="152"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Arial" w:cs="Arial" w:eastAsia="Arial" w:hAnsi="Arial"/>
          <w:sz w:val="15"/>
          <w:szCs w:val="15"/>
          <w:color w:val="auto"/>
        </w:rPr>
      </w:pPr>
    </w:p>
    <w:p>
      <w:pPr>
        <w:ind w:firstLine="8"/>
        <w:spacing w:after="0" w:line="266" w:lineRule="auto"/>
        <w:tabs>
          <w:tab w:leader="none" w:pos="1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Arial" w:cs="Arial" w:eastAsia="Arial" w:hAnsi="Arial"/>
          <w:sz w:val="15"/>
          <w:szCs w:val="15"/>
          <w:color w:val="auto"/>
        </w:rPr>
      </w:pPr>
    </w:p>
    <w:p>
      <w:pPr>
        <w:jc w:val="both"/>
        <w:ind w:left="1200" w:hanging="794"/>
        <w:spacing w:after="0" w:line="255" w:lineRule="auto"/>
        <w:tabs>
          <w:tab w:leader="none" w:pos="1198" w:val="left"/>
        </w:tabs>
        <w:numPr>
          <w:ilvl w:val="1"/>
          <w:numId w:val="30"/>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5"/>
          <w:szCs w:val="15"/>
          <w:color w:val="auto"/>
        </w:rPr>
      </w:pPr>
    </w:p>
    <w:p>
      <w:pPr>
        <w:jc w:val="both"/>
        <w:ind w:left="1200" w:hanging="794"/>
        <w:spacing w:after="0" w:line="255" w:lineRule="auto"/>
        <w:tabs>
          <w:tab w:leader="none" w:pos="1195" w:val="left"/>
        </w:tabs>
        <w:numPr>
          <w:ilvl w:val="1"/>
          <w:numId w:val="30"/>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Arial" w:cs="Arial" w:eastAsia="Arial" w:hAnsi="Arial"/>
          <w:sz w:val="15"/>
          <w:szCs w:val="15"/>
          <w:color w:val="auto"/>
        </w:rPr>
      </w:pPr>
    </w:p>
    <w:p>
      <w:pPr>
        <w:ind w:left="1200" w:hanging="794"/>
        <w:spacing w:after="0" w:line="266" w:lineRule="auto"/>
        <w:tabs>
          <w:tab w:leader="none" w:pos="1198" w:val="left"/>
        </w:tabs>
        <w:numPr>
          <w:ilvl w:val="1"/>
          <w:numId w:val="3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5"/>
          <w:szCs w:val="15"/>
          <w:color w:val="auto"/>
        </w:rPr>
      </w:pPr>
    </w:p>
    <w:p>
      <w:pPr>
        <w:jc w:val="both"/>
        <w:ind w:left="1200" w:hanging="794"/>
        <w:spacing w:after="0" w:line="255" w:lineRule="auto"/>
        <w:tabs>
          <w:tab w:leader="none" w:pos="1195" w:val="left"/>
        </w:tabs>
        <w:numPr>
          <w:ilvl w:val="1"/>
          <w:numId w:val="30"/>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Arial" w:cs="Arial" w:eastAsia="Arial" w:hAnsi="Arial"/>
          <w:sz w:val="15"/>
          <w:szCs w:val="15"/>
          <w:color w:val="auto"/>
        </w:rPr>
      </w:pPr>
    </w:p>
    <w:p>
      <w:pPr>
        <w:ind w:firstLine="8"/>
        <w:spacing w:after="0" w:line="266" w:lineRule="auto"/>
        <w:tabs>
          <w:tab w:leader="none" w:pos="165"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rFonts w:ascii="Arial" w:cs="Arial" w:eastAsia="Arial" w:hAnsi="Arial"/>
          <w:sz w:val="15"/>
          <w:szCs w:val="15"/>
          <w:color w:val="auto"/>
        </w:rPr>
      </w:pPr>
    </w:p>
    <w:p>
      <w:pPr>
        <w:ind w:left="1200" w:hanging="794"/>
        <w:spacing w:after="0" w:line="266" w:lineRule="auto"/>
        <w:tabs>
          <w:tab w:leader="none" w:pos="1198" w:val="left"/>
        </w:tabs>
        <w:numPr>
          <w:ilvl w:val="1"/>
          <w:numId w:val="30"/>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5"/>
          <w:szCs w:val="15"/>
          <w:color w:val="auto"/>
        </w:rPr>
      </w:pPr>
    </w:p>
    <w:p>
      <w:pPr>
        <w:ind w:left="1200" w:hanging="794"/>
        <w:spacing w:after="0"/>
        <w:tabs>
          <w:tab w:leader="none" w:pos="12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Date: November 5, 2021</w:t>
      </w:r>
    </w:p>
    <w:p>
      <w:pPr>
        <w:spacing w:after="0" w:line="37"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9525</wp:posOffset>
            </wp:positionV>
            <wp:extent cx="264985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2649855" cy="698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5"/>
          <w:szCs w:val="15"/>
          <w:color w:val="auto"/>
        </w:rPr>
        <w:t>Raymond R. Quirk</w:t>
      </w:r>
    </w:p>
    <w:p>
      <w:pPr>
        <w:ind w:left="1140"/>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280"/>
          </w:cols>
          <w:pgMar w:left="300" w:top="754" w:right="319" w:bottom="1440" w:gutter="0" w:footer="0" w:header="0"/>
        </w:sectPr>
      </w:pPr>
    </w:p>
    <w:bookmarkStart w:id="96" w:name="page97"/>
    <w:bookmarkEnd w:id="96"/>
    <w:p>
      <w:pPr>
        <w:jc w:val="right"/>
        <w:spacing w:after="0"/>
        <w:rPr>
          <w:sz w:val="20"/>
          <w:szCs w:val="20"/>
          <w:color w:val="auto"/>
        </w:rPr>
      </w:pPr>
      <w:r>
        <w:rPr>
          <w:rFonts w:ascii="Arial" w:cs="Arial" w:eastAsia="Arial" w:hAnsi="Arial"/>
          <w:sz w:val="15"/>
          <w:szCs w:val="15"/>
          <w:b w:val="1"/>
          <w:bCs w:val="1"/>
          <w:color w:val="auto"/>
        </w:rPr>
        <w:t>Exhibit 31.2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I, Anthony J. Park, certify that:</w:t>
      </w:r>
    </w:p>
    <w:p>
      <w:pPr>
        <w:spacing w:after="0" w:line="126" w:lineRule="exact"/>
        <w:rPr>
          <w:sz w:val="20"/>
          <w:szCs w:val="20"/>
          <w:color w:val="auto"/>
        </w:rPr>
      </w:pPr>
    </w:p>
    <w:p>
      <w:pPr>
        <w:ind w:left="160" w:hanging="152"/>
        <w:spacing w:after="0"/>
        <w:tabs>
          <w:tab w:leader="none" w:pos="1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 have reviewed this annual report on Form 10-Q of Fidelity National Financial, Inc.;</w:t>
      </w:r>
    </w:p>
    <w:p>
      <w:pPr>
        <w:spacing w:after="0" w:line="136" w:lineRule="exact"/>
        <w:rPr>
          <w:rFonts w:ascii="Arial" w:cs="Arial" w:eastAsia="Arial" w:hAnsi="Arial"/>
          <w:sz w:val="15"/>
          <w:szCs w:val="15"/>
          <w:color w:val="auto"/>
        </w:rPr>
      </w:pPr>
    </w:p>
    <w:p>
      <w:pPr>
        <w:ind w:firstLine="8"/>
        <w:spacing w:after="0" w:line="266" w:lineRule="auto"/>
        <w:tabs>
          <w:tab w:leader="none" w:pos="1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3" w:lineRule="exact"/>
        <w:rPr>
          <w:rFonts w:ascii="Arial" w:cs="Arial" w:eastAsia="Arial" w:hAnsi="Arial"/>
          <w:sz w:val="15"/>
          <w:szCs w:val="15"/>
          <w:color w:val="auto"/>
        </w:rPr>
      </w:pPr>
    </w:p>
    <w:p>
      <w:pPr>
        <w:ind w:firstLine="8"/>
        <w:spacing w:after="0" w:line="266" w:lineRule="auto"/>
        <w:tabs>
          <w:tab w:leader="none" w:pos="152"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Arial" w:cs="Arial" w:eastAsia="Arial" w:hAnsi="Arial"/>
          <w:sz w:val="15"/>
          <w:szCs w:val="15"/>
          <w:color w:val="auto"/>
        </w:rPr>
      </w:pPr>
    </w:p>
    <w:p>
      <w:pPr>
        <w:ind w:firstLine="8"/>
        <w:spacing w:after="0" w:line="266" w:lineRule="auto"/>
        <w:tabs>
          <w:tab w:leader="none" w:pos="1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Arial" w:cs="Arial" w:eastAsia="Arial" w:hAnsi="Arial"/>
          <w:sz w:val="15"/>
          <w:szCs w:val="15"/>
          <w:color w:val="auto"/>
        </w:rPr>
      </w:pPr>
    </w:p>
    <w:p>
      <w:pPr>
        <w:jc w:val="both"/>
        <w:ind w:left="1200" w:hanging="794"/>
        <w:spacing w:after="0" w:line="255" w:lineRule="auto"/>
        <w:tabs>
          <w:tab w:leader="none" w:pos="1198" w:val="left"/>
        </w:tabs>
        <w:numPr>
          <w:ilvl w:val="1"/>
          <w:numId w:val="31"/>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5"/>
          <w:szCs w:val="15"/>
          <w:color w:val="auto"/>
        </w:rPr>
      </w:pPr>
    </w:p>
    <w:p>
      <w:pPr>
        <w:jc w:val="both"/>
        <w:ind w:left="1200" w:hanging="794"/>
        <w:spacing w:after="0" w:line="255" w:lineRule="auto"/>
        <w:tabs>
          <w:tab w:leader="none" w:pos="1195" w:val="left"/>
        </w:tabs>
        <w:numPr>
          <w:ilvl w:val="1"/>
          <w:numId w:val="31"/>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Arial" w:cs="Arial" w:eastAsia="Arial" w:hAnsi="Arial"/>
          <w:sz w:val="15"/>
          <w:szCs w:val="15"/>
          <w:color w:val="auto"/>
        </w:rPr>
      </w:pPr>
    </w:p>
    <w:p>
      <w:pPr>
        <w:ind w:left="1200" w:hanging="794"/>
        <w:spacing w:after="0" w:line="266" w:lineRule="auto"/>
        <w:tabs>
          <w:tab w:leader="none" w:pos="1198" w:val="left"/>
        </w:tabs>
        <w:numPr>
          <w:ilvl w:val="1"/>
          <w:numId w:val="3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5"/>
          <w:szCs w:val="15"/>
          <w:color w:val="auto"/>
        </w:rPr>
      </w:pPr>
    </w:p>
    <w:p>
      <w:pPr>
        <w:jc w:val="both"/>
        <w:ind w:left="1200" w:hanging="794"/>
        <w:spacing w:after="0" w:line="255" w:lineRule="auto"/>
        <w:tabs>
          <w:tab w:leader="none" w:pos="1195" w:val="left"/>
        </w:tabs>
        <w:numPr>
          <w:ilvl w:val="1"/>
          <w:numId w:val="31"/>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Arial" w:cs="Arial" w:eastAsia="Arial" w:hAnsi="Arial"/>
          <w:sz w:val="15"/>
          <w:szCs w:val="15"/>
          <w:color w:val="auto"/>
        </w:rPr>
      </w:pPr>
    </w:p>
    <w:p>
      <w:pPr>
        <w:ind w:firstLine="8"/>
        <w:spacing w:after="0" w:line="266" w:lineRule="auto"/>
        <w:tabs>
          <w:tab w:leader="none" w:pos="165"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rFonts w:ascii="Arial" w:cs="Arial" w:eastAsia="Arial" w:hAnsi="Arial"/>
          <w:sz w:val="15"/>
          <w:szCs w:val="15"/>
          <w:color w:val="auto"/>
        </w:rPr>
      </w:pPr>
    </w:p>
    <w:p>
      <w:pPr>
        <w:ind w:left="1200" w:hanging="794"/>
        <w:spacing w:after="0" w:line="266" w:lineRule="auto"/>
        <w:tabs>
          <w:tab w:leader="none" w:pos="1198" w:val="left"/>
        </w:tabs>
        <w:numPr>
          <w:ilvl w:val="1"/>
          <w:numId w:val="31"/>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5"/>
          <w:szCs w:val="15"/>
          <w:color w:val="auto"/>
        </w:rPr>
      </w:pPr>
    </w:p>
    <w:p>
      <w:pPr>
        <w:ind w:left="1200" w:hanging="794"/>
        <w:spacing w:after="0"/>
        <w:tabs>
          <w:tab w:leader="none" w:pos="1200" w:val="left"/>
        </w:tabs>
        <w:numPr>
          <w:ilvl w:val="1"/>
          <w:numId w:val="3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80" w:type="dxa"/>
            <w:vAlign w:val="bottom"/>
          </w:tcPr>
          <w:p>
            <w:pPr>
              <w:ind w:left="1960"/>
              <w:spacing w:after="0"/>
              <w:rPr>
                <w:sz w:val="20"/>
                <w:szCs w:val="20"/>
                <w:color w:val="auto"/>
              </w:rPr>
            </w:pPr>
            <w:r>
              <w:rPr>
                <w:rFonts w:ascii="Arial" w:cs="Arial" w:eastAsia="Arial" w:hAnsi="Arial"/>
                <w:sz w:val="15"/>
                <w:szCs w:val="15"/>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Anthony J. Park</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4180" w:type="dxa"/>
            <w:vAlign w:val="bottom"/>
          </w:tcPr>
          <w:p>
            <w:pPr>
              <w:ind w:left="20"/>
              <w:spacing w:after="0" w:line="135" w:lineRule="exact"/>
              <w:rPr>
                <w:sz w:val="20"/>
                <w:szCs w:val="20"/>
                <w:color w:val="auto"/>
              </w:rPr>
            </w:pPr>
            <w:r>
              <w:rPr>
                <w:rFonts w:ascii="Arial" w:cs="Arial" w:eastAsia="Arial" w:hAnsi="Arial"/>
                <w:sz w:val="15"/>
                <w:szCs w:val="15"/>
                <w:color w:val="auto"/>
              </w:rPr>
              <w:t>Anthony J. Park</w:t>
            </w:r>
          </w:p>
        </w:tc>
        <w:tc>
          <w:tcPr>
            <w:tcW w:w="0" w:type="dxa"/>
            <w:vAlign w:val="bottom"/>
          </w:tcPr>
          <w:p>
            <w:pPr>
              <w:spacing w:after="0"/>
              <w:rPr>
                <w:sz w:val="1"/>
                <w:szCs w:val="1"/>
                <w:color w:val="auto"/>
              </w:rPr>
            </w:pPr>
          </w:p>
        </w:tc>
      </w:tr>
      <w:tr>
        <w:trPr>
          <w:trHeight w:val="187"/>
        </w:trPr>
        <w:tc>
          <w:tcPr>
            <w:tcW w:w="2580" w:type="dxa"/>
            <w:vAlign w:val="bottom"/>
            <w:vMerge w:val="restart"/>
          </w:tcPr>
          <w:p>
            <w:pPr>
              <w:spacing w:after="0"/>
              <w:rPr>
                <w:sz w:val="20"/>
                <w:szCs w:val="20"/>
                <w:color w:val="auto"/>
              </w:rPr>
            </w:pPr>
            <w:r>
              <w:rPr>
                <w:rFonts w:ascii="Arial" w:cs="Arial" w:eastAsia="Arial" w:hAnsi="Arial"/>
                <w:sz w:val="15"/>
                <w:szCs w:val="15"/>
                <w:color w:val="auto"/>
              </w:rPr>
              <w:t>Date: November 5, 2021</w:t>
            </w:r>
          </w:p>
        </w:tc>
        <w:tc>
          <w:tcPr>
            <w:tcW w:w="4180" w:type="dxa"/>
            <w:vAlign w:val="bottom"/>
          </w:tcPr>
          <w:p>
            <w:pPr>
              <w:ind w:left="20"/>
              <w:spacing w:after="0"/>
              <w:rPr>
                <w:sz w:val="20"/>
                <w:szCs w:val="20"/>
                <w:color w:val="auto"/>
              </w:rPr>
            </w:pPr>
            <w:r>
              <w:rPr>
                <w:rFonts w:ascii="Arial" w:cs="Arial" w:eastAsia="Arial" w:hAnsi="Arial"/>
                <w:sz w:val="15"/>
                <w:szCs w:val="15"/>
                <w:color w:val="auto"/>
              </w:rPr>
              <w:t>Chief Financial Officer</w:t>
            </w:r>
          </w:p>
        </w:tc>
        <w:tc>
          <w:tcPr>
            <w:tcW w:w="0" w:type="dxa"/>
            <w:vAlign w:val="bottom"/>
          </w:tcPr>
          <w:p>
            <w:pPr>
              <w:spacing w:after="0"/>
              <w:rPr>
                <w:sz w:val="1"/>
                <w:szCs w:val="1"/>
                <w:color w:val="auto"/>
              </w:rPr>
            </w:pPr>
          </w:p>
        </w:tc>
      </w:tr>
      <w:tr>
        <w:trPr>
          <w:trHeight w:val="88"/>
        </w:trPr>
        <w:tc>
          <w:tcPr>
            <w:tcW w:w="2580" w:type="dxa"/>
            <w:vAlign w:val="bottom"/>
            <w:vMerge w:val="continue"/>
          </w:tcPr>
          <w:p>
            <w:pPr>
              <w:spacing w:after="0"/>
              <w:rPr>
                <w:sz w:val="7"/>
                <w:szCs w:val="7"/>
                <w:color w:val="auto"/>
              </w:rPr>
            </w:pPr>
          </w:p>
        </w:tc>
        <w:tc>
          <w:tcPr>
            <w:tcW w:w="4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54" w:right="319" w:bottom="1440" w:gutter="0" w:footer="0" w:header="0"/>
        </w:sectPr>
      </w:pPr>
    </w:p>
    <w:bookmarkStart w:id="97" w:name="page98"/>
    <w:bookmarkEnd w:id="97"/>
    <w:p>
      <w:pPr>
        <w:jc w:val="right"/>
        <w:spacing w:after="0"/>
        <w:rPr>
          <w:sz w:val="20"/>
          <w:szCs w:val="20"/>
          <w:color w:val="auto"/>
        </w:rPr>
      </w:pPr>
      <w:r>
        <w:rPr>
          <w:rFonts w:ascii="Arial" w:cs="Arial" w:eastAsia="Arial" w:hAnsi="Arial"/>
          <w:sz w:val="15"/>
          <w:szCs w:val="15"/>
          <w:b w:val="1"/>
          <w:bCs w:val="1"/>
          <w:color w:val="auto"/>
        </w:rPr>
        <w:t>Exhibit 32.1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PERIODIC FINANCIAL REPORTS PURSUANT TO 18 U.S.C. §1350</w:t>
      </w:r>
    </w:p>
    <w:p>
      <w:pPr>
        <w:spacing w:after="0" w:line="207" w:lineRule="exact"/>
        <w:rPr>
          <w:sz w:val="20"/>
          <w:szCs w:val="20"/>
          <w:color w:val="auto"/>
        </w:rPr>
      </w:pPr>
    </w:p>
    <w:p>
      <w:pPr>
        <w:ind w:firstLine="188"/>
        <w:spacing w:after="0" w:line="266" w:lineRule="auto"/>
        <w:rPr>
          <w:sz w:val="20"/>
          <w:szCs w:val="20"/>
          <w:color w:val="auto"/>
        </w:rPr>
      </w:pPr>
      <w:r>
        <w:rPr>
          <w:rFonts w:ascii="Arial" w:cs="Arial" w:eastAsia="Arial" w:hAnsi="Arial"/>
          <w:sz w:val="15"/>
          <w:szCs w:val="15"/>
          <w:color w:val="auto"/>
        </w:rPr>
        <w:t>The undersigned hereby certifies that he is the duly appointed and acting Chief Executive Officer of Fidelity National Financial, Inc., a Delaware corporation (the “Company”), and hereby further certifies as follows.</w:t>
      </w:r>
    </w:p>
    <w:p>
      <w:pPr>
        <w:spacing w:after="0" w:line="103" w:lineRule="exact"/>
        <w:rPr>
          <w:sz w:val="20"/>
          <w:szCs w:val="20"/>
          <w:color w:val="auto"/>
        </w:rPr>
      </w:pPr>
    </w:p>
    <w:p>
      <w:pPr>
        <w:ind w:left="740" w:hanging="732"/>
        <w:spacing w:after="0" w:line="266" w:lineRule="auto"/>
        <w:tabs>
          <w:tab w:leader="none" w:pos="7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periodic report containing financial statements to which this certificate is an exhibit fully complies with the requirements of Section 13(a) or 15(d) of the Securities Exchange Act of 1934.</w:t>
      </w:r>
    </w:p>
    <w:p>
      <w:pPr>
        <w:spacing w:after="0" w:line="169" w:lineRule="exact"/>
        <w:rPr>
          <w:rFonts w:ascii="Arial" w:cs="Arial" w:eastAsia="Arial" w:hAnsi="Arial"/>
          <w:sz w:val="15"/>
          <w:szCs w:val="15"/>
          <w:color w:val="auto"/>
        </w:rPr>
      </w:pPr>
    </w:p>
    <w:p>
      <w:pPr>
        <w:ind w:left="740" w:hanging="732"/>
        <w:spacing w:after="0" w:line="266" w:lineRule="auto"/>
        <w:tabs>
          <w:tab w:leader="none" w:pos="7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In witness whereof, the undersigned has executed and delivered this certificate as of the date set forth opposite his signature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320" w:type="dxa"/>
            <w:vAlign w:val="bottom"/>
          </w:tcPr>
          <w:p>
            <w:pPr>
              <w:ind w:left="1480"/>
              <w:spacing w:after="0"/>
              <w:rPr>
                <w:sz w:val="20"/>
                <w:szCs w:val="20"/>
                <w:color w:val="auto"/>
              </w:rPr>
            </w:pPr>
            <w:r>
              <w:rPr>
                <w:rFonts w:ascii="Arial" w:cs="Arial" w:eastAsia="Arial" w:hAnsi="Arial"/>
                <w:sz w:val="15"/>
                <w:szCs w:val="15"/>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Raymond R. Quirk</w:t>
            </w:r>
          </w:p>
        </w:tc>
        <w:tc>
          <w:tcPr>
            <w:tcW w:w="0" w:type="dxa"/>
            <w:vAlign w:val="bottom"/>
          </w:tcPr>
          <w:p>
            <w:pPr>
              <w:spacing w:after="0"/>
              <w:rPr>
                <w:sz w:val="1"/>
                <w:szCs w:val="1"/>
                <w:color w:val="auto"/>
              </w:rPr>
            </w:pPr>
          </w:p>
        </w:tc>
      </w:tr>
      <w:tr>
        <w:trPr>
          <w:trHeight w:val="179"/>
        </w:trPr>
        <w:tc>
          <w:tcPr>
            <w:tcW w:w="232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Arial" w:cs="Arial" w:eastAsia="Arial" w:hAnsi="Arial"/>
                <w:sz w:val="15"/>
                <w:szCs w:val="15"/>
                <w:color w:val="auto"/>
              </w:rPr>
              <w:t>Raymond R. Quirk</w:t>
            </w:r>
          </w:p>
        </w:tc>
        <w:tc>
          <w:tcPr>
            <w:tcW w:w="0" w:type="dxa"/>
            <w:vAlign w:val="bottom"/>
          </w:tcPr>
          <w:p>
            <w:pPr>
              <w:spacing w:after="0"/>
              <w:rPr>
                <w:sz w:val="1"/>
                <w:szCs w:val="1"/>
                <w:color w:val="auto"/>
              </w:rPr>
            </w:pPr>
          </w:p>
        </w:tc>
      </w:tr>
      <w:tr>
        <w:trPr>
          <w:trHeight w:val="188"/>
        </w:trPr>
        <w:tc>
          <w:tcPr>
            <w:tcW w:w="2320" w:type="dxa"/>
            <w:vAlign w:val="bottom"/>
            <w:vMerge w:val="restart"/>
          </w:tcPr>
          <w:p>
            <w:pPr>
              <w:spacing w:after="0"/>
              <w:rPr>
                <w:sz w:val="20"/>
                <w:szCs w:val="20"/>
                <w:color w:val="auto"/>
              </w:rPr>
            </w:pPr>
            <w:r>
              <w:rPr>
                <w:rFonts w:ascii="Arial" w:cs="Arial" w:eastAsia="Arial" w:hAnsi="Arial"/>
                <w:sz w:val="15"/>
                <w:szCs w:val="15"/>
                <w:color w:val="auto"/>
              </w:rPr>
              <w:t>Date: November 5, 2021</w:t>
            </w:r>
          </w:p>
        </w:tc>
        <w:tc>
          <w:tcPr>
            <w:tcW w:w="5260" w:type="dxa"/>
            <w:vAlign w:val="bottom"/>
          </w:tcPr>
          <w:p>
            <w:pPr>
              <w:spacing w:after="0"/>
              <w:rPr>
                <w:sz w:val="20"/>
                <w:szCs w:val="20"/>
                <w:color w:val="auto"/>
              </w:rPr>
            </w:pPr>
            <w:r>
              <w:rPr>
                <w:rFonts w:ascii="Arial" w:cs="Arial" w:eastAsia="Arial" w:hAnsi="Arial"/>
                <w:sz w:val="15"/>
                <w:szCs w:val="15"/>
                <w:color w:val="auto"/>
              </w:rPr>
              <w:t>Chief Executive Officer</w:t>
            </w:r>
          </w:p>
        </w:tc>
        <w:tc>
          <w:tcPr>
            <w:tcW w:w="0" w:type="dxa"/>
            <w:vAlign w:val="bottom"/>
          </w:tcPr>
          <w:p>
            <w:pPr>
              <w:spacing w:after="0"/>
              <w:rPr>
                <w:sz w:val="1"/>
                <w:szCs w:val="1"/>
                <w:color w:val="auto"/>
              </w:rPr>
            </w:pPr>
          </w:p>
        </w:tc>
      </w:tr>
      <w:tr>
        <w:trPr>
          <w:trHeight w:val="88"/>
        </w:trPr>
        <w:tc>
          <w:tcPr>
            <w:tcW w:w="2320" w:type="dxa"/>
            <w:vAlign w:val="bottom"/>
            <w:vMerge w:val="continue"/>
          </w:tcPr>
          <w:p>
            <w:pPr>
              <w:spacing w:after="0"/>
              <w:rPr>
                <w:sz w:val="7"/>
                <w:szCs w:val="7"/>
                <w:color w:val="auto"/>
              </w:rPr>
            </w:pPr>
          </w:p>
        </w:tc>
        <w:tc>
          <w:tcPr>
            <w:tcW w:w="5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953" w:right="319" w:bottom="1440" w:gutter="0" w:footer="0" w:header="0"/>
        </w:sectPr>
      </w:pPr>
    </w:p>
    <w:bookmarkStart w:id="98" w:name="page99"/>
    <w:bookmarkEnd w:id="98"/>
    <w:p>
      <w:pPr>
        <w:jc w:val="right"/>
        <w:spacing w:after="0"/>
        <w:rPr>
          <w:sz w:val="20"/>
          <w:szCs w:val="20"/>
          <w:color w:val="auto"/>
        </w:rPr>
      </w:pPr>
      <w:r>
        <w:rPr>
          <w:rFonts w:ascii="Arial" w:cs="Arial" w:eastAsia="Arial" w:hAnsi="Arial"/>
          <w:sz w:val="15"/>
          <w:szCs w:val="15"/>
          <w:b w:val="1"/>
          <w:bCs w:val="1"/>
          <w:color w:val="auto"/>
        </w:rPr>
        <w:t>Exhibit 32.2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PERIODIC FINANCIAL REPORTS PURSUANT TO 18 U.S.C. §1350</w:t>
      </w:r>
    </w:p>
    <w:p>
      <w:pPr>
        <w:spacing w:after="0" w:line="141" w:lineRule="exact"/>
        <w:rPr>
          <w:sz w:val="20"/>
          <w:szCs w:val="20"/>
          <w:color w:val="auto"/>
        </w:rPr>
      </w:pPr>
    </w:p>
    <w:p>
      <w:pPr>
        <w:ind w:firstLine="195"/>
        <w:spacing w:after="0" w:line="266" w:lineRule="auto"/>
        <w:rPr>
          <w:sz w:val="20"/>
          <w:szCs w:val="20"/>
          <w:color w:val="auto"/>
        </w:rPr>
      </w:pPr>
      <w:r>
        <w:rPr>
          <w:rFonts w:ascii="Arial" w:cs="Arial" w:eastAsia="Arial" w:hAnsi="Arial"/>
          <w:sz w:val="15"/>
          <w:szCs w:val="15"/>
          <w:color w:val="auto"/>
        </w:rPr>
        <w:t>The undersigned hereby certifies that he is the duly appointed and acting Chief Financial Officer of Fidelity National Financial, Inc., a Delaware corporation (the “Company”), and hereby further certifies as follows.</w:t>
      </w:r>
    </w:p>
    <w:p>
      <w:pPr>
        <w:spacing w:after="0" w:line="103" w:lineRule="exact"/>
        <w:rPr>
          <w:sz w:val="20"/>
          <w:szCs w:val="20"/>
          <w:color w:val="auto"/>
        </w:rPr>
      </w:pPr>
    </w:p>
    <w:p>
      <w:pPr>
        <w:ind w:left="740" w:hanging="732"/>
        <w:spacing w:after="0" w:line="266" w:lineRule="auto"/>
        <w:tabs>
          <w:tab w:leader="none" w:pos="7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periodic report containing financial statements to which this certificate is an exhibit fully complies with the requirements of Section 13(a) or 15(d) of the Securities Exchange Act of 1934.</w:t>
      </w:r>
    </w:p>
    <w:p>
      <w:pPr>
        <w:spacing w:after="0" w:line="169" w:lineRule="exact"/>
        <w:rPr>
          <w:rFonts w:ascii="Arial" w:cs="Arial" w:eastAsia="Arial" w:hAnsi="Arial"/>
          <w:sz w:val="15"/>
          <w:szCs w:val="15"/>
          <w:color w:val="auto"/>
        </w:rPr>
      </w:pPr>
    </w:p>
    <w:p>
      <w:pPr>
        <w:ind w:left="740" w:hanging="732"/>
        <w:spacing w:after="0" w:line="266" w:lineRule="auto"/>
        <w:tabs>
          <w:tab w:leader="none" w:pos="7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In witness whereof, the undersigned has executed and delivered this certificate as of the date set forth opposite his signature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40" w:type="dxa"/>
            <w:vAlign w:val="bottom"/>
          </w:tcPr>
          <w:p>
            <w:pPr>
              <w:ind w:left="1520"/>
              <w:spacing w:after="0"/>
              <w:rPr>
                <w:sz w:val="20"/>
                <w:szCs w:val="20"/>
                <w:color w:val="auto"/>
              </w:rPr>
            </w:pPr>
            <w:r>
              <w:rPr>
                <w:rFonts w:ascii="Arial" w:cs="Arial" w:eastAsia="Arial" w:hAnsi="Arial"/>
                <w:sz w:val="15"/>
                <w:szCs w:val="15"/>
                <w:color w:val="auto"/>
              </w:rPr>
              <w:t>By:</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Anthony J. Park</w:t>
            </w:r>
          </w:p>
        </w:tc>
        <w:tc>
          <w:tcPr>
            <w:tcW w:w="0" w:type="dxa"/>
            <w:vAlign w:val="bottom"/>
          </w:tcPr>
          <w:p>
            <w:pPr>
              <w:spacing w:after="0"/>
              <w:rPr>
                <w:sz w:val="1"/>
                <w:szCs w:val="1"/>
                <w:color w:val="auto"/>
              </w:rPr>
            </w:pPr>
          </w:p>
        </w:tc>
      </w:tr>
      <w:tr>
        <w:trPr>
          <w:trHeight w:val="179"/>
        </w:trPr>
        <w:tc>
          <w:tcPr>
            <w:tcW w:w="2240" w:type="dxa"/>
            <w:vAlign w:val="bottom"/>
          </w:tcPr>
          <w:p>
            <w:pPr>
              <w:spacing w:after="0"/>
              <w:rPr>
                <w:sz w:val="15"/>
                <w:szCs w:val="15"/>
                <w:color w:val="auto"/>
              </w:rPr>
            </w:pPr>
          </w:p>
        </w:tc>
        <w:tc>
          <w:tcPr>
            <w:tcW w:w="5280" w:type="dxa"/>
            <w:vAlign w:val="bottom"/>
          </w:tcPr>
          <w:p>
            <w:pPr>
              <w:ind w:left="20"/>
              <w:spacing w:after="0"/>
              <w:rPr>
                <w:sz w:val="20"/>
                <w:szCs w:val="20"/>
                <w:color w:val="auto"/>
              </w:rPr>
            </w:pPr>
            <w:r>
              <w:rPr>
                <w:rFonts w:ascii="Arial" w:cs="Arial" w:eastAsia="Arial" w:hAnsi="Arial"/>
                <w:sz w:val="15"/>
                <w:szCs w:val="15"/>
                <w:color w:val="auto"/>
              </w:rPr>
              <w:t>Anthony J. Park</w:t>
            </w:r>
          </w:p>
        </w:tc>
        <w:tc>
          <w:tcPr>
            <w:tcW w:w="0" w:type="dxa"/>
            <w:vAlign w:val="bottom"/>
          </w:tcPr>
          <w:p>
            <w:pPr>
              <w:spacing w:after="0"/>
              <w:rPr>
                <w:sz w:val="1"/>
                <w:szCs w:val="1"/>
                <w:color w:val="auto"/>
              </w:rPr>
            </w:pPr>
          </w:p>
        </w:tc>
      </w:tr>
      <w:tr>
        <w:trPr>
          <w:trHeight w:val="188"/>
        </w:trPr>
        <w:tc>
          <w:tcPr>
            <w:tcW w:w="2240" w:type="dxa"/>
            <w:vAlign w:val="bottom"/>
            <w:vMerge w:val="restart"/>
          </w:tcPr>
          <w:p>
            <w:pPr>
              <w:spacing w:after="0"/>
              <w:rPr>
                <w:sz w:val="20"/>
                <w:szCs w:val="20"/>
                <w:color w:val="auto"/>
              </w:rPr>
            </w:pPr>
            <w:r>
              <w:rPr>
                <w:rFonts w:ascii="Arial" w:cs="Arial" w:eastAsia="Arial" w:hAnsi="Arial"/>
                <w:sz w:val="15"/>
                <w:szCs w:val="15"/>
                <w:color w:val="auto"/>
              </w:rPr>
              <w:t>Date: November 5, 2021</w:t>
            </w:r>
          </w:p>
        </w:tc>
        <w:tc>
          <w:tcPr>
            <w:tcW w:w="5280" w:type="dxa"/>
            <w:vAlign w:val="bottom"/>
          </w:tcPr>
          <w:p>
            <w:pPr>
              <w:ind w:left="20"/>
              <w:spacing w:after="0"/>
              <w:rPr>
                <w:sz w:val="20"/>
                <w:szCs w:val="20"/>
                <w:color w:val="auto"/>
              </w:rPr>
            </w:pPr>
            <w:r>
              <w:rPr>
                <w:rFonts w:ascii="Arial" w:cs="Arial" w:eastAsia="Arial" w:hAnsi="Arial"/>
                <w:sz w:val="15"/>
                <w:szCs w:val="15"/>
                <w:color w:val="auto"/>
              </w:rPr>
              <w:t>Chief Financial Officer</w:t>
            </w:r>
          </w:p>
        </w:tc>
        <w:tc>
          <w:tcPr>
            <w:tcW w:w="0" w:type="dxa"/>
            <w:vAlign w:val="bottom"/>
          </w:tcPr>
          <w:p>
            <w:pPr>
              <w:spacing w:after="0"/>
              <w:rPr>
                <w:sz w:val="1"/>
                <w:szCs w:val="1"/>
                <w:color w:val="auto"/>
              </w:rPr>
            </w:pPr>
          </w:p>
        </w:tc>
      </w:tr>
      <w:tr>
        <w:trPr>
          <w:trHeight w:val="88"/>
        </w:trPr>
        <w:tc>
          <w:tcPr>
            <w:tcW w:w="2240" w:type="dxa"/>
            <w:vAlign w:val="bottom"/>
            <w:vMerge w:val="continue"/>
          </w:tcPr>
          <w:p>
            <w:pPr>
              <w:spacing w:after="0"/>
              <w:rPr>
                <w:sz w:val="7"/>
                <w:szCs w:val="7"/>
                <w:color w:val="auto"/>
              </w:rPr>
            </w:pPr>
          </w:p>
        </w:tc>
        <w:tc>
          <w:tcPr>
            <w:tcW w:w="5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75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lowerRoman"/>
      <w:start w:val="1"/>
    </w:lvl>
  </w:abstractNum>
  <w:abstractNum w:abstractNumId="12">
    <w:nsid w:val="2D1D5AE9"/>
    <w:multiLevelType w:val="hybridMultilevel"/>
    <w:lvl w:ilvl="0">
      <w:lvlJc w:val="left"/>
      <w:lvlText w:val="(%1)"/>
      <w:numFmt w:val="lowerRoman"/>
      <w:start w:val="2"/>
    </w:lvl>
  </w:abstractNum>
  <w:abstractNum w:abstractNumId="13">
    <w:nsid w:val="6763845E"/>
    <w:multiLevelType w:val="hybridMultilevel"/>
    <w:lvl w:ilvl="0">
      <w:lvlJc w:val="left"/>
      <w:lvlText w:val="(%1)"/>
      <w:numFmt w:val="lowerRoman"/>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1)"/>
      <w:numFmt w:val="lowerLetter"/>
      <w:start w:val="1"/>
    </w:lvl>
    <w:lvl w:ilvl="1">
      <w:lvlJc w:val="left"/>
      <w:lvlText w:val="•"/>
      <w:numFmt w:val="bullet"/>
      <w:start w:val="1"/>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
      <w:numFmt w:val="bullet"/>
      <w:start w:val="1"/>
    </w:lvl>
    <w:lvl w:ilvl="1">
      <w:lvlJc w:val="left"/>
      <w:lvlText w:val="%2"/>
      <w:numFmt w:val="decimal"/>
      <w:start w:val="104"/>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5" Type="http://schemas.openxmlformats.org/officeDocument/2006/relationships/image" Target="media/image137.png"/><Relationship Id="rId144" Type="http://schemas.openxmlformats.org/officeDocument/2006/relationships/hyperlink" Target="https://www.sec.gov/Archives/edgar/data/0001331875/000110465921116748/tm2127512d4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2021-11-05T15:38:13Z</dcterms:created>
  <dcterms:modified xsi:type="dcterms:W3CDTF">2021-11-05T15:38:13Z</dcterms:modified>
</cp:coreProperties>
</file>