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820" w:val="left"/>
          <w:tab w:leader="none" w:pos="4960" w:val="left"/>
          <w:tab w:leader="none" w:pos="70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reporting company)</w:t>
      </w:r>
    </w:p>
    <w:p>
      <w:pPr>
        <w:spacing w:after="0" w:line="157" w:lineRule="exact"/>
        <w:rPr>
          <w:sz w:val="24"/>
          <w:szCs w:val="24"/>
          <w:color w:val="auto"/>
        </w:rPr>
      </w:pPr>
    </w:p>
    <w:p>
      <w:pPr>
        <w:jc w:val="both"/>
        <w:ind w:right="20"/>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September 30, 2017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273,154,429</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64,864,950</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September 30, 2017 and December 31,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B. Condensed Consolidated Statements of Earnings for the three-month and nine-month periods ended September 30, 2017 and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 Condensed Consolidated Statements of Comprehensive Earnings for the three-month and nine-month periods ended September 30,</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2017 and 2016</w:t>
              </w:r>
            </w:hyperlink>
          </w:p>
        </w:tc>
        <w:tc>
          <w:tcPr>
            <w:tcW w:w="8580" w:type="dxa"/>
            <w:vAlign w:val="bottom"/>
            <w:tcBorders>
              <w:top w:val="single" w:sz="8" w:color="0000EE"/>
            </w:tcBorders>
            <w:gridSpan w:val="14"/>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D. Condensed Consolidated Statements of Equity for the nine-month periods ended September 30, 2017 and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 Condensed Consolidated Statements of Cash Flows for the nine-month periods ended September 30, 2017 and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F. Notes to Condensed Consolidated Financial Statements</w:t>
              </w:r>
            </w:hyperlink>
          </w:p>
        </w:tc>
        <w:tc>
          <w:tcPr>
            <w:tcW w:w="4380" w:type="dxa"/>
            <w:vAlign w:val="bottom"/>
            <w:tcBorders>
              <w:top w:val="single" w:sz="8" w:color="0000EE"/>
            </w:tcBorders>
            <w:gridSpan w:val="5"/>
          </w:tcPr>
          <w:p>
            <w:pPr>
              <w:spacing w:after="0"/>
              <w:rPr>
                <w:sz w:val="21"/>
                <w:szCs w:val="21"/>
                <w:color w:val="auto"/>
              </w:rPr>
            </w:pPr>
          </w:p>
        </w:tc>
        <w:tc>
          <w:tcPr>
            <w:tcW w:w="11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Item 3. Quantitative and Qualitative Disclosure About Market Risk</w:t>
              </w:r>
            </w:hyperlink>
          </w:p>
        </w:tc>
        <w:tc>
          <w:tcPr>
            <w:tcW w:w="2160" w:type="dxa"/>
            <w:vAlign w:val="bottom"/>
            <w:gridSpan w:val="2"/>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2.</w:t>
              </w:r>
            </w:hyperlink>
          </w:p>
        </w:tc>
        <w:tc>
          <w:tcPr>
            <w:tcW w:w="4320" w:type="dxa"/>
            <w:vAlign w:val="bottom"/>
            <w:gridSpan w:val="9"/>
          </w:tcPr>
          <w:p>
            <w:pPr>
              <w:ind w:left="20"/>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Unregistered Sales of Equity Securities and Use of Proceeds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Item 6.</w:t>
              </w:r>
            </w:hyperlink>
          </w:p>
        </w:tc>
        <w:tc>
          <w:tcPr>
            <w:tcW w:w="4320" w:type="dxa"/>
            <w:vAlign w:val="bottom"/>
            <w:gridSpan w:val="9"/>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1"/>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1"/>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1"/>
              <w:spacing w:after="0"/>
              <w:rPr>
                <w:sz w:val="20"/>
                <w:szCs w:val="20"/>
                <w:color w:val="auto"/>
              </w:rPr>
            </w:pPr>
            <w:r>
              <w:rPr>
                <w:rFonts w:ascii="Arial" w:cs="Arial" w:eastAsia="Arial" w:hAnsi="Arial"/>
                <w:sz w:val="14"/>
                <w:szCs w:val="14"/>
                <w:color w:val="auto"/>
                <w:w w:val="94"/>
              </w:rPr>
              <w:t>(Dollars in millions, except share data)</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jc w:val="right"/>
              <w:ind w:right="779"/>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1"/>
              <w:spacing w:after="0"/>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6"/>
              </w:rPr>
              <w:t>Fixed maturity securities available for sale, at fair value, at September 30, 2017 and December 31, 2016 includes pledged fixed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maturity securities of $367 and $332, respectively, related to secured trust 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4"/>
              </w:rPr>
              <w:t>Short-term investments, at September 30, 2017 and December 31, 2016 includes short-term investments of $0 and $212 related to</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secured trust deposits, respectively</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1"/>
              </w:rPr>
              <w:t>Cash and cash equivalents, at September 30, 2017 and December 31, 2016 includes $568 and $331, respectively, of pledged cash related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to secured trust deposits</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$20 and $21, at September 30, 2017 and December 31, 2016,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Assets of discontinued operations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3,761</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14,463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1"/>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Liabilities of discontinued operations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7,221</w:t>
            </w:r>
          </w:p>
        </w:tc>
        <w:tc>
          <w:tcPr>
            <w:tcW w:w="0" w:type="dxa"/>
            <w:vAlign w:val="bottom"/>
          </w:tcPr>
          <w:p>
            <w:pPr>
              <w:spacing w:after="0"/>
              <w:rPr>
                <w:sz w:val="1"/>
                <w:szCs w:val="1"/>
                <w:color w:val="auto"/>
              </w:rPr>
            </w:pPr>
          </w:p>
        </w:tc>
      </w:tr>
      <w:tr>
        <w:trPr>
          <w:trHeight w:val="231"/>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Commitments and Contingencies: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FNF Group common stock, $0.0001 par value; authorized 487,000,000 shares as of September 30, 2017 and December 31, 2016;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9"/>
              </w:rPr>
              <w:t>outstanding of 273,154,429 and 272,205,261 as of September 30, 2017 and December 31, 2016, respectively, and issued of</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285,992,115 and 285,041,900 as of September 30, 2017 and December 31, 2016, 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3"/>
              </w:rPr>
              <w:t>FNFV Group common stock, $0.0001 par value; authorized 113,000,000 shares as of September 30, 2017 and December 31, 2016;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2"/>
              </w:rPr>
              <w:t>outstanding of 64,864,950 and 66,416,822 as of September 30, 2017 and December 31, 2016, respectively, and issued of 80,581,675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as of both September 30, 2017 and December 31, 2016</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4,582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4,848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earnings (loss)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treasury stock, 28,554,411 as of September 30, 2017 and 27,001,492 shares as of December 31, 2016, at cost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5,369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6,898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14,463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108" w:right="239" w:bottom="141" w:gutter="0" w:footer="0" w:header="0"/>
        </w:sect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08" w:right="239" w:bottom="141"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25"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right"/>
        <w:ind w:right="312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millions, except per share data)</w:t>
      </w:r>
    </w:p>
    <w:p>
      <w:pPr>
        <w:sectPr>
          <w:pgSz w:w="11900" w:h="16838" w:orient="portrait"/>
          <w:cols w:equalWidth="0" w:num="1">
            <w:col w:w="11420"/>
          </w:cols>
          <w:pgMar w:left="240" w:top="121" w:right="239" w:bottom="84" w:gutter="0" w:footer="0" w:header="0"/>
        </w:sectPr>
      </w:pPr>
    </w:p>
    <w:p>
      <w:pPr>
        <w:spacing w:after="0" w:line="186"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7" w:lineRule="exact"/>
        <w:rPr>
          <w:sz w:val="20"/>
          <w:szCs w:val="20"/>
          <w:color w:val="auto"/>
        </w:rPr>
      </w:pPr>
    </w:p>
    <w:p>
      <w:pPr>
        <w:ind w:left="8160"/>
        <w:spacing w:after="0"/>
        <w:tabs>
          <w:tab w:leader="none" w:pos="90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9"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1063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31115</wp:posOffset>
            </wp:positionV>
            <wp:extent cx="1063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(Unaudited)</w:t>
      </w:r>
    </w:p>
    <w:p>
      <w:pPr>
        <w:spacing w:after="0" w:line="68" w:lineRule="exact"/>
        <w:rPr>
          <w:sz w:val="20"/>
          <w:szCs w:val="20"/>
          <w:color w:val="auto"/>
        </w:rPr>
      </w:pPr>
    </w:p>
    <w:p>
      <w:pPr>
        <w:sectPr>
          <w:pgSz w:w="11900" w:h="16838" w:orient="portrait"/>
          <w:cols w:equalWidth="0" w:num="2">
            <w:col w:w="9420" w:space="580"/>
            <w:col w:w="1420"/>
          </w:cols>
          <w:pgMar w:left="240" w:top="121" w:right="239" w:bottom="84" w:gutter="0" w:footer="0" w:header="0"/>
          <w:type w:val="continuous"/>
        </w:sect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5,702</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losses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losses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attributable to FNFV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per share attributable to FNFV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earnings per share attributable to FNFV Group common shareholders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per share FNF Group common stock</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780"/>
              <w:spacing w:after="0"/>
              <w:rPr>
                <w:sz w:val="20"/>
                <w:szCs w:val="20"/>
                <w:color w:val="auto"/>
              </w:rPr>
            </w:pPr>
            <w:r>
              <w:rPr>
                <w:rFonts w:ascii="Arial" w:cs="Arial" w:eastAsia="Arial" w:hAnsi="Arial"/>
                <w:sz w:val="16"/>
                <w:szCs w:val="16"/>
                <w:color w:val="auto"/>
                <w:w w:val="95"/>
              </w:rPr>
              <w:t>See Notes to Condensed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4" w:gutter="0" w:footer="0" w:header="0"/>
          <w:type w:val="continuous"/>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84"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left="2540"/>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left="800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87" w:lineRule="exact"/>
        <w:rPr>
          <w:sz w:val="20"/>
          <w:szCs w:val="20"/>
          <w:color w:val="auto"/>
        </w:rPr>
      </w:pPr>
    </w:p>
    <w:p>
      <w:pPr>
        <w:ind w:left="7980"/>
        <w:spacing w:after="0"/>
        <w:tabs>
          <w:tab w:leader="none" w:pos="900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38100</wp:posOffset>
            </wp:positionV>
            <wp:extent cx="1235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12"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13335</wp:posOffset>
            </wp:positionV>
            <wp:extent cx="1080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31115</wp:posOffset>
            </wp:positionV>
            <wp:extent cx="1080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9300" w:space="680"/>
            <w:col w:w="14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Unrealized gain on investments and other financial instruments, net (excluding investments in</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 (1)</w:t>
            </w: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Unrealized gain (loss) on investments in unconsolidated affiliates (2)</w:t>
            </w:r>
          </w:p>
        </w:tc>
        <w:tc>
          <w:tcPr>
            <w:tcW w:w="3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on foreign currency translation (3)</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w w:val="93"/>
              </w:rPr>
              <w:t>Reclassification adjustments for change in unrealized gains and losses included in net earnings (4)</w:t>
            </w:r>
          </w:p>
        </w:tc>
        <w:tc>
          <w:tcPr>
            <w:tcW w:w="3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w:t>
            </w:r>
          </w:p>
        </w:tc>
        <w:tc>
          <w:tcPr>
            <w:tcW w:w="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(loss) earnings attributable to FNFV Group common shareholders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$5 million and $4 million for the three-month periods ended September 30, 2017 and 2016, respectively, and $20 million and $33 million for the nine-month periods ended September 30, 2017 and 2016,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$3 million and $(1) million for the three-month periods ended September 30, 2017 and 2016, respectively, and $10 million and $8 million for the nine-month periods ended September 30, 2017 and 2016,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$2 million and less than $1 million for the three-month periods ended September 30, 2017 and 2016, respectively, and $5 million and $3 million for the nine-month periods ended September 30, 2017 and 2016.</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$(1) million for the three-month period ended September 30, 2016 and $1 million for the nine-month period ended September 30,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b w:val="1"/>
                <w:bCs w:val="1"/>
                <w:color w:val="auto"/>
                <w:w w:val="94"/>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2015</w:t>
            </w:r>
          </w:p>
        </w:tc>
        <w:tc>
          <w:tcPr>
            <w:tcW w:w="460" w:type="dxa"/>
            <w:vAlign w:val="bottom"/>
          </w:tcPr>
          <w:p>
            <w:pPr>
              <w:jc w:val="right"/>
              <w:spacing w:after="0"/>
              <w:rPr>
                <w:sz w:val="20"/>
                <w:szCs w:val="20"/>
                <w:color w:val="auto"/>
              </w:rPr>
            </w:pPr>
            <w:r>
              <w:rPr>
                <w:rFonts w:ascii="Arial" w:cs="Arial" w:eastAsia="Arial" w:hAnsi="Arial"/>
                <w:sz w:val="13"/>
                <w:szCs w:val="13"/>
                <w:color w:val="auto"/>
              </w:rPr>
              <w:t>282</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4,795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(346)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unrealized gain (loss) on investments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and 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Shares withheld for taxes and in</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September 30,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284</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4,839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(595)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889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6,764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65"/>
        </w:trPr>
        <w:tc>
          <w:tcPr>
            <w:tcW w:w="19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Spin-off of Black Knight, Inc.</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unrealized gain on investments and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other financial instruments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Reclassification adjustments for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Black Knight repurchases of BKFS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stock</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Shares withheld for taxes and in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Purchase of additional share in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consolidated subsidiaries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Sale of OneDigital</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Acquisitions of noncontrolling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Equity portion of debt conversions</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settled in cash</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September 30, 2017</w:t>
            </w:r>
          </w:p>
        </w:tc>
        <w:tc>
          <w:tcPr>
            <w:tcW w:w="460" w:type="dxa"/>
            <w:vAlign w:val="bottom"/>
          </w:tcPr>
          <w:p>
            <w:pPr>
              <w:jc w:val="right"/>
              <w:spacing w:after="0"/>
              <w:rPr>
                <w:sz w:val="20"/>
                <w:szCs w:val="20"/>
                <w:color w:val="auto"/>
              </w:rPr>
            </w:pPr>
            <w:r>
              <w:rPr>
                <w:rFonts w:ascii="Arial" w:cs="Arial" w:eastAsia="Arial" w:hAnsi="Arial"/>
                <w:sz w:val="13"/>
                <w:szCs w:val="13"/>
                <w:color w:val="auto"/>
              </w:rPr>
              <w:t>286</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4,582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(647)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5,369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2"/>
              </w:rPr>
              <w:t>For the nine months ended</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losses of unconsolidated affiliates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Loss (gain) on sales of investments and other assets, net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 of OneDigital</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Impairment of assets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change in pledged cash, pledged investments, and secured trust deposits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trade receivables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reserve for title claim losses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change in income taxes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investment securities available for sale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sale of cost method and other investments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 securities available for sale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(purchases of) proceeds from short-term investment securities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other long-term investments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Contributions to investments in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Distributions from unconsolidated affiliates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other investing activities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Commissions, Inc., net of cash acquired</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Acquisition of Title Guaranty of Hawaii, net of cash acquired</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sale of OneDigital</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Borrowings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Debt service payments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Black Knight treasury stock repurchases of BKFS stock</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9360" w:type="dxa"/>
            <w:vAlign w:val="bottom"/>
          </w:tcPr>
          <w:p>
            <w:pPr>
              <w:ind w:left="280"/>
              <w:spacing w:after="0"/>
              <w:rPr>
                <w:sz w:val="20"/>
                <w:szCs w:val="20"/>
                <w:color w:val="auto"/>
              </w:rPr>
            </w:pPr>
            <w:r>
              <w:rPr>
                <w:rFonts w:ascii="Arial" w:cs="Arial" w:eastAsia="Arial" w:hAnsi="Arial"/>
                <w:sz w:val="14"/>
                <w:szCs w:val="14"/>
                <w:color w:val="auto"/>
              </w:rPr>
              <w:t>Equity portion of debt conversions paid in cash</w:t>
            </w:r>
          </w:p>
        </w:tc>
        <w:tc>
          <w:tcPr>
            <w:tcW w:w="1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9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Cash transferred in Black Knight spin-off</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Payment for withholding taxes on stock-based compensation for shares withheld from participants and in treasury</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treasury stock</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 excluding pledged cash related to secured trust deposits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period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(our "Annual Report")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Group and FNF Ventures ("FNFV").</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 FNF Group, 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("Chicago Title"),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Through FNFV group, our diversified investment holding company, we own majority and minority equity investment stakes in a number of entities, including American Blue Ribbon Holdings, LLC ("ABRH") and Ceridian HCM, Inc. ("Ceridian"), subject to an anticipated Split-Off, as described under </w:t>
      </w:r>
      <w:r>
        <w:rPr>
          <w:rFonts w:ascii="Arial" w:cs="Arial" w:eastAsia="Arial" w:hAnsi="Arial"/>
          <w:sz w:val="18"/>
          <w:szCs w:val="18"/>
          <w:i w:val="1"/>
          <w:iCs w:val="1"/>
          <w:color w:val="auto"/>
        </w:rPr>
        <w:t xml:space="preserve">Recent Developments </w:t>
      </w:r>
      <w:r>
        <w:rPr>
          <w:rFonts w:ascii="Arial" w:cs="Arial" w:eastAsia="Arial" w:hAnsi="Arial"/>
          <w:sz w:val="18"/>
          <w:szCs w:val="18"/>
          <w:color w:val="auto"/>
        </w:rPr>
        <w:t>in this Note A.</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16, 2017, FNFV Group completed its acquisition of T-System Holdings LLC ("T-System") for $200 million in cash. T-System is a provider of clinical documentation and coding solutions to hospital-based and free-standing emergency departments and urgent care facilities. T-System offers software solutions providing clinical staff full workflow operations that drive documentation completeness and revenue optimization, and provides a full-service outsourced coding solution as well as a cloud-based SaaS solution for self-service coding.</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September 29, 2017, we completed our previously announced tax-free distribution, to FNF Group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publicly-traded holding company, Black Knight, Inc. ("New Black Knight"). Holders of FNF Group common stock received approximately 0.30663 shares of New Black Knight common stock for every one share of FNF Group common stock held at the close of business on September 20, 2017, the record date for the BK Distribution. New Black Knight's common stock is now listed under the symbol “BKI” on the New York Stock Exchange. The BK Distribution is expected to generally be tax-free to FNF Group shareholders for U.S. federal income tax purposes, except to the extent of any cash received in lieu of New Black Knight's fractional shares. As a result of the BK Distribution, we have reclassified the assets and liabilities divested as assets and liabilities of discontinued operations in our Condensed Consolidated Balance Sheet as of December 31, 2016. Further, the financial results of Black Knight have been reclassified to discontinued operations for all periods presented in our Condensed Consolidated Statements of Operations. See Note K.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for further details of the results of Black Knight.</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August 31, 2017, FNF Group completed its acquisition of 90% of the membership interests of Title Guaranty of Hawaii ("Title Guaranty") for $98 million. Title Guaranty was previously an unaffiliated agent of Chicago Title and will continue to be closely aligned with Chicago Title as it formally becomes part of the FNF title company family. Founded in 1896, Title Guaranty is the oldest title company in the State of Hawaii and is a leading provider of title and escrow services, with more than 300 employees in branches across the State of Hawaii providing title insurance and real estate closing services. See Note J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discussion.</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3, 2017, FNFV LLC entered into a definitive agreement (the "99 Merger Agreement"), by and among J. Alexander's Holdings, Inc. ("J. Alexander's"), its subsidiary J. Alexander's Holdings, LLC ("JAX Op"), Nitro Merger Sub, Inc. ("Merger Sub"), a wholly-owned subsidiary of JAX Op, Fidelity Newport Holdings, LLC ("FNH", together with FNFV LLC, the "99 Sellers"), and 99 Restaurants, LLC ("99 Restaurants"), to merge Merger Sub with and into 99 Restaurants, whereupon the separate existence of Merger Sub shall cease and 99 Restaurants shall continue as the surviving company and a wholly-owned subsidiary of JAX Op</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"99 Merger"). 99 Restaurants is the owner of our Ninety Nine Restaurant &amp; Pub restaurant concept. Pursuant to the 99 Merger Agreement, FNH will exchange 100% of its ownership interest in 99 Restaurants for common share equivalents of J. Alexander's (as described below).</w:t>
      </w:r>
    </w:p>
    <w:p>
      <w:pPr>
        <w:spacing w:after="0" w:line="62" w:lineRule="exact"/>
        <w:rPr>
          <w:sz w:val="20"/>
          <w:szCs w:val="20"/>
          <w:color w:val="auto"/>
        </w:rPr>
      </w:pPr>
    </w:p>
    <w:p>
      <w:pPr>
        <w:jc w:val="both"/>
        <w:ind w:firstLine="717"/>
        <w:spacing w:after="0" w:line="270" w:lineRule="auto"/>
        <w:rPr>
          <w:sz w:val="20"/>
          <w:szCs w:val="20"/>
          <w:color w:val="auto"/>
        </w:rPr>
      </w:pPr>
      <w:r>
        <w:rPr>
          <w:rFonts w:ascii="Arial" w:cs="Arial" w:eastAsia="Arial" w:hAnsi="Arial"/>
          <w:sz w:val="17"/>
          <w:szCs w:val="17"/>
          <w:color w:val="auto"/>
        </w:rPr>
        <w:t>Under the terms of the 99 Merger Agreement, 99 Restaurants will be valued at an enterprise value of $199 million, with consideration to be paid to the 99 Sellers by J. Alexander's and JAX Op consisting of newly issued equity valued at $179 million, issued in the form of 16.3 million new Class B Units of JAX Op and 16.3 million shares of new Class B Common Stock of J. Alexander's, and the assumption of $20 million of net debt. For purposes of the 99 Merger, each Class B Unit, together with one share of Class B Common Stock, will be issued at an agreed price of $11.00. Prior to the 99 Merger, 99 Restaurants will assume $60 million of currently outstanding debt of certain of its affiliates and FNFV LLC will contribute $40 million to 99 Restaurants in exchange for newly issued membership interest in 99 Restaurants. The proceeds of this cash contribution will be used by J. Alexander's to repay a portion of the assumed debt immediately following the closing of the 99 Merger. William P. Foley, II will join the J. Alexander's Board of Directors and it is expected that Lonnie J. Stout II will remain Chief Executive Officer of the combined company. Closing of the 99 Merger is contingent on customary closing conditions, including approval of the shareholders of J. Alexander's and certain regulatory clearances, and is expected late in the fourth quarter of 2017 or early in the first quarter of 2018.</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May 24, 2017, we entered into certain equity commitment letters (the “Equity Commitment Letters”) with CF Corporation, a Cayman Islands exempted company (“CFCOU”), relating to its plan of merger (the "Merger" or “Merger Agreement”), dated May 24, 2017, among CFCOU, Fidelity &amp; Guaranty Life, a Delaware corporation (“FGL”), and the other parties thereto. Pursuant to the Equity Commitment Letters, the Company has committed (the "FNF Commitment"), on the terms and subject to the conditions set forth therein, at the closing under the Merger Agreement, to purchase, or cause the purchase of, equity of CFCOU for an aggregate cash purchase price equal to $235 million plus up to an aggregate of $195 million to offset any redemptions of CFCOU’s ordinary shares made in connection with its shareholder vote to approve the transaction. The cash purchase price of $235 million includes: (i) $135 million of ordinary shares of CFCOU for $10.00 per share, and (ii) $100 million of preferred shares, plus additional amounts, if any, pursuant to the Company’s commitment to offset a portion of the redemptions of CFCOU’s ordinary shares, if any, and warrants. The shareholder vote was held on August 8, 2017 and the Merger was unanimously approved. No shareholders elected to have their public shares redeemed in connection with the Merger. Additionally, the Company has committed, on the terms and subject to the conditions set forth therein, at the Closing, to purchase, or cause the purchase of, equity of CFCOU for an aggregate cash purchase price equal to two-thirds (2/3) of the aggregate amount, if any, not funded by one or more purchasers under the forward purchase agreements between CFCOU, CF Capital Growth, LLC and the counterparties thereto, up to an aggregate amount of $200 million.</w:t>
      </w:r>
    </w:p>
    <w:p>
      <w:pPr>
        <w:spacing w:after="0" w:line="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consideration for the FNF Commitment and the agreements of the Company under the Equity Commitment Letters, the Company also entered into a fee letter agreement with CFCOU, dated May 24, 2017, pursuant to which CFCOU has agreed to pay to the Company the following fees at the closing of the Merger: (i) the original issue discount of $2 million in respect of the preferred shares; (ii) a commitment fee of $3 million; (iii) penny warrants convertible, in the aggregate, for 1.2% of CFCOU’s ordinary shares (on a fully diluted basis); and (iv) if, and to the extent, any amount of the preferred equity under the Company’s backstop commitment is funded (the “Backstop Equity”), (x) a funding fee of 0.5% of the amount of the Backstop Equity that is funded, and (y) penny warrants attached to the Backstop Equity that are convertible, in the aggregate, for the result of (1) the proportion of the Backstop Equity that is funded, and (2) 1.5% of CFCOU’s ordinary shares. The Merger is expected to close in the fourth quarter of 2017, subject to the receipt of required regulatory approvals and other customary closing conditions. In addition to the Equity Commitment Letters and FNF Commitment, the Company holds $37 million of equity securities of CFCOU as of September 30, 2017. The Company’s non-executive Chairman, William P. Foley, II, is also the Co-Executive Chairman of CF Corporation.</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22, 2017, FNF Group completed its acquisition of Hudson &amp; Marshall, LLC ("H&amp;M"), a full-service auction company and one of the nation's top real estate and property auction providers, for $53 million. FNF and H&amp;M expect to partner to further enhance the services FNF can provide to its lender, servicer and real estate agent relationships. Additionally, H&amp;M will be hosting ServiceLink Auction, a new, full-service auction platform that will be integrated with ServiceLink's suite of products and technologies.</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5, 2017, we signed a definitive agreement to sell Digital Insurance, LLC ("OneDigital") for $560 million in an all-cash transaction. The sale was finalized on June 6, 2017. After repayment of debt, payout to option holders and a minority equity investor and other transaction related payments, FNFV Group received $331 million from the sale, which includes $325 million of cash and $5 million of purchase price holdback receivable. We recognized a pre-tax gain of $276 million on the sale which is included in Realized gains and losses, net on the Condensed Consolidated Statement of Earnings. We retained no ownership in OneDigital and have no continuing involvement with OneDigital as of the date of the sale.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 2017, our Board of Directors adopted a resolution to increase the size of our Board of Directors to thirteen and elected Heather H. Murren to serve on our Board of Directors. Ms. Murren will serve in Class I of our Board of Directors, and her term will expire at the annual meeting of our shareholders to be held in 2018. At this time, Ms. Murren has not been appointed to any committee of our Board.</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Effective March 1, 2017, three of the Company’s title insurance underwriters, Fidelity National Title Insurance Company, Chicago Title Insurance Company and Commonwealth Land Title Insurance Company, redomesticated from their former states of domicile to Florida (the "Redomestication"). In conjunction with the Redomestication, the Company received a special dividend from these title insurance underwriters of $280 million on March 15, 2017.</w:t>
      </w:r>
    </w:p>
    <w:p>
      <w:pPr>
        <w:spacing w:after="0" w:line="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7, 2016, we announced that our Board of Directors approved a tax-free plan (the "Split-off" or "Split-off Plan") whereby we intend to redeem all FNFV shares in exchange for shares of common stock of Cannae Holdings, Inc ("Cannae"). Following the distribution, FNF and Cannae will each be independent, fully-distributed, publicly-traded common stocks, with FNF and FNFV no longer being tracking stocks. At or near closing of the Split-off, we anticipate making a $100 million equity investment in Cannae. In addition, our current $100 million undrawn intercompany line of credit with FNFV will continue with Cannae upon consummation of the Split-off Plan. On May 10, 2017 we received the private letter ruling from the Internal Revenue Service ("IRS") approving certain aspects relating to the Split-off Plan. The Split-off Plan is subject to the filing and acceptance of a registration statement with the Securities and Exchange Commission (the "SEC"), FNFV shareholder approval and other customary closing conditions. On October 19, 2017, the SEC declared the registration statement for the Split-off Plan effective and the proxy statement was mailed to shareholders. A special meeting of stockholders to approve the Split-off Plan will be held on November 17, 2017 and we expect to close on such date.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no antidilutive options outstanding during the three or nine-month periods ended September 30, 2017. There were two million antidilutive options outstanding during the three and nine months ended September 30,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whether goods and services are separately identifiable and thus accounted for as separate performance obligations.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Narrow-Scope Improvements and Practical Expedients </w:t>
      </w:r>
      <w:r>
        <w:rPr>
          <w:rFonts w:ascii="Arial" w:cs="Arial" w:eastAsia="Arial" w:hAnsi="Arial"/>
          <w:sz w:val="17"/>
          <w:szCs w:val="17"/>
          <w:color w:val="auto"/>
        </w:rPr>
        <w:t>was issued by the FASB in May 2016 to clarify certain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aforementioned updates and to add practical expedients for contracts at various stages of completion. ASU 2016-20, </w:t>
      </w:r>
      <w:r>
        <w:rPr>
          <w:rFonts w:ascii="Arial" w:cs="Arial" w:eastAsia="Arial" w:hAnsi="Arial"/>
          <w:sz w:val="17"/>
          <w:szCs w:val="17"/>
          <w:i w:val="1"/>
          <w:iCs w:val="1"/>
          <w:color w:val="auto"/>
        </w:rPr>
        <w:t>Technical Corrections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606, Revenue from Contracts with Customers</w:t>
      </w:r>
      <w:r>
        <w:rPr>
          <w:rFonts w:ascii="Arial" w:cs="Arial" w:eastAsia="Arial" w:hAnsi="Arial"/>
          <w:sz w:val="17"/>
          <w:szCs w:val="17"/>
          <w:color w:val="auto"/>
        </w:rPr>
        <w:t>, was issued by the FASB in December 2016 which includes thirteen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corrections and improvements affecting narrow aspects of the guidance issued in ASU 2014-09.</w:t>
      </w:r>
    </w:p>
    <w:p>
      <w:pPr>
        <w:spacing w:after="0" w:line="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materially completed our analysis of the impact of the standards and have concluded that these standards will not have a material impact on our accounting or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Upon issuance of ASU 2015-14, the effective date of ASU 2014-09 was deferred to annual and interim periods beginning on or after December 15, 2017. We will adopt the guidance on January 1, 2018. Either of the following transition methods is permitted: (i) a full retrospective approach reflecting the application of the new standard in each prior reporting period, or (ii) a modified retrospective approach with a cumulative-effect adjustment to the opening balance of retained earnings in the year the new standard is first applied. We plan to transition to this new guidance using the modified retrospective approach.</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have completed our evaluation of the effects this new guidance will have on our consolidated financial statements and related disclosures and have determined that the ASU will result in: (1) reclassification of our unrealized gains and losses on our equity and preferred securities available for sale currently included in accumulated other comprehensive income to beginning retained earnings as of January 1, 2018 and (2) changes in fair value of our equity and preferred securities available for sale subsequent to January 1, 2018 to be included in our earnings from continuing operations. As of September 30, 2017, we held equity and preferred securities available for sale with combined net unrealized gains (net of losses) of $160 million and $14 million, respectively. Including the associated effects of deferred taxes, based on the net of tax balances as of September 30, 2017, we expect to reclassify a total of approximately $106 million from Accumulated other comprehensive income to beginning Retained earnings as of January 1, 2018.</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still evaluating the totality of the effects this new guidance will have on our business process and systems, consolidated financial statements, and related disclosures. We have identified a vendor with software suited to track and account for leases under the new standard. We have not concluded on the anticipated financial statement effects of adoption. We plan to adopt this standard on January 1, 2019.</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debt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currently evaluating the effect this new guidance will have on our consolidated financial statements and related disclosures and have not yet concluded on its effects. We do not plan to early adopt the standard.</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The amendments in this ASU introduce clarifications to the presentation of certain cash receipts and cash payments in the statement of cash flows. The primary updates include additions and clarifications of the classification of cash flows related to certain debt repayment activities, contingent consideration payments related to business combinations, proceeds from insurance policies, distributions from equity method investees, and cash flows related to securitized receivables. This update is effective for annual periods beginning after December 15, 2017, including interim periods within those fiscal years. Early adoption of this ASU is permitted, including in interim periods. The ASU requires retrospective application to all prior periods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presented upon adoption. We have materially completed our analysis of the effects of this ASU on our consolidated financial statements and related disclosures with regard to all aspects except for the provisions related to distributions from equity method investees. Excluding the provisions related to distributions from equity method investees, we do not anticipate this ASU will have a material impact on our consolidated financial statements and related disclosures.</w:t>
      </w:r>
    </w:p>
    <w:p>
      <w:pPr>
        <w:spacing w:after="0" w:line="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The amendments in this ASU require that a statement of cash flows explain the change during the period in the total of cash, cash equivalents, and amounts generally described as restricted cash or restricted cash equivalents. GAAP currently does not include specific guidance on the cash flow classification and presentation of changes in restricted cash. The Company currently excludes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consolidated financial statements and related disclosures and have not yet concluded on its effects.</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to assist companies with evaluating whether transactions should be accounted for as acquisitions of assets or businesses. The new guidance requires a company to evaluate if substantially all of the fair value of the gross assets acquired (or disposed of) is concentrated in a single identifiable asset or a group of similar identifiable assets; if so, the set of assets and activities is not a business. The guidance also requires a business to include at least one substantive process and narrows the definition of outputs by more closely aligning it with how outputs are described in the guidance for revenue from contracts with customers. The new standard is effective for fiscal years, and interim periods within those fiscal years, beginning after December 15, 2017, with early adoption permitted. The guidance should be applied prospectively to any transactions occurring within the period of adoption. We do not expect this standard to have a material impact on our consolidated financial statements.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have completed our evaluation of the effect this new guidance will have on our consolidated financial statements and related disclosures and have concluded that the effect will not be material. We do not expect to early adopt this standard.</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Purchased Callable Debt Securities</w:t>
      </w:r>
      <w:r>
        <w:rPr>
          <w:rFonts w:ascii="Arial" w:cs="Arial" w:eastAsia="Arial" w:hAnsi="Arial"/>
          <w:sz w:val="18"/>
          <w:szCs w:val="18"/>
          <w:color w:val="auto"/>
        </w:rPr>
        <w:t>. The amendments in this ASU shortens the amortization period for the premium on certain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to the earliest call date. The new guidance does not change the accounting for purchased callable debt securities held at a discount. This update is effective for annual periods beginning after December 15, 2018, including interim periods within those fiscal years. Early adoption of this ASU is permitted, including in interim periods. We early adopted the standard as of January 1, 2017. The adoption of this standard did not have a material impact on our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Note B.</w:t>
            </w:r>
          </w:p>
        </w:tc>
        <w:tc>
          <w:tcPr>
            <w:tcW w:w="6960" w:type="dxa"/>
            <w:vAlign w:val="bottom"/>
          </w:tcPr>
          <w:p>
            <w:pPr>
              <w:ind w:left="60"/>
              <w:spacing w:after="0"/>
              <w:rPr>
                <w:sz w:val="20"/>
                <w:szCs w:val="20"/>
                <w:color w:val="auto"/>
              </w:rPr>
            </w:pPr>
            <w:r>
              <w:rPr>
                <w:rFonts w:ascii="Arial" w:cs="Arial" w:eastAsia="Arial" w:hAnsi="Arial"/>
                <w:sz w:val="18"/>
                <w:szCs w:val="18"/>
                <w:b w:val="1"/>
                <w:bCs w:val="1"/>
                <w:color w:val="auto"/>
              </w:rPr>
              <w:t>Summary of Reserve for Claim Losses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51"/>
        </w:trPr>
        <w:tc>
          <w:tcPr>
            <w:tcW w:w="8200" w:type="dxa"/>
            <w:vAlign w:val="bottom"/>
            <w:gridSpan w:val="2"/>
          </w:tcPr>
          <w:p>
            <w:pPr>
              <w:ind w:left="380"/>
              <w:spacing w:after="0"/>
              <w:rPr>
                <w:sz w:val="20"/>
                <w:szCs w:val="20"/>
                <w:color w:val="auto"/>
              </w:rPr>
            </w:pPr>
            <w:r>
              <w:rPr>
                <w:rFonts w:ascii="Arial" w:cs="Arial" w:eastAsia="Arial" w:hAnsi="Arial"/>
                <w:sz w:val="18"/>
                <w:szCs w:val="18"/>
                <w:color w:val="auto"/>
              </w:rPr>
              <w:t>A summary of the reserve for claim losses follows: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2"/>
        </w:trPr>
        <w:tc>
          <w:tcPr>
            <w:tcW w:w="12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2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124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2016</w:t>
            </w:r>
          </w:p>
        </w:tc>
      </w:tr>
      <w:tr>
        <w:trPr>
          <w:trHeight w:val="196"/>
        </w:trPr>
        <w:tc>
          <w:tcPr>
            <w:tcW w:w="12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(Dollars in millions)</w:t>
            </w:r>
          </w:p>
        </w:tc>
        <w:tc>
          <w:tcPr>
            <w:tcW w:w="960" w:type="dxa"/>
            <w:vAlign w:val="bottom"/>
          </w:tcPr>
          <w:p>
            <w:pPr>
              <w:spacing w:after="0"/>
              <w:rPr>
                <w:sz w:val="17"/>
                <w:szCs w:val="17"/>
                <w:color w:val="auto"/>
              </w:rPr>
            </w:pPr>
          </w:p>
        </w:tc>
      </w:tr>
      <w:tr>
        <w:trPr>
          <w:trHeight w:val="256"/>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1,583</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Change in reinsurance recoverable</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6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180</w:t>
            </w:r>
          </w:p>
        </w:tc>
      </w:tr>
      <w:tr>
        <w:trPr>
          <w:trHeight w:val="27"/>
        </w:trPr>
        <w:tc>
          <w:tcPr>
            <w:tcW w:w="1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69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237"/>
        </w:trPr>
        <w:tc>
          <w:tcPr>
            <w:tcW w:w="8200" w:type="dxa"/>
            <w:vAlign w:val="bottom"/>
            <w:gridSpan w:val="2"/>
          </w:tcPr>
          <w:p>
            <w:pPr>
              <w:ind w:left="500"/>
              <w:spacing w:after="0"/>
              <w:rPr>
                <w:sz w:val="20"/>
                <w:szCs w:val="20"/>
                <w:color w:val="auto"/>
              </w:rPr>
            </w:pPr>
            <w:r>
              <w:rPr>
                <w:rFonts w:ascii="Arial" w:cs="Arial" w:eastAsia="Arial" w:hAnsi="Arial"/>
                <w:sz w:val="18"/>
                <w:szCs w:val="18"/>
                <w:color w:val="auto"/>
              </w:rPr>
              <w:t>Total title claim loss provision</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190</w:t>
            </w:r>
          </w:p>
        </w:tc>
      </w:tr>
      <w:tr>
        <w:trPr>
          <w:trHeight w:val="27"/>
        </w:trPr>
        <w:tc>
          <w:tcPr>
            <w:tcW w:w="82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6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1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69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r>
      <w:tr>
        <w:trPr>
          <w:trHeight w:val="237"/>
        </w:trPr>
        <w:tc>
          <w:tcPr>
            <w:tcW w:w="8200" w:type="dxa"/>
            <w:vAlign w:val="bottom"/>
            <w:gridSpan w:val="2"/>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r>
      <w:tr>
        <w:trPr>
          <w:trHeight w:val="27"/>
        </w:trPr>
        <w:tc>
          <w:tcPr>
            <w:tcW w:w="820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1,496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1,602</w:t>
            </w:r>
          </w:p>
        </w:tc>
      </w:tr>
      <w:tr>
        <w:trPr>
          <w:trHeight w:val="20"/>
        </w:trPr>
        <w:tc>
          <w:tcPr>
            <w:tcW w:w="820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hierarchy for those assets and liabilities measured at fair value on a recurring basis as of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September 30, 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1,368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457</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2,932</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December 31, 2016</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470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The pricing methodologies used by the relevant third-party pricing services are as follows:</w:t>
      </w:r>
    </w:p>
    <w:p>
      <w:pPr>
        <w:spacing w:after="0" w:line="84"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stocks: These securities are valued by calculating the appropriate spread over a comparable U.S. Treasury security. Inputs include benchmark quotes and other relevant market data.</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2017 and December 31, 2016, we held no material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the fair value of our investment portfolio is included in Note D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September 30, 2017 and December 31, 2016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1,368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457</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2,932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2,932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1,533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438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3,185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September 30, 2017</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unrealized losses on investment securities and the fair value of the related securities, aggregated by investment category and length of time that individual securities have been in a continuous unrealized loss position at September 30, 2017 and December 31, 2016, were as follows (in millions):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327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political subdivisions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657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recorded no impairment charges relating to investments during the three-month period ended September 30, 2017. We recorded $1 million in impairment charges relating to investments during the nine-month period ended September 30, 2017 relating to a fixed maturity security of an investee entering Chapter 11 bankruptcy which has exhibited a decreasing fair market value and from which we are uncertain of our ability to recover our initial investment. We recorded $2 million in impairment charges relating to investments during the three-month period ended September 30, 2016 related to a fixed maturity security in which we determined the ability to recover our investment was unlikely. We recorded $5 million in impairment charges related to investments during the nine-month period ended September 30, 2016 related to a fixed maturity security and an investment in an unconsolidated affiliate in which we determined the ability to recover our investment was unlikely.</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2017, we held $1 million in available for sale securities for which an other-than-temporary impairment had been previously recognized. As of December 31, 2016, we held $7 million in fixed maturity and equity securities for which</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nine-month periods ended September 30, 2017 and 2016, respectively:</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23495</wp:posOffset>
            </wp:positionV>
            <wp:extent cx="2400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1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375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1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(Losses)</w:t>
            </w:r>
          </w:p>
        </w:tc>
        <w:tc>
          <w:tcPr>
            <w:tcW w:w="11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7580" w:space="100"/>
            <w:col w:w="37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w:t>
            </w:r>
          </w:p>
        </w:tc>
        <w:tc>
          <w:tcPr>
            <w:tcW w:w="6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1"/>
              </w:rPr>
              <w:t>(1)</w:t>
            </w:r>
          </w:p>
        </w:tc>
        <w:tc>
          <w:tcPr>
            <w:tcW w:w="64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170</w:t>
            </w:r>
          </w:p>
        </w:tc>
        <w:tc>
          <w:tcPr>
            <w:tcW w:w="64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88"/>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Gain on sale of OneDigital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conversions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81"/>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realized gains and losses, net</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1"/>
              </w:rPr>
              <w:t>(4)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175</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3"/>
          </w:tcPr>
          <w:p>
            <w:pPr>
              <w:jc w:val="right"/>
              <w:ind w:right="374"/>
              <w:spacing w:after="0"/>
              <w:rPr>
                <w:sz w:val="20"/>
                <w:szCs w:val="20"/>
                <w:color w:val="auto"/>
              </w:rPr>
            </w:pPr>
            <w:r>
              <w:rPr>
                <w:rFonts w:ascii="Arial" w:cs="Arial" w:eastAsia="Arial" w:hAnsi="Arial"/>
                <w:sz w:val="14"/>
                <w:szCs w:val="14"/>
                <w:b w:val="1"/>
                <w:bCs w:val="1"/>
                <w:color w:val="auto"/>
              </w:rPr>
              <w:t>Three months ended September 30, 2016</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Nine months ended September 30, 2016</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Realized</w:t>
            </w: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Realized</w:t>
            </w:r>
          </w:p>
        </w:tc>
        <w:tc>
          <w:tcPr>
            <w:tcW w:w="3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2"/>
                <w:szCs w:val="12"/>
                <w:color w:val="auto"/>
              </w:rPr>
            </w:pPr>
          </w:p>
        </w:tc>
        <w:tc>
          <w:tcPr>
            <w:tcW w:w="740" w:type="dxa"/>
            <w:vAlign w:val="bottom"/>
          </w:tcPr>
          <w:p>
            <w:pPr>
              <w:jc w:val="right"/>
              <w:ind w:right="271"/>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8"/>
              </w:rPr>
              <w:t>Sale/Maturity</w:t>
            </w:r>
          </w:p>
        </w:tc>
        <w:tc>
          <w:tcPr>
            <w:tcW w:w="100" w:type="dxa"/>
            <w:vAlign w:val="bottom"/>
          </w:tcPr>
          <w:p>
            <w:pPr>
              <w:spacing w:after="0"/>
              <w:rPr>
                <w:sz w:val="16"/>
                <w:szCs w:val="16"/>
                <w:color w:val="auto"/>
              </w:rPr>
            </w:pPr>
          </w:p>
        </w:tc>
        <w:tc>
          <w:tcPr>
            <w:tcW w:w="54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September 30, 2017 and December 31, 2016,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187</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addition to our equity investment in Ceridian, we own certain of their outstanding bonds. Our investment in Ceridian bonds is included in Fixed maturity securities available for sale on the Condensed Consolidated Balance Sheets and had a fair value of $31 million and $30 million as of September 30, 2017 and December 31, 2016, respectively. We did not purchase or dispose of any Ceridian bonds in the nine-month period ended September 30,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three-month periods ended September 30, 2017 and 2016, we recorded $6 million and $10 million in equity in losses of Ceridian, respectively, and $3 million in equity in earnings of other unconsolidated affiliates. During the nine-month periods ended September 30, 2017 and 2016, we recorded $15 million in equity in losses of Ceridian, and $8 million and $9 million in equity in earnings of other unconsolidated affiliates, respectively.</w:t>
      </w:r>
    </w:p>
    <w:p>
      <w:pPr>
        <w:spacing w:after="0" w:line="5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Summarized, unaudited financial information for Ceridian for the relevant dates and time periods included in Investments in unconsolidated affiliates and Equity in losses of unconsolidated affiliates in our Condensed Consolidated Balance Sheets and Condensed Consolidated Statements of Earnings, respectively,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196"/>
        </w:trPr>
        <w:tc>
          <w:tcPr>
            <w:tcW w:w="8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3,703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6,427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1,140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5,334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6,427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119"/>
              <w:spacing w:after="0"/>
              <w:rPr>
                <w:sz w:val="20"/>
                <w:szCs w:val="20"/>
                <w:color w:val="auto"/>
              </w:rPr>
            </w:pPr>
            <w:r>
              <w:rPr>
                <w:rFonts w:ascii="Arial" w:cs="Arial" w:eastAsia="Arial" w:hAnsi="Arial"/>
                <w:sz w:val="14"/>
                <w:szCs w:val="14"/>
                <w:b w:val="1"/>
                <w:bCs w:val="1"/>
                <w:color w:val="auto"/>
                <w:w w:val="94"/>
              </w:rPr>
              <w:t>Three months ended</w:t>
            </w:r>
          </w:p>
        </w:tc>
        <w:tc>
          <w:tcPr>
            <w:tcW w:w="32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40" w:type="dxa"/>
            <w:vAlign w:val="bottom"/>
          </w:tcPr>
          <w:p>
            <w:pPr>
              <w:jc w:val="right"/>
              <w:ind w:right="279"/>
              <w:spacing w:after="0"/>
              <w:rPr>
                <w:sz w:val="20"/>
                <w:szCs w:val="20"/>
                <w:color w:val="auto"/>
              </w:rPr>
            </w:pPr>
            <w:r>
              <w:rPr>
                <w:rFonts w:ascii="Arial" w:cs="Arial" w:eastAsia="Arial" w:hAnsi="Arial"/>
                <w:sz w:val="14"/>
                <w:szCs w:val="14"/>
                <w:b w:val="1"/>
                <w:bCs w:val="1"/>
                <w:color w:val="auto"/>
                <w:w w:val="96"/>
              </w:rPr>
              <w:t>Nine months ended</w:t>
            </w:r>
          </w:p>
        </w:tc>
        <w:tc>
          <w:tcPr>
            <w:tcW w:w="300" w:type="dxa"/>
            <w:vAlign w:val="bottom"/>
          </w:tcPr>
          <w:p>
            <w:pPr>
              <w:spacing w:after="0"/>
              <w:rPr>
                <w:sz w:val="14"/>
                <w:szCs w:val="14"/>
                <w:color w:val="auto"/>
              </w:rPr>
            </w:pPr>
          </w:p>
        </w:tc>
        <w:tc>
          <w:tcPr>
            <w:tcW w:w="1700" w:type="dxa"/>
            <w:vAlign w:val="bottom"/>
          </w:tcPr>
          <w:p>
            <w:pPr>
              <w:jc w:val="right"/>
              <w:ind w:right="297"/>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7"/>
              </w:rPr>
              <w:t>September 30, 2017</w:t>
            </w: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7"/>
              </w:rPr>
              <w:t>September 30, 2017</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September 30, 2016</w:t>
            </w:r>
          </w:p>
        </w:tc>
      </w:tr>
      <w:tr>
        <w:trPr>
          <w:trHeight w:val="250"/>
        </w:trPr>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80" w:type="dxa"/>
            <w:vAlign w:val="bottom"/>
            <w:gridSpan w:val="4"/>
          </w:tcPr>
          <w:p>
            <w:pPr>
              <w:ind w:left="12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3640" w:type="dxa"/>
            <w:vAlign w:val="bottom"/>
            <w:gridSpan w:val="3"/>
          </w:tcPr>
          <w:p>
            <w:pPr>
              <w:jc w:val="right"/>
              <w:ind w:right="145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548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675"/>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16</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Note E —Notes Payable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Revolving Credit Facility, unsecured, unused portion of $500, due April 2022 with interest payable monthly at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+ 1.40% (2.66% at September 30, 2017)</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w w:val="93"/>
              </w:rPr>
              <w:t>ABRH Term Loan, interest payable monthly at LIBOR + 3.0% (4.24% at September 30, 2017), due August 2019</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OneDigital Revolving Credit Facility, due March 2022 with interest payable monthly at LIBOR + 2.50% - 3.50%</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9"/>
              </w:rPr>
              <w:t>ABRH Revolving Credit Facility, unused portion of $14, due August 2019 with interest payable monthly or</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quarterly at various rates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83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1,220</w:t>
            </w:r>
          </w:p>
        </w:tc>
      </w:tr>
      <w:tr>
        <w:trPr>
          <w:trHeight w:val="27"/>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September 30, 2017, the estimated fair value of our long-term debt was approximately $1,056 million, which was $155 million higher than its carrying value, excluding $11 million of net unamortized debt issuance costs and premium/discount. The carrying values of our ABRH term loan and ABRH revolving credit facility approximate the fair values at September 30, 2017 as they are variable rate instruments with short reset periods which reflect current market rates. The fair value of our unsecured notes payable was $624 million as of September 30, 2017. The fair values of our unsecured notes payable are based on established market prices for the securities on September 30, 2017 and are considered Level 2 financial liabilities. The revolving credit facilities are considered Level 2 financial liabilities.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was amended on February 24, 2017. The material terms of the ABRH Credit Facility are set forth in our Annual Report on Form 10-K for the year ended December 31, 2016, including the material terms of the amendment on February 24, 2017, and have not been amended since the filing of such Annual Report. As of September 30, 2017, ABRH had $86 million outstanding for the ABRH Term Loan, had $30 million outstanding under the ABRH Revolver, had $16 million of outstanding letters of credit and had $14 million of remaining borrowing capacity under the ABRH Credit Facility. As of September 30, 2017, $19 million of borrowings under the ABRH Revolver incurred interest monthly at 4.24% and $11 million of borrowings incurred interest quarterly at 6.25%.</w:t>
      </w:r>
    </w:p>
    <w:p>
      <w:pPr>
        <w:spacing w:after="0" w:line="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Revolving Credit Facility was amended (the "Restated Credit Agreement") to extend the term for 5 years, from a maturity date of July 15, 2018 to April 27, 2022 and to update the interest rate. Revolving loans under the Restated Credit Agreement generally bear interest at a variable rate based on either (i) the base rate (which is the highest of (a) one-half of one percent in excess of the federal funds rate, (b) the Administrative Agent’s “prime rate”, or (c) the sum of one percent plus one-month LIBOR) plus a margin of between 10.0 and 60.0 basis points depending on the senior unsecured long-term debt ratings of the Company or (ii) LIBOR plus a margin of between 110.0 and 160.0 basis points depending on the senior unsecured long-term debt ratings of the Company. At the current Standard &amp; Poor’s and Moody’s senior unsecured long-term debt ratings of BBB/Baa3, respectively, the applicable margin for revolving loans subject to LIBOR is 140 basis points. In addition, the Company will pay a commitment fee of between 15.0 and 40.0 basis points on the entire facility, also depending on the Company’s senior unsecured long-term debt ratings. All other material terms of the Revolving Credit Facility are the same as those set forth in our Annual Report for the year ended December 31, 2016. As of September 30, 2017, there was $295 million outstanding, net of $5 million of unamortized debt issuance costs, and $500 million of remaining borrowing capacity under the Revolving Credit Facility.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2016.</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2, 2011, FNF completed an offering of $300 million in aggregate principal amount of 4.25% convertible senior notes due August 2018 (the "Notes") in an offering conducted in accordance with Rule 144A under the Securities Act of 1933, as amended. The material terms of the Notes are set forth in our Annual Report for the year ended December 31, 2016, except to clarify that it is now our intent to settle conversions through cash settlement. Beginning October 1, 2013, these notes are convertible under the 130% Sale Price Condition described in our Annual Report. During the nine months ended September 30, 2017, we repurchased Notes with aggregate principal of $229 million for $548 million.</w:t>
      </w:r>
    </w:p>
    <w:p>
      <w:pPr>
        <w:spacing w:after="0" w:line="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May 5, 2010, FNF completed an offering of $300 million in aggregate principal amount of our 6.60% notes due May 2017 (the "6.60% Notes"), pursuant to an effective registration statement previously filed with the SEC. The material terms of the 6.60% Notes are set forth in our Annual Report for the year ended December 31, 2016. In May 2017, we paid off the 6.60% Notes in full using proceeds from borrowings under the Revolving Credit Facility.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September 30, 2017 are as follows (in millions):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Pr>
          <w:p>
            <w:pPr>
              <w:ind w:left="20"/>
              <w:spacing w:after="0"/>
              <w:rPr>
                <w:sz w:val="20"/>
                <w:szCs w:val="20"/>
                <w:color w:val="auto"/>
              </w:rPr>
            </w:pPr>
            <w:r>
              <w:rPr>
                <w:rFonts w:ascii="Arial" w:cs="Arial" w:eastAsia="Arial" w:hAnsi="Arial"/>
                <w:sz w:val="18"/>
                <w:szCs w:val="18"/>
                <w:color w:val="auto"/>
              </w:rPr>
              <w:t>2017 (remaining)</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0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10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10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F — Commitments and Contingencies</w:t>
            </w: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4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$2 million as of September 30, 2017 and $69 million as of December 31, 2016. During the quarter ended March 31, 2017, ServiceLink paid $65 million to settle all remaining obligations to complete the document execution review under the 2011 LPS consent order with certain banking agencies. Details of the consent order and the terms of the settlement are set forth in Note M to the Consolidated Financial Statements in our Annual Report for the year ended December 31, 2016.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10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20"/>
        </w:trPr>
        <w:tc>
          <w:tcPr>
            <w:tcW w:w="10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25, 2017, our Board of Directors declared cash dividends of $0.27 per share, payable on December 29, 2017, to FNF Group common shareholders of record as of December 15,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September 29, 2017, we completed the BK Distribution. As a result, Black Knight is no longer a reportable segment and the historical results of Black Knight are presented as discontinued operations for all periods presented and are excluded in the following tables. Refer to Note K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further discussion of the results of Black Knight.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FNF Group</w:t>
            </w:r>
          </w:p>
        </w:tc>
        <w:tc>
          <w:tcPr>
            <w:tcW w:w="120" w:type="dxa"/>
            <w:vAlign w:val="bottom"/>
          </w:tcPr>
          <w:p>
            <w:pPr>
              <w:spacing w:after="0"/>
              <w:rPr>
                <w:sz w:val="13"/>
                <w:szCs w:val="13"/>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FNF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w w:val="88"/>
              </w:rPr>
              <w:t>FNFV</w:t>
            </w:r>
          </w:p>
        </w:tc>
        <w:tc>
          <w:tcPr>
            <w:tcW w:w="120" w:type="dxa"/>
            <w:vAlign w:val="bottom"/>
          </w:tcPr>
          <w:p>
            <w:pPr>
              <w:spacing w:after="0"/>
              <w:rPr>
                <w:sz w:val="13"/>
                <w:szCs w:val="13"/>
                <w:color w:val="auto"/>
              </w:rPr>
            </w:pPr>
          </w:p>
        </w:tc>
        <w:tc>
          <w:tcPr>
            <w:tcW w:w="6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tcPr>
          <w:p>
            <w:pPr>
              <w:jc w:val="right"/>
              <w:ind w:right="180"/>
              <w:spacing w:after="0" w:line="131" w:lineRule="exact"/>
              <w:rPr>
                <w:sz w:val="20"/>
                <w:szCs w:val="20"/>
                <w:color w:val="auto"/>
              </w:rPr>
            </w:pPr>
            <w:r>
              <w:rPr>
                <w:rFonts w:ascii="Arial" w:cs="Arial" w:eastAsia="Arial" w:hAnsi="Arial"/>
                <w:sz w:val="13"/>
                <w:szCs w:val="13"/>
                <w:color w:val="auto"/>
                <w:w w:val="88"/>
              </w:rPr>
              <w:t>Corporate and</w:t>
            </w: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280"/>
              <w:spacing w:after="0" w:line="131" w:lineRule="exact"/>
              <w:rPr>
                <w:sz w:val="20"/>
                <w:szCs w:val="20"/>
                <w:color w:val="auto"/>
              </w:rPr>
            </w:pPr>
            <w:r>
              <w:rPr>
                <w:rFonts w:ascii="Arial" w:cs="Arial" w:eastAsia="Arial" w:hAnsi="Arial"/>
                <w:sz w:val="13"/>
                <w:szCs w:val="13"/>
                <w:color w:val="auto"/>
                <w:w w:val="94"/>
              </w:rPr>
              <w:t>Restaurant</w:t>
            </w:r>
          </w:p>
        </w:tc>
        <w:tc>
          <w:tcPr>
            <w:tcW w:w="100" w:type="dxa"/>
            <w:vAlign w:val="bottom"/>
          </w:tcPr>
          <w:p>
            <w:pPr>
              <w:spacing w:after="0"/>
              <w:rPr>
                <w:sz w:val="11"/>
                <w:szCs w:val="11"/>
                <w:color w:val="auto"/>
              </w:rPr>
            </w:pPr>
          </w:p>
        </w:tc>
        <w:tc>
          <w:tcPr>
            <w:tcW w:w="78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Title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color w:val="auto"/>
                <w:w w:val="98"/>
              </w:rPr>
              <w:t>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2"/>
              </w:rPr>
              <w:t>Group</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Group</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1,277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678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689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1,955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280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2,235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1,872</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1,986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279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2,265</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Earnings (loss) from continuing operations, before income taxes and equity in earnings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221</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43"/>
        </w:trPr>
        <w:tc>
          <w:tcPr>
            <w:tcW w:w="5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from continuing operations, before equity in earnings (loss) of</w:t>
            </w: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8,510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680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9,190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1,311</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10,501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2,683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2,784</w:t>
            </w: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rPr>
              <w:t>As of and for the three months ended September 30, 2016: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FNF Group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Total FNF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FNFV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line="131" w:lineRule="exact"/>
              <w:rPr>
                <w:sz w:val="20"/>
                <w:szCs w:val="20"/>
                <w:color w:val="auto"/>
              </w:rPr>
            </w:pPr>
            <w:r>
              <w:rPr>
                <w:rFonts w:ascii="Arial" w:cs="Arial" w:eastAsia="Arial" w:hAnsi="Arial"/>
                <w:sz w:val="13"/>
                <w:szCs w:val="13"/>
                <w:color w:val="auto"/>
              </w:rPr>
              <w:t>Restaurant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86"/>
              </w:rPr>
              <w:t>Corporate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color w:val="auto"/>
              </w:rPr>
              <w:t>Title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5"/>
              </w:rPr>
              <w:t>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Group</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Group</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86"/>
              </w:rPr>
              <w:t>and 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1,269</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1,269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700</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273</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1,923</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319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2,242</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1,948</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319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2,267</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Earnings (loss) from continuing operations, before income taxes and equity in earnings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247</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4"/>
              </w:rPr>
              <w:t>Earnings (loss) from continuing operations, before equity in earnings of unconsolidated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affiliates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8,812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4,189</w:t>
            </w:r>
          </w:p>
        </w:tc>
        <w:tc>
          <w:tcPr>
            <w:tcW w:w="12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13,001</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1,385</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14,386</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FNF Group</w:t>
            </w:r>
          </w:p>
        </w:tc>
        <w:tc>
          <w:tcPr>
            <w:tcW w:w="120" w:type="dxa"/>
            <w:vAlign w:val="bottom"/>
          </w:tcPr>
          <w:p>
            <w:pPr>
              <w:spacing w:after="0"/>
              <w:rPr>
                <w:sz w:val="13"/>
                <w:szCs w:val="13"/>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FNF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w w:val="88"/>
              </w:rPr>
              <w:t>FNFV</w:t>
            </w:r>
          </w:p>
        </w:tc>
        <w:tc>
          <w:tcPr>
            <w:tcW w:w="120" w:type="dxa"/>
            <w:vAlign w:val="bottom"/>
          </w:tcPr>
          <w:p>
            <w:pPr>
              <w:spacing w:after="0"/>
              <w:rPr>
                <w:sz w:val="13"/>
                <w:szCs w:val="13"/>
                <w:color w:val="auto"/>
              </w:rPr>
            </w:pPr>
          </w:p>
        </w:tc>
        <w:tc>
          <w:tcPr>
            <w:tcW w:w="6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tcPr>
          <w:p>
            <w:pPr>
              <w:jc w:val="right"/>
              <w:ind w:right="180"/>
              <w:spacing w:after="0" w:line="131" w:lineRule="exact"/>
              <w:rPr>
                <w:sz w:val="20"/>
                <w:szCs w:val="20"/>
                <w:color w:val="auto"/>
              </w:rPr>
            </w:pPr>
            <w:r>
              <w:rPr>
                <w:rFonts w:ascii="Arial" w:cs="Arial" w:eastAsia="Arial" w:hAnsi="Arial"/>
                <w:sz w:val="13"/>
                <w:szCs w:val="13"/>
                <w:color w:val="auto"/>
                <w:w w:val="88"/>
              </w:rPr>
              <w:t>Corporate and</w:t>
            </w: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280"/>
              <w:spacing w:after="0" w:line="131" w:lineRule="exact"/>
              <w:rPr>
                <w:sz w:val="20"/>
                <w:szCs w:val="20"/>
                <w:color w:val="auto"/>
              </w:rPr>
            </w:pPr>
            <w:r>
              <w:rPr>
                <w:rFonts w:ascii="Arial" w:cs="Arial" w:eastAsia="Arial" w:hAnsi="Arial"/>
                <w:sz w:val="13"/>
                <w:szCs w:val="13"/>
                <w:color w:val="auto"/>
                <w:w w:val="94"/>
              </w:rPr>
              <w:t>Restaurant</w:t>
            </w:r>
          </w:p>
        </w:tc>
        <w:tc>
          <w:tcPr>
            <w:tcW w:w="100" w:type="dxa"/>
            <w:vAlign w:val="bottom"/>
          </w:tcPr>
          <w:p>
            <w:pPr>
              <w:spacing w:after="0"/>
              <w:rPr>
                <w:sz w:val="11"/>
                <w:szCs w:val="11"/>
                <w:color w:val="auto"/>
              </w:rPr>
            </w:pPr>
          </w:p>
        </w:tc>
        <w:tc>
          <w:tcPr>
            <w:tcW w:w="78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Title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color w:val="auto"/>
                <w:w w:val="98"/>
              </w:rPr>
              <w:t>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2"/>
              </w:rPr>
              <w:t>Group</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Group</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3,626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3,626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3,626</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1,969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2,071</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830</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5,260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5,595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932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6,527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5,359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5,688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826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1"/>
              </w:rPr>
              <w:t>1,213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6,901</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Earnings (loss) from continuing operations, before income taxes and equity in earnings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861</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258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355</w:t>
            </w:r>
          </w:p>
        </w:tc>
        <w:tc>
          <w:tcPr>
            <w:tcW w:w="0" w:type="dxa"/>
            <w:vAlign w:val="bottom"/>
          </w:tcPr>
          <w:p>
            <w:pPr>
              <w:spacing w:after="0"/>
              <w:rPr>
                <w:sz w:val="1"/>
                <w:szCs w:val="1"/>
                <w:color w:val="auto"/>
              </w:rPr>
            </w:pPr>
          </w:p>
        </w:tc>
      </w:tr>
      <w:tr>
        <w:trPr>
          <w:trHeight w:val="143"/>
        </w:trPr>
        <w:tc>
          <w:tcPr>
            <w:tcW w:w="5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from continuing operations, before equity in earnings (loss) of</w:t>
            </w: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386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506</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8,510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680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9,190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1,311</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10,501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2,683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2,784</w:t>
            </w: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rPr>
              <w:t>As of and for the nine months ended September 30, 2016: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FNF Group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Total FNF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FNFV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line="131" w:lineRule="exact"/>
              <w:rPr>
                <w:sz w:val="20"/>
                <w:szCs w:val="20"/>
                <w:color w:val="auto"/>
              </w:rPr>
            </w:pPr>
            <w:r>
              <w:rPr>
                <w:rFonts w:ascii="Arial" w:cs="Arial" w:eastAsia="Arial" w:hAnsi="Arial"/>
                <w:sz w:val="13"/>
                <w:szCs w:val="13"/>
                <w:color w:val="auto"/>
              </w:rPr>
              <w:t>Restaurant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86"/>
              </w:rPr>
              <w:t>Corporate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color w:val="auto"/>
              </w:rPr>
              <w:t>Title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5"/>
              </w:rPr>
              <w:t>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Group</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Group</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86"/>
              </w:rPr>
              <w:t>and 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3,452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3,452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1,920</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858</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5,039</w:t>
            </w: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5,248</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858</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982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6,230</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5,134</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5,335</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996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6,331</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Earnings (loss) from continuing operations, before income taxes and equity in earnings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629</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218</w:t>
            </w: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from continuing operations, before equity in earnings (loss) of</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411</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8,812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4,189</w:t>
            </w:r>
          </w:p>
        </w:tc>
        <w:tc>
          <w:tcPr>
            <w:tcW w:w="12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13,001</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1,385</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14,386</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2,742</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Group</w:t>
      </w:r>
    </w:p>
    <w:p>
      <w:pPr>
        <w:spacing w:after="0" w:line="94" w:lineRule="exact"/>
        <w:rPr>
          <w:sz w:val="20"/>
          <w:szCs w:val="20"/>
          <w:color w:val="auto"/>
        </w:rPr>
      </w:pPr>
    </w:p>
    <w:p>
      <w:pPr>
        <w:jc w:val="both"/>
        <w:ind w:left="660" w:hanging="40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w:t>
      </w:r>
    </w:p>
    <w:p>
      <w:pPr>
        <w:sectPr>
          <w:pgSz w:w="11900" w:h="16838" w:orient="portrait"/>
          <w:cols w:equalWidth="0" w:num="1">
            <w:col w:w="11420"/>
          </w:cols>
          <w:pgMar w:left="240" w:top="121"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6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which includes other title-related services used in the production and management of mortgage loans, including mortgage loans that experience default.</w:t>
      </w:r>
    </w:p>
    <w:p>
      <w:pPr>
        <w:spacing w:after="0" w:line="89" w:lineRule="exact"/>
        <w:rPr>
          <w:sz w:val="20"/>
          <w:szCs w:val="20"/>
          <w:color w:val="auto"/>
        </w:rPr>
      </w:pPr>
    </w:p>
    <w:p>
      <w:pPr>
        <w:jc w:val="both"/>
        <w:ind w:left="660" w:hanging="40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overhead expenses, and other real estate operations. Total assets for this segment as of September 30, 2016 also include the assets of Black Knight. See Note K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details.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jc w:val="both"/>
        <w:ind w:left="660" w:hanging="409"/>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w:t>
      </w:r>
    </w:p>
    <w:p>
      <w:pPr>
        <w:spacing w:after="0" w:line="127" w:lineRule="exact"/>
        <w:rPr>
          <w:rFonts w:ascii="Arial" w:cs="Arial" w:eastAsia="Arial" w:hAnsi="Arial"/>
          <w:sz w:val="18"/>
          <w:szCs w:val="18"/>
          <w:i w:val="1"/>
          <w:iCs w:val="1"/>
          <w:color w:val="auto"/>
        </w:rPr>
      </w:pPr>
    </w:p>
    <w:p>
      <w:pPr>
        <w:jc w:val="both"/>
        <w:ind w:left="660" w:hanging="409"/>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FNFV Corporate and Other. </w:t>
      </w:r>
      <w:r>
        <w:rPr>
          <w:rFonts w:ascii="Arial" w:cs="Arial" w:eastAsia="Arial" w:hAnsi="Arial"/>
          <w:sz w:val="18"/>
          <w:szCs w:val="18"/>
          <w:color w:val="auto"/>
        </w:rPr>
        <w:t>This segment primarily consists of our share in the operations of certain equity investments, including Ceridian,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 smaller investments which are not title-related. This segment also includes the results of operations of Digital Insurance, Inc. ("OneDigital"), in which we held 96% ownership, through the date it was sold, June 6, 2017.</w:t>
      </w:r>
    </w:p>
    <w:p>
      <w:pPr>
        <w:spacing w:after="0" w:line="12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Our operations under our FNFV segment are subject to the anticipated Spilt-Off, as described under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in Note A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6"/>
          <w:szCs w:val="16"/>
          <w:b w:val="1"/>
          <w:bCs w:val="1"/>
          <w:color w:val="auto"/>
        </w:rPr>
        <w:t>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supplemental cash flow information is provided with respect to certain non-cash investing and financing activities.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38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76"/>
        </w:trPr>
        <w:tc>
          <w:tcPr>
            <w:tcW w:w="900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IT hardware financed through a lease</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89"/>
        </w:trPr>
        <w:tc>
          <w:tcPr>
            <w:tcW w:w="9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treasury stock purchases payable in period</w:t>
            </w:r>
          </w:p>
        </w:tc>
        <w:tc>
          <w:tcPr>
            <w:tcW w:w="740" w:type="dxa"/>
            <w:vAlign w:val="bottom"/>
          </w:tcPr>
          <w:p>
            <w:pPr>
              <w:jc w:val="right"/>
              <w:ind w:right="537"/>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to finance IT hardware additions</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Debt extinguished through the sale of OneDigital</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Acquisitions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 Guaranty of Hawaii</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31, 2017, FNF Group completed its acquisition of 90% of the membership interest of Title Guaranty of Hawaii ("Title Guaranty") for $98 million. Title Guaranty was previously an unaffiliated agent and will continue to be closely aligned with Chicago Title as it formally becomes part of the FNF title company family. Founded in 1896, Title Guaranty is the oldest title company in the State of Hawaii and is a leading provider of title and escrow services, with more than 300 employees in branches across the State of Hawaii providing title insurance and real estate closing services.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FNF Group paid total consideration, net of cash received, of $93 million in exchange for 90% of the equity interests of Title Guaranty. The total cash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0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10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price has been initially allocated to Title Guaranty's assets acquired and liabilities assumed based on our best estimates of their fair values as of the acquisition date. Goodwill has been recorded based on the amount that the purchase price exceeds the fair value of the net assets acquired. The goodwill recorded is expected to be deductible for tax purposes. These estimates are preliminary and subject to adjustments as we complete our valuation process with respect to all acquired assets and assumed liabilities and noncontrolling interests.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9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98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Title plant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988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9880" w:type="dxa"/>
            <w:vAlign w:val="bottom"/>
          </w:tcPr>
          <w:p>
            <w:pPr>
              <w:ind w:left="260"/>
              <w:spacing w:after="0"/>
              <w:rPr>
                <w:sz w:val="20"/>
                <w:szCs w:val="20"/>
                <w:color w:val="auto"/>
              </w:rPr>
            </w:pPr>
            <w:r>
              <w:rPr>
                <w:rFonts w:ascii="Arial" w:cs="Arial" w:eastAsia="Arial" w:hAnsi="Arial"/>
                <w:sz w:val="18"/>
                <w:szCs w:val="18"/>
                <w:color w:val="auto"/>
              </w:rPr>
              <w:t>Non-controlling interests assumed</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equity assumed</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64"/>
        </w:trPr>
        <w:tc>
          <w:tcPr>
            <w:tcW w:w="98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r>
      <w:tr>
        <w:trPr>
          <w:trHeight w:val="257"/>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Property and equipment and Other intangible assets acquired in the Title Guaranty acquisition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700" w:type="dxa"/>
            <w:vAlign w:val="bottom"/>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52</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64</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FNF Group Corporate and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Commissions, Inc.</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23, 2016, FNF Group completed its acquisition of Commissions, Inc.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results of elite Realtors® and agent teams through lead generation and proactive lead management. CINC's financial position and results of operations from the acquisition date are included in our Core Corporate and Other segment.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FNF Group paid total consideration, net of cash received, of $229 million in exchange for 95% of the equity interests of CINC. The total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purchase price has been allocated to CINC's assets acquired and liabilities assumed based on our best estimates of their fair values as of the acquisition date. Goodwill has been recorded based on the amount that the purchase price exceeds the fair value of the net assets acquired.</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fair value amounts recognized for the assets acquired and liabilities assumed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r>
      <w:tr>
        <w:trPr>
          <w:trHeight w:val="237"/>
        </w:trPr>
        <w:tc>
          <w:tcPr>
            <w:tcW w:w="988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37"/>
        </w:trPr>
        <w:tc>
          <w:tcPr>
            <w:tcW w:w="988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15"/>
        </w:trPr>
        <w:tc>
          <w:tcPr>
            <w:tcW w:w="98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r>
      <w:tr>
        <w:trPr>
          <w:trHeight w:val="237"/>
        </w:trPr>
        <w:tc>
          <w:tcPr>
            <w:tcW w:w="98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equity assumed</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64"/>
        </w:trPr>
        <w:tc>
          <w:tcPr>
            <w:tcW w:w="98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r>
      <w:tr>
        <w:trPr>
          <w:trHeight w:val="257"/>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Computer software and Other intangible assets acquired in the CINC acquisition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25</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35</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Trade name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1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7"/>
        </w:trPr>
        <w:tc>
          <w:tcPr>
            <w:tcW w:w="6940" w:type="dxa"/>
            <w:vAlign w:val="bottom"/>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45</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comparative purposes, selected unaudited pro-forma consolidated results of operations of FNF for the three and nine months ended September 30, 2016 are presented below. Pro-forma results presented assume the consolidation of CINC occurred as of the beginning of the 2016 period. Amounts reflect our 95% ownership interest in CINC and are adjusted to exclude costs directly attributable to the acquisition of CINC, including transaction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4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Nine months ended</w:t>
            </w:r>
          </w:p>
        </w:tc>
      </w:t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7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6,359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200" w:type="dxa"/>
            <w:vAlign w:val="bottom"/>
          </w:tcPr>
          <w:p>
            <w:pPr>
              <w:spacing w:after="0"/>
              <w:rPr>
                <w:sz w:val="21"/>
                <w:szCs w:val="21"/>
                <w:color w:val="auto"/>
              </w:rPr>
            </w:pPr>
          </w:p>
        </w:tc>
        <w:tc>
          <w:tcPr>
            <w:tcW w:w="1620" w:type="dxa"/>
            <w:vAlign w:val="bottom"/>
          </w:tcPr>
          <w:p>
            <w:pPr>
              <w:jc w:val="right"/>
              <w:ind w:right="2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21"/>
              <w:spacing w:after="0"/>
              <w:rPr>
                <w:sz w:val="20"/>
                <w:szCs w:val="20"/>
                <w:color w:val="auto"/>
              </w:rPr>
            </w:pPr>
            <w:r>
              <w:rPr>
                <w:rFonts w:ascii="Arial" w:cs="Arial" w:eastAsia="Arial" w:hAnsi="Arial"/>
                <w:sz w:val="18"/>
                <w:szCs w:val="18"/>
                <w:color w:val="auto"/>
              </w:rPr>
              <w:t>432</w:t>
            </w:r>
          </w:p>
        </w:tc>
      </w:tr>
    </w:tbl>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K.</w:t>
      </w:r>
      <w:r>
        <w:rPr>
          <w:sz w:val="20"/>
          <w:szCs w:val="20"/>
          <w:color w:val="auto"/>
        </w:rPr>
        <w:tab/>
      </w:r>
      <w:r>
        <w:rPr>
          <w:rFonts w:ascii="Arial" w:cs="Arial" w:eastAsia="Arial" w:hAnsi="Arial"/>
          <w:sz w:val="16"/>
          <w:szCs w:val="16"/>
          <w:b w:val="1"/>
          <w:bCs w:val="1"/>
          <w:color w:val="auto"/>
        </w:rPr>
        <w:t>Discontinued Operations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As a result of the BK Distribution we have reclassified the assets and liabilities divested as assets and liabilities of discontinued operations in our Condensed Consolidated Balance Sheet as of December 31, 2016. Further, the financial results of Black Knight have been reclassified to discontinued operations for all periods presented in our Condensed Consolidated Statements of Operations. We retained no ownership in Black Knight.</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various agreements with Black Knight to provide technology, data and analytics services, as well as corporate shared services and information technology. We are also a party to certain other agreements under which we incur other expenses or receive revenues from Black Knight. We expect to continue utilizing Black Knight to provide technology and data and analytics services for the foreseeable future. The cash inflows and outflows from and to Black Knight as well as revenues and expenses included in continuing operations subsequent to September 29, 2017, the date of the BK Distribution, which were previously eliminated in our consolidated financial statements as intra-entity transactions are not material to our results of operations for the three or nine-month periods ended September 30, 2017.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Black Knight to the Statement of Operations is shown below (in millions):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7260"/>
        <w:spacing w:after="0"/>
        <w:rPr>
          <w:sz w:val="20"/>
          <w:szCs w:val="20"/>
          <w:color w:val="auto"/>
        </w:rPr>
      </w:pPr>
      <w:r>
        <w:rPr>
          <w:rFonts w:ascii="Arial" w:cs="Arial" w:eastAsia="Arial" w:hAnsi="Arial"/>
          <w:sz w:val="15"/>
          <w:szCs w:val="15"/>
          <w:b w:val="1"/>
          <w:bCs w:val="1"/>
          <w:color w:val="auto"/>
        </w:rPr>
        <w:t>Three months ended</w:t>
      </w:r>
    </w:p>
    <w:p>
      <w:pPr>
        <w:spacing w:after="0" w:line="38"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33020</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72" w:lineRule="exact"/>
        <w:rPr>
          <w:sz w:val="20"/>
          <w:szCs w:val="20"/>
          <w:color w:val="auto"/>
        </w:rPr>
      </w:pPr>
    </w:p>
    <w:p>
      <w:pPr>
        <w:ind w:left="7340"/>
        <w:spacing w:after="0"/>
        <w:tabs>
          <w:tab w:leader="none" w:pos="84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52070</wp:posOffset>
            </wp:positionV>
            <wp:extent cx="1389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9"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340"/>
        <w:spacing w:after="0"/>
        <w:rPr>
          <w:sz w:val="20"/>
          <w:szCs w:val="20"/>
          <w:color w:val="auto"/>
        </w:rPr>
      </w:pPr>
      <w:r>
        <w:rPr>
          <w:rFonts w:ascii="Arial" w:cs="Arial" w:eastAsia="Arial" w:hAnsi="Arial"/>
          <w:sz w:val="15"/>
          <w:szCs w:val="15"/>
          <w:b w:val="1"/>
          <w:bCs w:val="1"/>
          <w:color w:val="auto"/>
        </w:rPr>
        <w:t>Nine months ended</w:t>
      </w:r>
    </w:p>
    <w:p>
      <w:pPr>
        <w:spacing w:after="0" w:line="3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33020</wp:posOffset>
            </wp:positionV>
            <wp:extent cx="13550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72"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52070</wp:posOffset>
            </wp:positionV>
            <wp:extent cx="13550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(Unaudited)</w:t>
      </w:r>
    </w:p>
    <w:p>
      <w:pPr>
        <w:spacing w:after="0" w:line="90" w:lineRule="exact"/>
        <w:rPr>
          <w:sz w:val="20"/>
          <w:szCs w:val="20"/>
          <w:color w:val="auto"/>
        </w:rPr>
      </w:pPr>
    </w:p>
    <w:p>
      <w:pPr>
        <w:sectPr>
          <w:pgSz w:w="11900" w:h="16838" w:orient="portrait"/>
          <w:cols w:equalWidth="0" w:num="2">
            <w:col w:w="8900" w:space="720"/>
            <w:col w:w="1800"/>
          </w:cols>
          <w:pgMar w:left="240" w:top="121" w:right="239" w:bottom="1440" w:gutter="0" w:footer="0" w:header="0"/>
          <w:type w:val="continuous"/>
        </w:sectPr>
      </w:pPr>
    </w:p>
    <w:tbl>
      <w:tblPr>
        <w:tblLayout w:type="fixed"/>
        <w:tblInd w:w="20" w:type="dxa"/>
        <w:tblCellMar>
          <w:top w:w="0" w:type="dxa"/>
          <w:left w:w="0" w:type="dxa"/>
          <w:bottom w:w="0" w:type="dxa"/>
          <w:right w:w="0" w:type="dxa"/>
        </w:tblCellMar>
      </w:tblPr>
      <w:tr>
        <w:trPr>
          <w:trHeight w:val="206"/>
        </w:trPr>
        <w:tc>
          <w:tcPr>
            <w:tcW w:w="6960" w:type="dxa"/>
            <w:vAlign w:val="bottom"/>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3"/>
        </w:trPr>
        <w:tc>
          <w:tcPr>
            <w:tcW w:w="6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r>
      <w:tr>
        <w:trPr>
          <w:trHeight w:val="237"/>
        </w:trPr>
        <w:tc>
          <w:tcPr>
            <w:tcW w:w="696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4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Expenses:</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37"/>
        </w:trPr>
        <w:tc>
          <w:tcPr>
            <w:tcW w:w="696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4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6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37"/>
        </w:trPr>
        <w:tc>
          <w:tcPr>
            <w:tcW w:w="69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6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r>
      <w:tr>
        <w:trPr>
          <w:trHeight w:val="217"/>
        </w:trPr>
        <w:tc>
          <w:tcPr>
            <w:tcW w:w="6960" w:type="dxa"/>
            <w:vAlign w:val="bottom"/>
          </w:tcPr>
          <w:p>
            <w:pPr>
              <w:ind w:left="20"/>
              <w:spacing w:after="0"/>
              <w:rPr>
                <w:sz w:val="20"/>
                <w:szCs w:val="20"/>
                <w:color w:val="auto"/>
              </w:rPr>
            </w:pPr>
            <w:r>
              <w:rPr>
                <w:rFonts w:ascii="Arial" w:cs="Arial" w:eastAsia="Arial" w:hAnsi="Arial"/>
                <w:sz w:val="16"/>
                <w:szCs w:val="16"/>
                <w:color w:val="auto"/>
              </w:rPr>
              <w:t>Earnings from discontinued operations before income taxes</w:t>
            </w:r>
          </w:p>
        </w:tc>
        <w:tc>
          <w:tcPr>
            <w:tcW w:w="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6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7"/>
        </w:trPr>
        <w:tc>
          <w:tcPr>
            <w:tcW w:w="6960" w:type="dxa"/>
            <w:vAlign w:val="bottom"/>
          </w:tcPr>
          <w:p>
            <w:pPr>
              <w:ind w:left="20"/>
              <w:spacing w:after="0"/>
              <w:rPr>
                <w:sz w:val="20"/>
                <w:szCs w:val="20"/>
                <w:color w:val="auto"/>
              </w:rPr>
            </w:pPr>
            <w:r>
              <w:rPr>
                <w:rFonts w:ascii="Arial" w:cs="Arial" w:eastAsia="Arial" w:hAnsi="Arial"/>
                <w:sz w:val="16"/>
                <w:szCs w:val="16"/>
                <w:color w:val="auto"/>
              </w:rPr>
              <w:t>Net earnings from discontinued operations</w:t>
            </w:r>
          </w:p>
        </w:tc>
        <w:tc>
          <w:tcPr>
            <w:tcW w:w="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6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84"/>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r>
      <w:tr>
        <w:trPr>
          <w:trHeight w:val="257"/>
        </w:trPr>
        <w:tc>
          <w:tcPr>
            <w:tcW w:w="6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Cash flow from discontinued operations data:</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(206)</w:t>
            </w:r>
          </w:p>
        </w:tc>
      </w:tr>
    </w:tbl>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acquisitions/disposals of businesses, net of cash acquired, on the Condensed Consolidated Statements of Cash Flows for the nine months ended September 30, 2016 includes $150 million related to acquisitions made by Black Knight. Borrowings and Debt service payments on the Statements of Cash Flows include $405 million and $65 million, respectively, and $430 million</w:t>
      </w:r>
    </w:p>
    <w:p>
      <w:pPr>
        <w:sectPr>
          <w:pgSz w:w="11900" w:h="16838" w:orient="portrait"/>
          <w:cols w:equalWidth="0" w:num="1">
            <w:col w:w="11420"/>
          </w:cols>
          <w:pgMar w:left="240" w:top="121" w:right="239"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$140 million, respectively, for the nine months ended September 30, 2017 and 2016, respectively, related to borrowings and principal repayments by Black Knight.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financial position of Black Knight to the Balance Sheet is shown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29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2016</w:t>
            </w:r>
          </w:p>
        </w:tc>
      </w:tr>
      <w:tr>
        <w:trPr>
          <w:trHeight w:val="223"/>
        </w:trPr>
        <w:tc>
          <w:tcPr>
            <w:tcW w:w="9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center"/>
              <w:ind w:right="23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Short term investments</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and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2,304</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Capitalized software, net</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450</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173</w:t>
            </w:r>
          </w:p>
        </w:tc>
      </w:tr>
      <w:tr>
        <w:trPr>
          <w:trHeight w:val="27"/>
        </w:trPr>
        <w:tc>
          <w:tcPr>
            <w:tcW w:w="9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of discontinued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3,761</w:t>
            </w:r>
          </w:p>
        </w:tc>
      </w:tr>
      <w:tr>
        <w:trPr>
          <w:trHeight w:val="20"/>
        </w:trPr>
        <w:tc>
          <w:tcPr>
            <w:tcW w:w="9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84"/>
        </w:trPr>
        <w:tc>
          <w:tcPr>
            <w:tcW w:w="9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1,526</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334</w:t>
            </w:r>
          </w:p>
        </w:tc>
      </w:tr>
      <w:tr>
        <w:trPr>
          <w:trHeight w:val="27"/>
        </w:trPr>
        <w:tc>
          <w:tcPr>
            <w:tcW w:w="9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of discontinued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2,173</w:t>
            </w:r>
          </w:p>
        </w:tc>
      </w:tr>
      <w:tr>
        <w:trPr>
          <w:trHeight w:val="20"/>
        </w:trPr>
        <w:tc>
          <w:tcPr>
            <w:tcW w:w="9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our ability to successfully execute the proposed plan to redeem all FNFV tracking stock; and other risks detailed in the “Statement Regarding Forward-Looking Information,” “Risk Factors” and other sections of our Annual Report on Form 10-K (our "Annual Report") for the year ended December 31, 2016 and other filings with the SEC.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September 29, 2017, we completed our previously announced tax-free distribution, to FNF Group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publicly-traded holding company, Black Knight, Inc. ("New Black Knight"). Holders of FNF Group common stock received approximately 0.30663 shares of New Black Knight common stock for every one share of FNF Group common stock held at the close of business on September 20, 2017, the record date for the BK Distribution. New Black Knight's common stock is now listed under the symbol “BKI” on the New York Stock Exchange. The BK Distribution</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is expected to generally be tax-free to FNF Group shareholders for U.S. federal income tax purposes, except to the extent of any cash received in lieu of New Black Knight's fractional shares. As a result of the BK Distribution, we have reclassified the assets and liabilities divested as assets and liabilities of discontinued operations in our Condensed Consolidated Balance Sheet as of December 31, 2016. Further, the financial results of Black Knight have been reclassified to discontinued operations for all periods presented in our Condensed Consolidated Statements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October 24, 2017 the Mortgage Bankers Association ("MBA") estimated the size of the U.S. mortgage originations market as shown in the following table for 2016 - 2019 in its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7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total originations were reflective of a generally improving residential real estate market driven by increasing home prices and historically low mortgage interest rates. Over the same period, existing home sales increased and there was a decline in total housing inventory. In 2017 and beyond, increased mortgage interest rates driven by gradual increases in the target federal funds rate are expected to adversely impact mortgage originations. In a rising interest rate environment, refinance transactions are expected to decline. The MBA predicts overall mortgage originations in 2017 through 2019 will decrease compared to the 2016 period due to a decrease in refinance transactions, offset by a slight increase in purchase transactions. Purchase transactions involve the issuance of both a lender’s policy and an owner’s policy, resulting in higher title premiums, whereas refinance transactions only require a lender’s policy, resulting in lower title premiums.</w:t>
      </w:r>
    </w:p>
    <w:p>
      <w:pPr>
        <w:spacing w:after="0" w:line="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projected increases in mortgage interest rates present a potential headwind for mortgage originations, other economic indicators used to measure the health of the United States economy, including the unemployment rate and consumer confidence, have improved in recent years. According to the United States Department of Labor's Bureau of Labor, the unemployment rate has dropped from 7.4% in 2013 to 4.2% in September 2017. Additionally, the Conference Board's monthly Consumer Confidence Index rose sharply at the end of 2016 and the beginning of 2017 and has remained at historical highs through 2017. We believe that improvements in both of these economic indicators, among other indicators which support a generally improving United States economy, present potential tailwinds for mortgage originations and support recent home price trends.</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how, if at all, the positive effects of a change in mix of purchase to refinance transactions and of a generally improving United States economy and the negative effects of projected decreases in overall originations will impact our future results of operations. We continually monitor origination trends and believe that, based on our ability to produce industry leading operating margins through all economic cycles, we are well positioned to adjust our operations for adverse changes in real estate activity.</w:t>
      </w:r>
    </w:p>
    <w:p>
      <w:pPr>
        <w:spacing w:after="0" w:line="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For several years through 2015, we experienced continual year-over-year increases in the fee per file of commercial transactions. In 2016, we experienced a slight decrease in the volume and fee per file of commercial transactions as compared to 2015, but commercial markets still remained at historically elevated levels. Through 2017, we have continued to see strong demand for commercial transactions and have experienced historically high fees per file.</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Historically, real estate transactions have produced seasonal revenue fluctuations in the real estate industry. The first calendar quarter is typically the weakest quarter in terms of revenue due to the generally low volume of home sales during January and February. The third calendar quarter is typically the strongest quarter in terms of revenue, primarily due to a higher volume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home sales in the summer months. The fourth quarter is typically also strong due to the desire of commercial entities to complete transactions by year-end.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noted short-term fluctuations through recent years in resale and refinance transactions as a result of changes in interest rates.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and family dining segments in which the company operates.</w:t>
      </w:r>
    </w:p>
    <w:p>
      <w:pPr>
        <w:spacing w:after="0" w:line="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revenues in future periods will continue to be subject to these and other factors that are beyond our control and, as a result, are likely to fluctuate. Our revenues in future periods are also subject to an anticipated Split-Off Plan, as described under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in Note A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1,518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1,920</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61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6,331</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1,800</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1,296</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161</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5,702</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5"/>
              </w:rPr>
              <w:t>Earnings from continuing operations before income taxes and equity in losses of</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629</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losses of unconsolidated affiliates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decreased by $2 million in the three months ended September 30, 2017, compared to the corresponding period in 2016. The decrease consisted of a $38 million increase at FNF Group and a $40 million decrease at FNFV. Total revenues increased by $570 million in the nine months ended September 30, 2017, compared to the corresponding period in 2016. The increase consisted of a $353 million increase at FNF Group and a $217 million increase at FNFV.</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earnings from continuing operations decreased by $8 million in the three months ended September 30, 2017, compared to the corresponding period in 2016. The decrease consisted of a $3 million decrease at FNF Group and $5 million decrease at FNFV. Net earnings from continuing operations increased by $94 million in the nine months ended September 30, 2017, compared to the corresponding period in 2016. The increase consisted of a $7 million decrease at FNF Group and $101 million increase at FNFV.</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Group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Agent commissions, which are incurred as title agency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w:t>
      </w:r>
    </w:p>
    <w:p>
      <w:pPr>
        <w:sectPr>
          <w:pgSz w:w="11900" w:h="16838" w:orient="portrait"/>
          <w:cols w:equalWidth="0" w:num="1">
            <w:col w:w="11420"/>
          </w:cols>
          <w:pgMar w:left="240" w:top="121"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streams. However, a short-term lag exists in reducing controllable fixed costs and certain fixed costs are incurred regardless of revenue levels.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Group segments and FNFV segments is discussed in further detail at the segment level below.</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Income tax expense was $74 million and $88 million in the three-month periods ended September 30, 2017 and 2016, respectively, and $355 million and $218 million in the nine-month periods ended September 30, 2017 and 2016, respectively. Income tax expense as a percentage of earnings before income taxes was 33% and 36% for the three-month periods ended September 30, 2017 and 2016, respectively, and 41% and 35% for the nine-month periods ended September 30, 2017 and 2016, respectively. Income tax expense as a percentage of earnings before income taxes fluctuates depending on our estimate of ultimate income tax liability and changes in the characteristics of net earnings, such as the weighting of operating income versus investment income. The increase in income tax as a percentage of earnings before income taxes from the nine-month period ended September 30, 2016 to the comparable 2017 period was primarily driven by the sale of OneDigital, nondeductible legal and regulatory expenses incurred in the period, and increased tax expense of $21 million resulting from a change in judgment of the tax deductibility of legal and regulatory settlements finalized in the 2017 period.</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in losses of unconsolidated affiliates was $3 million and $7 million for the three-month periods ended September 30, 2017 and 2016, respectively, and $7 million and $6 million for the nine-month periods ended September 30, 2017 and 2016, respectively. The equity in losses in 2017 and 2016 consisted primarily of net losses related to our investment in Ceridian, offset by earnings at various other unconsolidated affiliates, which is described further at the segment level below.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09"/>
        </w:trPr>
        <w:tc>
          <w:tcPr>
            <w:tcW w:w="6520" w:type="dxa"/>
            <w:vAlign w:val="bottom"/>
          </w:tcPr>
          <w:p>
            <w:pPr>
              <w:ind w:left="40"/>
              <w:spacing w:after="0"/>
              <w:rPr>
                <w:sz w:val="20"/>
                <w:szCs w:val="20"/>
                <w:color w:val="auto"/>
              </w:rPr>
            </w:pPr>
            <w:r>
              <w:rPr>
                <w:rFonts w:ascii="Arial" w:cs="Arial" w:eastAsia="Arial" w:hAnsi="Arial"/>
                <w:sz w:val="18"/>
                <w:szCs w:val="18"/>
                <w:color w:val="auto"/>
                <w:w w:val="98"/>
              </w:rPr>
              <w:t>Earnings from continuing operations before income taxes and equity in earnings of</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unconsolidated affiliates</w:t>
            </w:r>
          </w:p>
        </w:tc>
        <w:tc>
          <w:tcPr>
            <w:tcW w:w="1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$7 million, or 0%, in the three months ended September 30, 2017 and increased by $225 million, or 4%, in the nine months ended September 30, 2017 from the corresponding periods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Nine months ended September 30,</w:t>
            </w:r>
          </w:p>
        </w:tc>
        <w:tc>
          <w:tcPr>
            <w:tcW w:w="680" w:type="dxa"/>
            <w:vAlign w:val="bottom"/>
            <w:tcBorders>
              <w:bottom w:val="single" w:sz="8" w:color="auto"/>
            </w:tcBorders>
          </w:tcPr>
          <w:p>
            <w:pPr>
              <w:spacing w:after="0"/>
              <w:rPr>
                <w:sz w:val="16"/>
                <w:szCs w:val="16"/>
                <w:color w:val="auto"/>
              </w:rPr>
            </w:pPr>
          </w:p>
        </w:tc>
      </w:tr>
      <w:tr>
        <w:trPr>
          <w:trHeight w:val="258"/>
        </w:trPr>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719</w:t>
            </w:r>
          </w:p>
        </w:tc>
        <w:tc>
          <w:tcPr>
            <w:tcW w:w="1040" w:type="dxa"/>
            <w:vAlign w:val="bottom"/>
            <w:gridSpan w:val="3"/>
          </w:tcPr>
          <w:p>
            <w:pPr>
              <w:jc w:val="right"/>
              <w:ind w:right="12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2,028</w:t>
            </w:r>
          </w:p>
        </w:tc>
        <w:tc>
          <w:tcPr>
            <w:tcW w:w="1020" w:type="dxa"/>
            <w:vAlign w:val="bottom"/>
            <w:gridSpan w:val="3"/>
          </w:tcPr>
          <w:p>
            <w:pPr>
              <w:jc w:val="right"/>
              <w:ind w:right="108"/>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Title premiums increased by 1% in the three months ended September 30, 2017 as compared to the corresponding period in 2016. The increase is comprised of an increase in Title premiums from direct operations of $2 million, or 0%, and an increase in Title premiums from agency operations of $6 million, or 1%, in the three months ended September 30, 2017. Title premiums increased by 5% in the nine months ended September 30, 2017 as compared to the corresponding period in 2016. The increase is comprised of an increase in Title premiums from direct operations of $80 million, or 5%, and an increase in Title premiums from agency operations of $94 million, or 5%, in the nine months ended September 30,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percentages of open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74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64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Title premiums from direct operations increased in the three and nine months ended September 30, 2017 as compared to the corresponding periods in 2016. The increase in both periods is primarily attributable to an increase in the fee per file driven by a favorable change in the mix of closed orders from purchase and refinance transactions, partially offset by a decrease in closed order volume. We experienced an increase in closed title insurance order volumes from purchase transactions which was more than offset by a decrease in closed title insurance order volumes from refinance transactions in the three and nine months ended September 30, 2017 as compared to the corresponding periods in 2016. Total closed order volumes were 367,000 and 1,071,000 in the three and nine months ended September 30, 2017, respectively, compared with 433,000 and 1,156,000 in the three and nine months ended September 30, 2016, respectively. This represented an overall decrease of 15% and 7%, respectively. Open title orders changed consistently with closed orders over the three and nine months ended September 30, 2017 as compared to the corresponding periods in 2016. The average fee per file in our direct operations was $2,368 and $2,320 in the three and nine months ended September 30, 2017, respectively, compared to $2,015 and $2,055 in the three and nine months ended September 30, 2016. The increase in average fee per file in both periods reflects the favorable change in mix of closed orders from purchase and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6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increase in title premiums from agency operations is primarily the result of an increase in remitted agency premiums that reflects an improving residential purchase environment in many markets throughout the country. The increase also reflects a concerted effort by management to increase remittances with existing agents as well as cultivate new relationships with potential new agents while reducing unprofitable agency relationships.</w:t>
      </w:r>
    </w:p>
    <w:p>
      <w:pPr>
        <w:spacing w:after="0" w:line="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Escrow, title-related and other fees decreased by $6 million, or 1%, in the three months ended September 30, 2017, and increased by $47 million, or 3%, in the nine months ended September 30, 2017 from the corresponding periods in 2016. Escrow fees, which are more closely related to our direct operations, decreased by $6 million, or 3%, in the three months ended September 30, 2017, and increased $23 million, or 4%, in the nine months ended September 30, 2017 compared to the corresponding periods in 2016. The increase is representative of the favorable increase in closed title insurance orders from purchase transactions previously discussed. Other fees in the Title segment, excluding escrow fees, remained flat in the three months ended September 30, 2017, and increased $24 million, or 2%, in the nine months ended September 30, 2017 from the corresponding periods in 2016. This increase relates to increases in fees in our home warranty business, loan processing revenue at certain subsidiaries of ServiceLink and acquisitions. The increases were offset by decreased revenue at certain other ServiceLink subsidiaries.</w:t>
      </w:r>
    </w:p>
    <w:p>
      <w:pPr>
        <w:spacing w:after="0" w:line="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increased by $3 million in the three months ended September 30, 2017 and decreased by $1 million in the nine months ended September 30, 2017 compared to the corresponding periods in 2016. The increase in the three-month period was primarily driven by increased interest rates earned in our tax-deferred property exchange business, partially offset by a decrease in our fixed maturity holdings period over period.</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There was a $35 million, or 6% increase in the three-month period ended September 30, 2017, and a $122 million, or 7%, increase in the nine-month period ended September 30, 2017 compared to the corresponding periods in 2016. The increase in the 2017 period is primarily due to higher commissions and bonuses associated with increased headcount to process increased closed order counts from purchase transactions and increased expense associated with acquisitions. Personnel costs as a percentage of total revenues from direct title premiums and escrow, title-related and other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fees were 54% for both of the three and nine-month periods ended September 30, 2017, and 51% and 53% for the three and nine-month periods ended September 30, 2016, respectively. The increase in personnel cost as a percentage of total revenues from direct title premiums and escrow, title-related and other fees was primarily impacted by the January 1, 2017 realignment of Property Insight to us from Black Knight which resulted in reduced other operating expense offset by increased personnel expense within our Title segment. Average employee count in the Title segment was 23,671 and 22,490 in the three-month periods ended September 30, 2017 and 2016, respectively, and 23,129 and 21,714 in the nine-month periods ended September 30, 2017 and 2016, respectively.</w:t>
      </w:r>
    </w:p>
    <w:p>
      <w:pPr>
        <w:spacing w:after="0" w:line="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decreased by $31 million, or 8% in the three months ended September 30, 2017 and decreased $22 million, or 2%, in the nine months ended September 30, 2017 from the corresponding periods in 2016. Other operating expenses as a percentage of total revenue excluding agency premiums, interest and investment income, and realized gains and losses decreased approximately 3% and 2% in the three and nine months ended September 30, 2017 from the comparable periods ended September 30, 2016, respectively. The decrease is primarily driven by decreased cost of sales at certain subsidiaries of ServiceLink, lower title plant costs associated with lower order counts, and the January 1, 2017 realignment of Property Insight to us from Black Knight which resulted in reduced other operating expense offset by increased personnel expense within our Title segment.</w:t>
      </w:r>
    </w:p>
    <w:p>
      <w:pPr>
        <w:spacing w:after="0" w:line="7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2016:</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2,028</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1,557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increased by $2 million in the three months ended September 30, 2017 and increased $8 million in the nine months ended September 30, 2017 compared to the corresponding periods in 2016.</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claim loss provision for title insurance was $64 million and $70 million for the three-month periods ended September 30, 2017 and 2016, respectively, and reflects an average provision rate of 5.0% and 5.5% of title premiums, respectively. The claim loss provision for title insurance was $181 million and $190 million for the nine-month periods ended September 30, 2017 and 2016, respectively, and reflects an average provision rate of 5.0% and 5.5% of title premiums in the 2017 and 2016 periods, respectively.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 In the fourth quarter of 2016, we revised our loss provision rate to 5.0% from 5.5% based upon an analysis of historical ultimate loss ratios, the reduced volatility of development of those historical ultimate loss ratios, and lower policy year loss ratios in recent years.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 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Group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FNF Group Corporate and Other segment generated revenues of $114 million and $83 million for the three months ended September 30, 2017 and 2016, respectively, and $329 million and $201 million for the nine months ended September 30, 2017 and 2016, respectively. The revenue in all periods represents revenue generated by our real estate brokerage subsidiaries and other real estate related companies offset by the elimination of certain revenues between segments. The increase of $31 million, or 37%, in the three-month period and the increase of $128 million, or 64%, in the nine-month period are primarily attributable to the acquisition of Commissions, Inc. ("CINC") and to revenue growth and acquisitions by Pacific Union, a luxury real estate broker based in California in which we have a 66% ownership interest. The increase in the nine-month period was also driven by a $15 million increase related to recording one additional month of results of operations during the second quarter of 2017 for our real estate brokerages in order to catch up their results which were previously reported on a one-month lag.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Other operating expenses in the FNF Group Corporate and Other segment were $95 million and $60 million for the three months ended September 30, 2017 and 2016, respectively, and $270 million and $152 million for the nine months ended September 30, 2017 and 2016, respectively. Both periods reflect expenses at our real estate brokerage subsidiaries and other real estate related companies. The increase of $35 million, or 58%, in the three-month period ended September 30, 2017 from the corresponding 2016 period and the increase of $118 million, or 78%, in the nine-month period ended September 30, 2017 from the corresponding 2016 period are primarily attributable to the acquisition of CINC and growth and acquisitions at Pacific Union. The increase in the nine-month period was also driven by a $14 million increase related to recording one additional month of results of operations in the 2017 period for our real estate brokerages in order to catch up their results which were previously reported on a one-month lag.</w:t>
      </w:r>
    </w:p>
    <w:p>
      <w:pPr>
        <w:spacing w:after="0" w:line="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expense was $11 million and $14 million for the three months ended September 30, 2017 and 2016, respectively, and $39 million and $47 million for the nine months ended September 30, 2017 and 2016, respectively. The decrease is primarily attributable to decreased interest on our convertible Notes resulting from redemptions in the 2017 periods.</w:t>
      </w:r>
    </w:p>
    <w:p>
      <w:pPr>
        <w:spacing w:after="0" w:line="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segment generated pretax losses of $20 million and $12 million for the three months ended September 30, 2017 and 2016, respectively, and $63 million and $52 million, for the nine months ended September 30, 2017 and 2016, respectively. The increased losses are attributable to the factors discussed above.</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As a result of the BK Distribution, the financial results of Black Knight have been reclassified to discontinued operations for the three and nine months ended September 30, 2017 and 2016. Earnings from discontinued operations were $31 million and $17 million for the three months ended September 30, 2017 and 2016, respectively, and $59 million and $54 million for the nine months ended September 30, 2017 and 2016, respectively. Refer to Note K </w:t>
      </w: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of the Condensed Consolidated Financial Statements included in Item 1 of Part I of this Quarterly Report for further details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Black Knight.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76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62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190"/>
        </w:trPr>
        <w:tc>
          <w:tcPr>
            <w:tcW w:w="6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restaurant revenue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8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727</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8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285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852</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from continuing operations before income taxes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0"/>
        </w:trPr>
        <w:tc>
          <w:tcPr>
            <w:tcW w:w="6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Total revenues for the Restaurant group segment decreased $6 million, or 2%, in the three months ended September 30, 2017 and decreased $28 million, or 3%, in the nine months ended September 30, 2017, from the corresponding periods in 2016. The decrease for the nine month period is primarily attributable to lower same store sales and, to a lesser extent, the sale of the Max &amp; Erma's concept in January 2016.</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Cost of restaurant revenue increased by $6 million, or 3%, in the three months ended September 30, 2017 and increased $1 million, or less than 1%, in the nine months ended September 30, 2017, from the corresponding periods in 2016. Cost of restaurant revenue as a percentage of restaurant revenue increased from approximately 87% to 90% and from 85% to 88% in the three and nine months ended September 30, 2017 from the comparable 2016 periods. The increase in cost of restaurant revenue as a percentage of restaurant revenue was primarily driven by reduced operating leverage associated with lower same store sales, increased hourly labor costs, and an increase in value promotions offered in the 2017 periods.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(Loss) earnings from continuing operations before income taxes decreased (loss increased) by $15 million, or 375%, in the three months ended September 30, 2017, and decreased (loss increased) by $27 million, or 1,350%, in the nine months ended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September 30, 2017 from the corresponding periods in 2016. The decrease in earnings (increase in losses) was primarily attributable to the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FNFV Corporate and Other segment includes our share in the operations of certain equity investments, including Ceridian; OneDigital, through May 5, 2017, the date it was sold; and other smaller operations which are not title-related. This segment also includes our Investment Success Incentive Program ("ISIP") which is tied to monetization or liquidity events producing realized or realizable economic gains relating to our investments.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FNFV Corporate and Other segment generated revenues of $13 million and $47 million for the three months ended September 30, 2017 and 2016, respectively, and $387 million and $142 million for the nine months ended September 30, 2017 and 2016, respectively. The decrease of $34 million in the three-month period is primarily attributable to the sale of OneDigital and the exclusion of its results in the 2017 period. The increase of $245 million in the nine-month period is primarily attributable to the gain on sale of One Digital of $276 million, offset by the aforementioned factors driving the decrease in the comparable three-month period.</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expenses were $9 million and $12 million for the three months ended September 30, 2017 and 2016, respectively, and $34 million and $30 million for the nine months ended September 30, 2017 and 2016, respectively.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Personnel costs were $6 million and $29 million for the three months ended September 30, 2017 and 2016, respectively and $97 million and $80 million for the nine months ended September 30, 2017 and 2016, respectively. The decrease in the three-month period is primarily attributable to the sale of OneDigital and the exclusion of its results in the 2017 period. The increase in the nine-month period is primarily attributable to ISIP bonuses related to the sale of OneDigital, acquisitions and growth at OneDigital prior to its sale, and to costs associated with smaller FNFV acquisitions in the current year, offset by the aforementioned decrease in the three-month period.</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generated pretax (loss) earnings of $(2) million and $0 million for the three months ended September 30, 2017 and 2016, respectively, and $242 million and $14 million for the nine months ended September 30, 2017 and 2016, respectively. The change in earnings is attributable to the aforementioned changes in earnings and expenses.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$0.25 per share in the third quarter of 2017, or approximately $68 million to our FNF Group common shareholders. On October 25, 2017, our Board of Directors declared cash dividends of $0.27 per share, payable on December 29, 2017, to FNF Group common shareholders of record as of December 15, 2017.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2016, $2,149 million of our net assets were restricted from dividend payments without prior approval from the relevant departments of insurance. Effective March 1, 2017, three of the Company’s title insurance underwriters, Fidelity National Title Insurance Company, Chicago Title Insurance Company and Commonwealth Land Title Insurance Company, redomesticated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their former states of domicile to Florida. In conjunction with the Redomestication, the Company received a special dividend from these title insurance underwriters of $280 million on March 15, 2017. We anticipate that our title insurance subsidiaries will pay or make dividends in the remainder of 2017 of approximately $153 million. Our underwritten title companies and non-insurance subsidiaries are not regulated to the same extent as our insurance subsidiaries.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 Group's operations will be used for general corporate purposes including to reinvest in core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operations for the nine months ended September 30, 2017 and 2016 totaled $566 million and $745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of $179 million is primarily attributable to increased payments for income taxes in the current period of $51 million, the payment of legal settlements of $65 million, increased payments for certain prepaid assets, and unfavorable timing of various payables, partially offset by increased net earnings.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Our cash provided by (used in) investing activities for the nine months ended September 30, 2017 and 2016 were $1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$(292) million, respectively. The increase in cash provided by (decrease in cash used in) investing activities of $293 million from the 2017 period to the 2016 period is primarily attributable to the proceeds from the sale of OneDigital of $325 million, a $260 million decrease in spending on acquisitions of businesses, a reduction in investments made in unconsolidated affiliates of $103 million and a reduction in spending on fixed assets of $98 million, partially offset by a reduction in net sales of available for sale investments, short term investments, and cost method investments, net of purchases, of $489 million.</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$132 million and $240 million for the nine-month periods ended September 30, 2017 and 2016, respectively, with the decrease primarily related to the purchase of our corporate headquarters for $71 million in April 2016 and other miscellaneous spending reductions.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Our cash flows used in financing activities for the nine months ended September 30, 2017 and 2016 were $895 million and $476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The increase in cash used in financing activities of $419 million from the 2017 period to the 2016 period is primarily attributable to the $87 million of cash transferred as a result of the spin-off of Black Knight, increased net debt principal payments, net of borrowings, of $160 million, an increase in dividends paid of $33 million, payment of premiums to repurchase convertible Notes of $317 million in the 2017 period, and repurchases of BKFS stock by Black Knight of $47 million in the 2017 period, offset by a reduction in spending on treasury stock repurchases of $228 million.</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 included in Item 1 of Part 1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1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nine months ended September 30, 2017, we repurchased $229 million of principal of our 4.25% convertible senior notes due August 2018 ("Notes") for $548 million. As of September 30, 2017, we had outstanding Notes of $68 million, net of unamortized debt issuance costs.</w:t>
      </w:r>
    </w:p>
    <w:p>
      <w:pPr>
        <w:spacing w:after="0" w:line="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levels for the real estate industry including title insurers.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w:t>
      </w:r>
    </w:p>
    <w:p>
      <w:pPr>
        <w:spacing w:after="0" w:line="1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2016, filed on February 27, 2017, other than our entry into the Equity Commitment Letters with CFCOU as described in Note A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and the extinguishment and restructuring of certain debt as described in Note E</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to the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Item 1 of Part I of this Quarterly Report.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February 18, 2016, our Board of Directors approved a new FNFV Group three-year stock repurchase program,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March 1, 2016, under which we may repurchase up to 15 million shares of FNFV Group common stock through February 28, 2019. Purchases may be made from time to time by us in the open market at prevailing market prices or in privately negotiated transactions. We repurchased 1,491,800 shares under this program during the nine months ended September 30, 2017 for $23 million, or an average of $15.22 per share. Since the original commencement of the program through market close on November 2, 2017, we have repurchased a total of 5,446,800 shares for $68 million, or an average of $12.95 per share, and there are 9,553,200 shares available to be repurchased under this program.</w:t>
      </w:r>
    </w:p>
    <w:p>
      <w:pPr>
        <w:spacing w:after="0" w:line="15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20, 2015, our Board of Directors approved a new three-year stock repurchase program under which we can purchase up to 25 million shares of our FNF Group common stock through July 30, 2018. We may make repurchases from time to time in the open market, in block purchases or in privately negotiated transactions, depending on market conditions and other factors. Since the original commencement of the plan through market close on November 2, 2017, we have repurchased a total of 10,589,000 FNF Group common shares for $372 million, or an average of $35.10 per share, and there are 14,411,000 shares available to be repurchased under this program. We have not made any repurchases under this program in the nine months ended September 30, 2017 or in the subsequent period ended November 2, 2017.</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There have been no significant changes to our off-balance sheet arrangements since our Annual Report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to our critical accounting policies described in our Annual Report for our fiscal year ended December 31, 2016.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discussion of legal proceedings in Note F to the Condensed Consolidated Financial Statements included in Item 1 of Part I of this Report, which is incorporated by reference into this Item 1 of Part II.</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FNFV during the three months ended September 30, 2017:</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Number of Shares</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7/1/2017 - 7/31/2017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196,000</w:t>
            </w:r>
          </w:p>
        </w:tc>
        <w:tc>
          <w:tcPr>
            <w:tcW w:w="1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9,553,200</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8/1/2017 - 8/31/2017</w:t>
            </w:r>
          </w:p>
        </w:tc>
        <w:tc>
          <w:tcPr>
            <w:tcW w:w="1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
              <w:spacing w:after="0"/>
              <w:rPr>
                <w:sz w:val="20"/>
                <w:szCs w:val="20"/>
                <w:color w:val="auto"/>
              </w:rPr>
            </w:pPr>
            <w:r>
              <w:rPr>
                <w:rFonts w:ascii="Arial" w:cs="Arial" w:eastAsia="Arial" w:hAnsi="Arial"/>
                <w:sz w:val="18"/>
                <w:szCs w:val="18"/>
                <w:color w:val="auto"/>
              </w:rPr>
              <w:t>9,553,200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9/1/2017 - 9/30/2017</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9,553,200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196,000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through February 28, 2019.</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3215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(a) Exhibits:</w:t>
            </w: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7"/>
              </w:rPr>
              <w:t>2.1</w:t>
            </w:r>
          </w:p>
        </w:tc>
        <w:tc>
          <w:tcPr>
            <w:tcW w:w="9880" w:type="dxa"/>
            <w:vAlign w:val="bottom"/>
            <w:tcBorders>
              <w:bottom w:val="single" w:sz="8" w:color="0000EE"/>
            </w:tcBorders>
            <w:gridSpan w:val="11"/>
          </w:tcPr>
          <w:p>
            <w:pPr>
              <w:spacing w:after="0"/>
              <w:rPr>
                <w:rFonts w:ascii="Arial" w:cs="Arial" w:eastAsia="Arial" w:hAnsi="Arial"/>
                <w:sz w:val="18"/>
                <w:szCs w:val="18"/>
                <w:color w:val="0000EE"/>
                <w:w w:val="93"/>
              </w:rPr>
            </w:pPr>
            <w:hyperlink r:id="rId26">
              <w:r>
                <w:rPr>
                  <w:rFonts w:ascii="Arial" w:cs="Arial" w:eastAsia="Arial" w:hAnsi="Arial"/>
                  <w:sz w:val="18"/>
                  <w:szCs w:val="18"/>
                  <w:color w:val="0000EE"/>
                  <w:w w:val="93"/>
                </w:rPr>
                <w:t>Reorganization Agreement, dated as of June 8, 2017, by and among Fidelity National Financial, Inc., Black Knight Holdings, Inc., and</w:t>
              </w:r>
            </w:hyperlink>
          </w:p>
        </w:tc>
      </w:tr>
      <w:tr>
        <w:trPr>
          <w:trHeight w:val="196"/>
        </w:trPr>
        <w:tc>
          <w:tcPr>
            <w:tcW w:w="128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w w:val="97"/>
              </w:rPr>
            </w:pPr>
            <w:hyperlink r:id="rId26">
              <w:r>
                <w:rPr>
                  <w:rFonts w:ascii="Arial" w:cs="Arial" w:eastAsia="Arial" w:hAnsi="Arial"/>
                  <w:sz w:val="18"/>
                  <w:szCs w:val="18"/>
                  <w:color w:val="0000EE"/>
                  <w:w w:val="97"/>
                </w:rPr>
                <w:t>New BKH Corp. (incorporated by reference to Exhibit 2.1 to the Registrant’s Current Report on Form 8-K filed on June 9, 2017)</w:t>
              </w:r>
            </w:hyperlink>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7"/>
              </w:rPr>
              <w:t>2.2</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96"/>
              </w:rPr>
            </w:pPr>
            <w:hyperlink r:id="rId27">
              <w:r>
                <w:rPr>
                  <w:rFonts w:ascii="Arial" w:cs="Arial" w:eastAsia="Arial" w:hAnsi="Arial"/>
                  <w:sz w:val="18"/>
                  <w:szCs w:val="18"/>
                  <w:color w:val="0000EE"/>
                  <w:w w:val="96"/>
                </w:rPr>
                <w:t>Agreement and Plan of Merger, dated as of June 8, 2017, by and among Fidelity National Financial, Inc., New BKH Corp., Black</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27">
              <w:r>
                <w:rPr>
                  <w:rFonts w:ascii="Arial" w:cs="Arial" w:eastAsia="Arial" w:hAnsi="Arial"/>
                  <w:sz w:val="18"/>
                  <w:szCs w:val="18"/>
                  <w:color w:val="0000EE"/>
                  <w:w w:val="93"/>
                </w:rPr>
                <w:t>Knight Financial Services, Inc., Black Knight Holdco Corp., New BKH Merger Sub, Inc., and BKFS Merger Sub, Inc. (incorporated by</w:t>
              </w:r>
            </w:hyperlink>
          </w:p>
        </w:tc>
      </w:tr>
      <w:tr>
        <w:trPr>
          <w:trHeight w:val="196"/>
        </w:trPr>
        <w:tc>
          <w:tcPr>
            <w:tcW w:w="128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reference to Exhibit 2.2 to the Registrant’s Current Report on Form 8-K filed on June 9, 2017)</w:t>
              </w:r>
            </w:hyperlink>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5"/>
              </w:rPr>
              <w:t>10.1</w:t>
            </w:r>
          </w:p>
        </w:tc>
        <w:tc>
          <w:tcPr>
            <w:tcW w:w="9880" w:type="dxa"/>
            <w:vAlign w:val="bottom"/>
            <w:tcBorders>
              <w:bottom w:val="single" w:sz="8" w:color="0000EE"/>
            </w:tcBorders>
            <w:gridSpan w:val="11"/>
          </w:tcPr>
          <w:p>
            <w:pPr>
              <w:spacing w:after="0"/>
              <w:rPr>
                <w:rFonts w:ascii="Arial" w:cs="Arial" w:eastAsia="Arial" w:hAnsi="Arial"/>
                <w:sz w:val="18"/>
                <w:szCs w:val="18"/>
                <w:color w:val="0000EE"/>
                <w:w w:val="93"/>
              </w:rPr>
            </w:pPr>
            <w:hyperlink r:id="rId28">
              <w:r>
                <w:rPr>
                  <w:rFonts w:ascii="Arial" w:cs="Arial" w:eastAsia="Arial" w:hAnsi="Arial"/>
                  <w:sz w:val="18"/>
                  <w:szCs w:val="18"/>
                  <w:color w:val="0000EE"/>
                  <w:w w:val="93"/>
                </w:rPr>
                <w:t>First Amendment, dated as of February 27, 2017, to Credit Agreement, dated as of August 19, 2014, among ABRH, LLC, the lenders</w:t>
              </w:r>
            </w:hyperlink>
          </w:p>
        </w:tc>
      </w:tr>
      <w:tr>
        <w:trPr>
          <w:trHeight w:val="196"/>
        </w:trPr>
        <w:tc>
          <w:tcPr>
            <w:tcW w:w="128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party thereto, Wells Fargo Bank N.A., as administrative agent, and the other agents party thereto (incorporated by reference to Exhibit</w:t>
              </w:r>
            </w:hyperlink>
          </w:p>
        </w:tc>
      </w:tr>
      <w:tr>
        <w:trPr>
          <w:trHeight w:val="196"/>
        </w:trPr>
        <w:tc>
          <w:tcPr>
            <w:tcW w:w="128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on March 2, 2017)</w:t>
              </w:r>
            </w:hyperlink>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5"/>
              </w:rPr>
              <w:t>10.2</w:t>
            </w:r>
          </w:p>
        </w:tc>
        <w:tc>
          <w:tcPr>
            <w:tcW w:w="9880" w:type="dxa"/>
            <w:vAlign w:val="bottom"/>
            <w:tcBorders>
              <w:bottom w:val="single" w:sz="8" w:color="0000EE"/>
            </w:tcBorders>
            <w:gridSpan w:val="11"/>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Restated Credit Agreement, dated as of April 27, 2017, to Existing Credit Agreement, dated as of June 25, 2013, by and among Fidelity</w:t>
              </w:r>
            </w:hyperlink>
          </w:p>
        </w:tc>
      </w:tr>
      <w:tr>
        <w:trPr>
          <w:trHeight w:val="196"/>
        </w:trPr>
        <w:tc>
          <w:tcPr>
            <w:tcW w:w="128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National Financial, Inc., a Delaware corporation, as the borrower, Bank of America, N.A., as administrative agent, the other agents party</w:t>
              </w:r>
            </w:hyperlink>
          </w:p>
        </w:tc>
      </w:tr>
      <w:tr>
        <w:trPr>
          <w:trHeight w:val="196"/>
        </w:trPr>
        <w:tc>
          <w:tcPr>
            <w:tcW w:w="128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thereto and the financial institutions party thereto as lenders (incorporated by reference to Exhibit 10.2 to the Registrant's Current Report</w:t>
              </w:r>
            </w:hyperlink>
          </w:p>
        </w:tc>
      </w:tr>
      <w:tr>
        <w:trPr>
          <w:trHeight w:val="196"/>
        </w:trPr>
        <w:tc>
          <w:tcPr>
            <w:tcW w:w="128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on Form 8-K filed on May 2, 2017)</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Chief Executive Officer pursuant to Section 302 of the Sarbanes-Oxley Act of 2002.</w:t>
              </w:r>
            </w:hyperlink>
          </w:p>
        </w:tc>
        <w:tc>
          <w:tcPr>
            <w:tcW w:w="2640" w:type="dxa"/>
            <w:vAlign w:val="bottom"/>
            <w:gridSpan w:val="4"/>
          </w:tcPr>
          <w:p>
            <w:pPr>
              <w:spacing w:after="0"/>
              <w:rPr>
                <w:sz w:val="24"/>
                <w:szCs w:val="24"/>
                <w:color w:val="auto"/>
              </w:rPr>
            </w:pPr>
          </w:p>
        </w:tc>
      </w:tr>
      <w:tr>
        <w:trPr>
          <w:trHeight w:val="520"/>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5"/>
              </w:rPr>
              <w:t>31.2</w:t>
            </w:r>
          </w:p>
        </w:tc>
        <w:tc>
          <w:tcPr>
            <w:tcW w:w="9880" w:type="dxa"/>
            <w:vAlign w:val="bottom"/>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5"/>
              </w:rPr>
              <w:t>32.1</w:t>
            </w:r>
          </w:p>
        </w:tc>
        <w:tc>
          <w:tcPr>
            <w:tcW w:w="9880" w:type="dxa"/>
            <w:vAlign w:val="bottom"/>
            <w:gridSpan w:val="11"/>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Certification by Chief Executive Officer of Periodic Financial Reports pursuant to Section 906 of the Sarbanes-Oxley Act of 2002, 18</w:t>
              </w:r>
            </w:hyperlink>
          </w:p>
        </w:tc>
      </w:tr>
      <w:tr>
        <w:trPr>
          <w:trHeight w:val="196"/>
        </w:trPr>
        <w:tc>
          <w:tcPr>
            <w:tcW w:w="128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5"/>
              </w:rPr>
              <w:t>32.2</w:t>
            </w:r>
          </w:p>
        </w:tc>
        <w:tc>
          <w:tcPr>
            <w:tcW w:w="9880" w:type="dxa"/>
            <w:vAlign w:val="bottom"/>
            <w:gridSpan w:val="11"/>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Certification by Chief Financial Officer of Periodic Financial Reports pursuant to Section 906 of the Sarbanes-Oxley Act of 2002, 18</w:t>
              </w:r>
            </w:hyperlink>
          </w:p>
        </w:tc>
      </w:tr>
      <w:tr>
        <w:trPr>
          <w:trHeight w:val="196"/>
        </w:trPr>
        <w:tc>
          <w:tcPr>
            <w:tcW w:w="128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426"/>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5"/>
              </w:rPr>
              <w:t>99.1</w:t>
            </w:r>
          </w:p>
        </w:tc>
        <w:tc>
          <w:tcPr>
            <w:tcW w:w="9880" w:type="dxa"/>
            <w:vAlign w:val="bottom"/>
            <w:gridSpan w:val="1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Unaudited Attributed Financial Information for Fidelity National Financial Group Tracking Stock</w:t>
              </w:r>
            </w:hyperlink>
          </w:p>
        </w:tc>
      </w:tr>
      <w:tr>
        <w:trPr>
          <w:trHeight w:val="20"/>
        </w:trPr>
        <w:tc>
          <w:tcPr>
            <w:tcW w:w="1280" w:type="dxa"/>
            <w:vAlign w:val="bottom"/>
          </w:tcPr>
          <w:p>
            <w:pPr>
              <w:spacing w:after="0" w:line="20" w:lineRule="exact"/>
              <w:rPr>
                <w:sz w:val="1"/>
                <w:szCs w:val="1"/>
                <w:color w:val="auto"/>
              </w:rPr>
            </w:pPr>
          </w:p>
        </w:tc>
        <w:tc>
          <w:tcPr>
            <w:tcW w:w="7040" w:type="dxa"/>
            <w:vAlign w:val="bottom"/>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412"/>
        </w:trPr>
        <w:tc>
          <w:tcPr>
            <w:tcW w:w="1280" w:type="dxa"/>
            <w:vAlign w:val="bottom"/>
          </w:tcPr>
          <w:p>
            <w:pPr>
              <w:jc w:val="center"/>
              <w:ind w:right="610"/>
              <w:spacing w:after="0"/>
              <w:rPr>
                <w:sz w:val="20"/>
                <w:szCs w:val="20"/>
                <w:color w:val="auto"/>
              </w:rPr>
            </w:pPr>
            <w:r>
              <w:rPr>
                <w:rFonts w:ascii="Arial" w:cs="Arial" w:eastAsia="Arial" w:hAnsi="Arial"/>
                <w:sz w:val="18"/>
                <w:szCs w:val="18"/>
                <w:color w:val="auto"/>
                <w:w w:val="85"/>
              </w:rPr>
              <w:t>99.2</w:t>
            </w:r>
          </w:p>
        </w:tc>
        <w:tc>
          <w:tcPr>
            <w:tcW w:w="77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Unaudited Attributed Financial Information for Fidelity National Financial Ventures Group Tracking Stock</w:t>
              </w:r>
            </w:hyperlink>
          </w:p>
        </w:tc>
        <w:tc>
          <w:tcPr>
            <w:tcW w:w="2160" w:type="dxa"/>
            <w:vAlign w:val="bottom"/>
            <w:gridSpan w:val="3"/>
          </w:tcPr>
          <w:p>
            <w:pPr>
              <w:spacing w:after="0"/>
              <w:rPr>
                <w:sz w:val="24"/>
                <w:szCs w:val="24"/>
                <w:color w:val="auto"/>
              </w:rPr>
            </w:pPr>
          </w:p>
        </w:tc>
      </w:tr>
    </w:tbl>
    <w:p>
      <w:pPr>
        <w:spacing w:after="0" w:line="256" w:lineRule="exact"/>
        <w:rPr>
          <w:sz w:val="20"/>
          <w:szCs w:val="20"/>
          <w:color w:val="auto"/>
        </w:rPr>
      </w:pPr>
    </w:p>
    <w:p>
      <w:pPr>
        <w:jc w:val="both"/>
        <w:ind w:left="1520" w:hanging="1127"/>
        <w:spacing w:after="0" w:line="25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September 30, 2017,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Date: November 2, 2017</w:t>
            </w:r>
          </w:p>
        </w:tc>
        <w:tc>
          <w:tcPr>
            <w:tcW w:w="6300" w:type="dxa"/>
            <w:vAlign w:val="bottom"/>
            <w:gridSpan w:val="2"/>
          </w:tcPr>
          <w:p>
            <w:pPr>
              <w:ind w:left="160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400" w:type="dxa"/>
            <w:vAlign w:val="bottom"/>
          </w:tcPr>
          <w:p>
            <w:pPr>
              <w:spacing w:after="0"/>
              <w:rPr>
                <w:sz w:val="20"/>
                <w:szCs w:val="20"/>
                <w:color w:val="auto"/>
              </w:rPr>
            </w:pPr>
          </w:p>
        </w:tc>
        <w:tc>
          <w:tcPr>
            <w:tcW w:w="6300" w:type="dxa"/>
            <w:vAlign w:val="bottom"/>
            <w:gridSpan w:val="2"/>
          </w:tcPr>
          <w:p>
            <w:pPr>
              <w:ind w:left="1600"/>
              <w:spacing w:after="0"/>
              <w:rPr>
                <w:sz w:val="20"/>
                <w:szCs w:val="20"/>
                <w:color w:val="auto"/>
              </w:rPr>
            </w:pPr>
            <w:r>
              <w:rPr>
                <w:rFonts w:ascii="Arial" w:cs="Arial" w:eastAsia="Arial" w:hAnsi="Arial"/>
                <w:sz w:val="18"/>
                <w:szCs w:val="18"/>
                <w:color w:val="auto"/>
              </w:rPr>
              <w:t>(registrant)</w:t>
            </w:r>
          </w:p>
        </w:tc>
      </w:tr>
      <w:tr>
        <w:trPr>
          <w:trHeight w:val="486"/>
        </w:trPr>
        <w:tc>
          <w:tcPr>
            <w:tcW w:w="3400" w:type="dxa"/>
            <w:vAlign w:val="bottom"/>
          </w:tcPr>
          <w:p>
            <w:pPr>
              <w:spacing w:after="0"/>
              <w:rPr>
                <w:sz w:val="24"/>
                <w:szCs w:val="24"/>
                <w:color w:val="auto"/>
              </w:rPr>
            </w:pPr>
          </w:p>
        </w:tc>
        <w:tc>
          <w:tcPr>
            <w:tcW w:w="6300" w:type="dxa"/>
            <w:vAlign w:val="bottom"/>
            <w:gridSpan w:val="2"/>
          </w:tcPr>
          <w:p>
            <w:pPr>
              <w:ind w:left="1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4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40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320" w:type="dxa"/>
            <w:vAlign w:val="bottom"/>
            <w:gridSpan w:val="9"/>
          </w:tcPr>
          <w:p>
            <w:pPr>
              <w:ind w:left="94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7"/>
              </w:rPr>
              <w:t>2.1</w:t>
            </w:r>
          </w:p>
        </w:tc>
        <w:tc>
          <w:tcPr>
            <w:tcW w:w="9880" w:type="dxa"/>
            <w:vAlign w:val="bottom"/>
            <w:tcBorders>
              <w:bottom w:val="single" w:sz="8" w:color="0000EE"/>
            </w:tcBorders>
            <w:gridSpan w:val="11"/>
          </w:tcPr>
          <w:p>
            <w:pPr>
              <w:spacing w:after="0"/>
              <w:rPr>
                <w:rFonts w:ascii="Arial" w:cs="Arial" w:eastAsia="Arial" w:hAnsi="Arial"/>
                <w:sz w:val="18"/>
                <w:szCs w:val="18"/>
                <w:color w:val="0000EE"/>
                <w:w w:val="93"/>
              </w:rPr>
            </w:pPr>
            <w:hyperlink r:id="rId26">
              <w:r>
                <w:rPr>
                  <w:rFonts w:ascii="Arial" w:cs="Arial" w:eastAsia="Arial" w:hAnsi="Arial"/>
                  <w:sz w:val="18"/>
                  <w:szCs w:val="18"/>
                  <w:color w:val="0000EE"/>
                  <w:w w:val="93"/>
                </w:rPr>
                <w:t>Reorganization Agreement, dated as of June 8, 2017, by and among Fidelity National Financial, Inc., Black Knight Holdings, Inc., and</w:t>
              </w:r>
            </w:hyperlink>
          </w:p>
        </w:tc>
      </w:tr>
      <w:tr>
        <w:trPr>
          <w:trHeight w:val="196"/>
        </w:trPr>
        <w:tc>
          <w:tcPr>
            <w:tcW w:w="114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w w:val="97"/>
              </w:rPr>
            </w:pPr>
            <w:hyperlink r:id="rId26">
              <w:r>
                <w:rPr>
                  <w:rFonts w:ascii="Arial" w:cs="Arial" w:eastAsia="Arial" w:hAnsi="Arial"/>
                  <w:sz w:val="18"/>
                  <w:szCs w:val="18"/>
                  <w:color w:val="0000EE"/>
                  <w:w w:val="97"/>
                </w:rPr>
                <w:t>New BKH Corp. (incorporated by reference to Exhibit 2.1 to the Registrant’s Current Report on Form 8-K filed on June 9, 2017)</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7"/>
              </w:rPr>
              <w:t>2.2</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96"/>
              </w:rPr>
            </w:pPr>
            <w:hyperlink r:id="rId27">
              <w:r>
                <w:rPr>
                  <w:rFonts w:ascii="Arial" w:cs="Arial" w:eastAsia="Arial" w:hAnsi="Arial"/>
                  <w:sz w:val="18"/>
                  <w:szCs w:val="18"/>
                  <w:color w:val="0000EE"/>
                  <w:w w:val="96"/>
                </w:rPr>
                <w:t>Agreement and Plan of Merger, dated as of June 8, 2017, by and among Fidelity National Financial, Inc., New BKH Corp., Black</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27">
              <w:r>
                <w:rPr>
                  <w:rFonts w:ascii="Arial" w:cs="Arial" w:eastAsia="Arial" w:hAnsi="Arial"/>
                  <w:sz w:val="18"/>
                  <w:szCs w:val="18"/>
                  <w:color w:val="0000EE"/>
                  <w:w w:val="93"/>
                </w:rPr>
                <w:t>Knight Financial Services, Inc., Black Knight Holdco Corp., New BKH Merger Sub, Inc., and BKFS Merger Sub, Inc. (incorporated by</w:t>
              </w:r>
            </w:hyperlink>
          </w:p>
        </w:tc>
      </w:tr>
      <w:tr>
        <w:trPr>
          <w:trHeight w:val="196"/>
        </w:trPr>
        <w:tc>
          <w:tcPr>
            <w:tcW w:w="114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reference to Exhibit 2.2 to the Registrant’s Current Report on Form 8-K filed on June 9, 2017)</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5"/>
              </w:rPr>
              <w:t>10.1</w:t>
            </w:r>
          </w:p>
        </w:tc>
        <w:tc>
          <w:tcPr>
            <w:tcW w:w="9880" w:type="dxa"/>
            <w:vAlign w:val="bottom"/>
            <w:tcBorders>
              <w:bottom w:val="single" w:sz="8" w:color="0000EE"/>
            </w:tcBorders>
            <w:gridSpan w:val="11"/>
          </w:tcPr>
          <w:p>
            <w:pPr>
              <w:spacing w:after="0"/>
              <w:rPr>
                <w:rFonts w:ascii="Arial" w:cs="Arial" w:eastAsia="Arial" w:hAnsi="Arial"/>
                <w:sz w:val="18"/>
                <w:szCs w:val="18"/>
                <w:color w:val="0000EE"/>
                <w:w w:val="93"/>
              </w:rPr>
            </w:pPr>
            <w:hyperlink r:id="rId28">
              <w:r>
                <w:rPr>
                  <w:rFonts w:ascii="Arial" w:cs="Arial" w:eastAsia="Arial" w:hAnsi="Arial"/>
                  <w:sz w:val="18"/>
                  <w:szCs w:val="18"/>
                  <w:color w:val="0000EE"/>
                  <w:w w:val="93"/>
                </w:rPr>
                <w:t>First Amendment, dated as of February 27, 2017, to Credit Agreement, dated as of August 19, 2014, among ABRH, LLC, the lenders</w:t>
              </w:r>
            </w:hyperlink>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party thereto, Wells Fargo Bank N.A., as administrative agent, and the other agents party thereto (incorporated by reference to Exhibit</w:t>
              </w:r>
            </w:hyperlink>
          </w:p>
        </w:tc>
      </w:tr>
      <w:tr>
        <w:trPr>
          <w:trHeight w:val="196"/>
        </w:trPr>
        <w:tc>
          <w:tcPr>
            <w:tcW w:w="114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on March 2, 2017)</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5"/>
              </w:rPr>
              <w:t>10.2</w:t>
            </w:r>
          </w:p>
        </w:tc>
        <w:tc>
          <w:tcPr>
            <w:tcW w:w="9880" w:type="dxa"/>
            <w:vAlign w:val="bottom"/>
            <w:tcBorders>
              <w:bottom w:val="single" w:sz="8" w:color="0000EE"/>
            </w:tcBorders>
            <w:gridSpan w:val="11"/>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Restated Credit Agreement, dated as of April 27, 2017, to Existing Credit Agreement, dated as of June 25, 2013, by and among Fidelity</w:t>
              </w:r>
            </w:hyperlink>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National Financial, Inc., a Delaware corporation, as the borrower, Bank of America, N.A., as administrative agent, the other agents party</w:t>
              </w:r>
            </w:hyperlink>
          </w:p>
        </w:tc>
      </w:tr>
      <w:tr>
        <w:trPr>
          <w:trHeight w:val="196"/>
        </w:trPr>
        <w:tc>
          <w:tcPr>
            <w:tcW w:w="1140" w:type="dxa"/>
            <w:vAlign w:val="bottom"/>
          </w:tcPr>
          <w:p>
            <w:pPr>
              <w:spacing w:after="0"/>
              <w:rPr>
                <w:sz w:val="17"/>
                <w:szCs w:val="17"/>
                <w:color w:val="auto"/>
              </w:rPr>
            </w:pPr>
          </w:p>
        </w:tc>
        <w:tc>
          <w:tcPr>
            <w:tcW w:w="9880" w:type="dxa"/>
            <w:vAlign w:val="bottom"/>
            <w:gridSpan w:val="11"/>
          </w:tcPr>
          <w:p>
            <w:pPr>
              <w:spacing w:after="0" w:line="196"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thereto and the financial institutions party thereto as lenders (incorporated by reference to Exhibit 10.2 to the Registrant's Current Report</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on Form 8-K filed on May 2,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Chief Executive Officer pursuant to Section 302 of the Sarbanes-Oxley Act of 2002.</w:t>
              </w:r>
            </w:hyperlink>
          </w:p>
        </w:tc>
        <w:tc>
          <w:tcPr>
            <w:tcW w:w="2640" w:type="dxa"/>
            <w:vAlign w:val="bottom"/>
            <w:gridSpan w:val="4"/>
          </w:tcPr>
          <w:p>
            <w:pPr>
              <w:spacing w:after="0"/>
              <w:rPr>
                <w:sz w:val="24"/>
                <w:szCs w:val="24"/>
                <w:color w:val="auto"/>
              </w:rPr>
            </w:pPr>
          </w:p>
        </w:tc>
      </w:tr>
      <w:tr>
        <w:trPr>
          <w:trHeight w:val="520"/>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5"/>
              </w:rPr>
              <w:t>31.2</w:t>
            </w:r>
          </w:p>
        </w:tc>
        <w:tc>
          <w:tcPr>
            <w:tcW w:w="9880" w:type="dxa"/>
            <w:vAlign w:val="bottom"/>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5"/>
              </w:rPr>
              <w:t>32.1</w:t>
            </w:r>
          </w:p>
        </w:tc>
        <w:tc>
          <w:tcPr>
            <w:tcW w:w="9880" w:type="dxa"/>
            <w:vAlign w:val="bottom"/>
            <w:gridSpan w:val="11"/>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Certification by Chief Executive Officer of Periodic Financial Reports pursuant to Section 906 of the Sarbanes-Oxley Act of 2002, 18</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5"/>
              </w:rPr>
              <w:t>32.2</w:t>
            </w:r>
          </w:p>
        </w:tc>
        <w:tc>
          <w:tcPr>
            <w:tcW w:w="9880" w:type="dxa"/>
            <w:vAlign w:val="bottom"/>
            <w:gridSpan w:val="11"/>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Certification by Chief Financial Officer of Periodic Financial Reports pursuant to Section 906 of the Sarbanes-Oxley Act of 2002, 18</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426"/>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5"/>
              </w:rPr>
              <w:t>99.1</w:t>
            </w:r>
          </w:p>
        </w:tc>
        <w:tc>
          <w:tcPr>
            <w:tcW w:w="9880" w:type="dxa"/>
            <w:vAlign w:val="bottom"/>
            <w:gridSpan w:val="1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Unaudited Attributed Financial Information for Fidelity National Financial Group Tracking Stock</w:t>
              </w:r>
            </w:hyperlink>
          </w:p>
        </w:tc>
      </w:tr>
      <w:tr>
        <w:trPr>
          <w:trHeight w:val="20"/>
        </w:trPr>
        <w:tc>
          <w:tcPr>
            <w:tcW w:w="1140" w:type="dxa"/>
            <w:vAlign w:val="bottom"/>
          </w:tcPr>
          <w:p>
            <w:pPr>
              <w:spacing w:after="0" w:line="20" w:lineRule="exact"/>
              <w:rPr>
                <w:sz w:val="1"/>
                <w:szCs w:val="1"/>
                <w:color w:val="auto"/>
              </w:rPr>
            </w:pPr>
          </w:p>
        </w:tc>
        <w:tc>
          <w:tcPr>
            <w:tcW w:w="7040" w:type="dxa"/>
            <w:vAlign w:val="bottom"/>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412"/>
        </w:trPr>
        <w:tc>
          <w:tcPr>
            <w:tcW w:w="1140" w:type="dxa"/>
            <w:vAlign w:val="bottom"/>
          </w:tcPr>
          <w:p>
            <w:pPr>
              <w:jc w:val="center"/>
              <w:ind w:right="750"/>
              <w:spacing w:after="0"/>
              <w:rPr>
                <w:sz w:val="20"/>
                <w:szCs w:val="20"/>
                <w:color w:val="auto"/>
              </w:rPr>
            </w:pPr>
            <w:r>
              <w:rPr>
                <w:rFonts w:ascii="Arial" w:cs="Arial" w:eastAsia="Arial" w:hAnsi="Arial"/>
                <w:sz w:val="18"/>
                <w:szCs w:val="18"/>
                <w:color w:val="auto"/>
                <w:w w:val="85"/>
              </w:rPr>
              <w:t>99.2</w:t>
            </w:r>
          </w:p>
        </w:tc>
        <w:tc>
          <w:tcPr>
            <w:tcW w:w="77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Unaudited Attributed Financial Information for Fidelity National Financial Ventures Group Tracking Stock</w:t>
              </w:r>
            </w:hyperlink>
          </w:p>
        </w:tc>
        <w:tc>
          <w:tcPr>
            <w:tcW w:w="2160" w:type="dxa"/>
            <w:vAlign w:val="bottom"/>
            <w:gridSpan w:val="3"/>
          </w:tcPr>
          <w:p>
            <w:pPr>
              <w:spacing w:after="0"/>
              <w:rPr>
                <w:sz w:val="24"/>
                <w:szCs w:val="24"/>
                <w:color w:val="auto"/>
              </w:rPr>
            </w:pPr>
          </w:p>
        </w:tc>
      </w:tr>
    </w:tbl>
    <w:p>
      <w:pPr>
        <w:spacing w:after="0" w:line="256" w:lineRule="exact"/>
        <w:rPr>
          <w:sz w:val="20"/>
          <w:szCs w:val="20"/>
          <w:color w:val="auto"/>
        </w:rPr>
      </w:pPr>
    </w:p>
    <w:p>
      <w:pPr>
        <w:jc w:val="both"/>
        <w:ind w:left="1520" w:hanging="1127"/>
        <w:spacing w:after="0" w:line="257"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September 30, 2017,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1" w:right="2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November 2, 2017</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November 2, 2017</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Group (“we,” or “our,”). The financial information in this Exhibit should be read in conjunction with our unaudited condensed consolidated financial statements for the period ended September 30, 2017 included in this Quarterly Report on Form 10-Q.</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is comprised of three operating segments as follows: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Group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segment consists of the operations of the parent holding company, certain other unallocated corporate overhead expenses, and other real estate operations.</w:t>
      </w:r>
    </w:p>
    <w:p>
      <w:pPr>
        <w:spacing w:after="0" w:line="2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and the FNFV Group (see Exhibit 99.2).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 Group,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 Group common stock are subject to risks associated with an investment in FNF, Inc. and all of its businesses, assets and liabilities.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2016 for further discussion of risks associated with our tracking stock structure.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w w:val="99"/>
              </w:rPr>
              <w:t>Fixed maturity securities available for sale, at fair value, at September 30, 2017 and December 31, 2016 includes pledged fixed maturity</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securities of $367 and $332, respectively, related to secured trust deposits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2,131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Short-term investments, at September 30, 2017 and December 31, 2016 includes short-term investments of $0 and $212 related to secured trust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 respectively</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Cash and cash equivalents, at September 30, 2017 and December 31, 2016 includes $568 and $331, respectively, of pledged cash related to secured</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9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trust deposits</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$20 and $21 at September 30, 2017 and December 31, 2016, respectively</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2,555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Title plant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Assets of discontinued operations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3,761</w:t>
            </w:r>
          </w:p>
        </w:tc>
        <w:tc>
          <w:tcPr>
            <w:tcW w:w="0" w:type="dxa"/>
            <w:vAlign w:val="bottom"/>
          </w:tcPr>
          <w:p>
            <w:pPr>
              <w:spacing w:after="0"/>
              <w:rPr>
                <w:sz w:val="1"/>
                <w:szCs w:val="1"/>
                <w:color w:val="auto"/>
              </w:rPr>
            </w:pPr>
          </w:p>
        </w:tc>
      </w:tr>
      <w:tr>
        <w:trPr>
          <w:trHeight w:val="243"/>
        </w:trPr>
        <w:tc>
          <w:tcPr>
            <w:tcW w:w="858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13,063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 for title claim losses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Secured trust deposits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Deferred tax liability</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 of discontinued operations</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4,591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6,853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3"/>
              </w:rPr>
              <w:t>FNF Group common stock, $0.0001 par value; authorized 487,000,000 shares as of September 30, 2017 and December 31, 2016; outstanding</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3"/>
              </w:rPr>
              <w:t>of 273,154,429 and 272,205,261 as of September 30, 2017 and December 31, 2016, respectively, and issued of 285,992,115 and 285,041,900</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as of September 30, 2017 and December 31, 2016, respectively</w:t>
            </w: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1,791</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12,837,686 and 12,836,639 shares as of September 30, 2017 and December 31, 2016, respectively</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Group shareholders’ equity</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5,866</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9,190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138"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Earnings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ectPr>
          <w:pgSz w:w="11900" w:h="16838" w:orient="portrait"/>
          <w:cols w:equalWidth="0" w:num="1">
            <w:col w:w="11420"/>
          </w:cols>
          <w:pgMar w:left="240" w:top="364" w:right="239" w:bottom="1440" w:gutter="0" w:footer="0" w:header="0"/>
        </w:sectPr>
      </w:pPr>
    </w:p>
    <w:p>
      <w:pPr>
        <w:spacing w:after="0" w:line="238"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 ended</w:t>
      </w:r>
    </w:p>
    <w:p>
      <w:pPr>
        <w:spacing w:after="0" w:line="49"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33020</wp:posOffset>
            </wp:positionV>
            <wp:extent cx="1397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58" w:lineRule="exact"/>
        <w:rPr>
          <w:sz w:val="20"/>
          <w:szCs w:val="20"/>
          <w:color w:val="auto"/>
        </w:rPr>
      </w:pPr>
    </w:p>
    <w:p>
      <w:pPr>
        <w:ind w:left="7340"/>
        <w:spacing w:after="0"/>
        <w:tabs>
          <w:tab w:leader="none" w:pos="84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52070</wp:posOffset>
            </wp:positionV>
            <wp:extent cx="1397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89"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Nine months ended</w:t>
      </w:r>
    </w:p>
    <w:p>
      <w:pPr>
        <w:spacing w:after="0" w:line="3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33020</wp:posOffset>
            </wp:positionV>
            <wp:extent cx="1355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58"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52070</wp:posOffset>
            </wp:positionV>
            <wp:extent cx="1355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(Unaudited)</w:t>
      </w:r>
    </w:p>
    <w:p>
      <w:pPr>
        <w:spacing w:after="0" w:line="90" w:lineRule="exact"/>
        <w:rPr>
          <w:sz w:val="20"/>
          <w:szCs w:val="20"/>
          <w:color w:val="auto"/>
        </w:rPr>
      </w:pPr>
    </w:p>
    <w:p>
      <w:pPr>
        <w:sectPr>
          <w:pgSz w:w="11900" w:h="16838" w:orient="portrait"/>
          <w:cols w:equalWidth="0" w:num="2">
            <w:col w:w="8920" w:space="720"/>
            <w:col w:w="178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6980" w:type="dxa"/>
            <w:vAlign w:val="bottom"/>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1,744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Earnings from continuing operations before income taxes and equity in losses of unconsolidated affiliates</w:t>
            </w: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Earnings from discontinued operations, net of tax</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Earnings Per Share</w:t>
            </w: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type w:val="continuous"/>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September 30,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454</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270</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Impairment of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pledged cash, pledged investments, and secured trust deposits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in reserve for title claim losses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from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340</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the sale of cost method and other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Additions to property and equipment and capitalized software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(purchases of) proceeds from short-term investment securities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289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Contributions to investments in unconsolidated affiliates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from investments in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other investing activities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of Title Guaranty of Hawaii,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Acquisition of Commissions, Inc., net of cash acquired</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acquisitions/disposals of businesses, net of cash acquired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Borrowings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Debt service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Black Knight treasury stock repurchases of BKFS stock</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Equity portion of debt conversions paid in cash</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Cash transferred in Black Knight spin-off</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treasury stock</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 excluding pledged cash related to secured trust deposits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9440" w:type="dxa"/>
            <w:vAlign w:val="bottom"/>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641</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631</w:t>
            </w:r>
          </w:p>
        </w:tc>
      </w:tr>
      <w:tr>
        <w:trPr>
          <w:trHeight w:val="20"/>
        </w:trPr>
        <w:tc>
          <w:tcPr>
            <w:tcW w:w="9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jc w:val="center"/>
        <w:ind w:right="20"/>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360"/>
          </w:cols>
          <w:pgMar w:left="280" w:top="364" w:right="259" w:bottom="678" w:gutter="0" w:footer="0" w:header="0"/>
        </w:sect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364" w:right="259" w:bottom="678"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Tracking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FNF Group is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September 29, 2017, we completed our previously announced tax-free distribution, to FNF Group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publicly-traded holding company, Black Knight, Inc. ("New Black Knight"). Holders of FNF Group common stock received approximately 0.30663 shares of New Black Knight common stock for every one share of FNF Group common stock held at the close of business on September 20, 2017, the record date for the BK Distribution. New Black Knight's common stock is now listed under the symbol “BKI” on the New York Stock Exchange. The BK Distribution is expected to generally be tax-free to FNF Group shareholders for U.S. federal income tax purposes, except to the extent of any cash received in lieu of New Black Knight's fractional shares. As a result of the BK Distribution, we have reclassified the assets and liabilities divested as assets and liabilities of discontinued operations in our Condensed Consolidated Balance Sheet as of December 31, 2016. Further, the financial results of Black Knight have been reclassified to discontinued operations for all periods presented in our Condensed Consolidated Statements of Operations. See Note K.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for further details of the results of Black Knight.</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August 31, 2017, FNF Group completed its acquisition of 90% of the membership interests of Title Guaranty of Hawaii ("Title Guaranty") for $98 million. Title Guaranty was previously an unaffiliated agent and will continue to be closely aligned with Chicago Title as it formally becomes part of the FNF title company family. Founded in 1896, Title Guaranty is the oldest title company in the State of Hawaii and is a leading provider of title and escrow services, with more than 300 employees in branches across the State of Hawaii providing title insurance and real estate closing services. See Note J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discussion.</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May 24, 2017, we entered into certain equity commitment letters (the “Equity Commitment Letters”) with CF Corporation, a Cayman Islands exempted company (“CFCOU”), relating to its plan of merger (the "Merger" or “Merger Agreement”), dated May 24, 2017, among CFCOU, Fidelity &amp; Guaranty Life, a Delaware corporation (“FGL”), and the other parties thereto. Pursuant to the Equity Commitment Letters, the Company has committed (the "FNF Commitment"), on the terms and subject to the conditions set forth therein, at the closing under the Merger Agreement, to purchase, or cause the purchase of, equity of CFCOU for an aggregate cash purchase price equal to $235 million plus up to an aggregate of $195 million to offset any redemptions of CFCOU’s ordinary shares made in connection with its shareholder vote to approve the transaction. The cash purchase price of $235 million includes: (i) $135 million of ordinary shares of CFCOU for $10.00 per share, and (ii) $100 million of preferred shares, plus additional amounts, if any, pursuant to the Company’s commitment to offset a portion of the redemptions of CFCOU’s ordinary shares, if any, and warrants. The shareholder vote was held on August 8, 2017 and the Merger was unanimously approved. No shareholders elected to have their public shares redeemed in connection with the Merger. Additionally, the Company has committed, on the terms and subject to the conditions set forth therein, at the Closing, to purchase, or cause the purchase of, equity of CFCOU for an aggregate cash purchase price equal to two-thirds (2/3) of the aggregate amount, if any, not funded by one or more purchasers under the forward purchase agreements between CFCOU, CF Capital Growth, LLC and the counterparties thereto, up to an aggregate amount of $200 million.</w:t>
      </w:r>
    </w:p>
    <w:p>
      <w:pPr>
        <w:spacing w:after="0" w:line="6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consideration for the FNF Commitment and the agreements of the Company under the Equity Commitment Letters, the Company also entered into a fee letter agreement with CFCOU, dated May 24, 2017, pursuant to which CFCOU has agreed to pay to the Company the following fees at the closing of the Merger: (i) the original issue discount of $2 million in respect of the preferred shares; (ii) a commitment fee of $3 million; (iii) penny warrants convertible, in the aggregate, for 1.2% of CFCOU’s ordinary shares (on a fully diluted basis); and (iv) if, and to the extent, any amount of the preferred equity under the Company’s backstop commitment is funded (the “Backstop Equity”), (x) a funding fee of 0.5% of the amount of the Backstop Equity that is funded, and (y) penny warrants attached to the Backstop Equity that are convertible, in the aggregate, for the result of (1)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proportion of the Backstop Equity that is funded, and (2) 1.5% of CFCOU’s ordinary shares. The Merger is expected to close in the fourth quarter of 2017, subject to the receipt of required regulatory approvals and other customary closing conditions. In addition to the Equity Commitment Letters and FNF Commitment, the Company holds $37 million of equity securities of CFCOU as of September 30, 2017. The Company’s non-executive Chairman, William P. Foley, II, is also the Co-Executive Chairman of CF Corporation.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22, 2017, FNF Group completed its acquisition of Hudson &amp; Marshall, LLC. ("H&amp;M"), a full-service auction company and one of the nation's top real estate and property auction providers, for $53 million. FNF and H&amp;M expect to partner to further enhance the services FNF can provide to its lender, servicer and real estate agent relationships. Additionally, H&amp;M will be powering ServiceLink Auction, a new, results-driven, full-service auction platform that will be fully integrated with ServiceLink's suite of products and technologies.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 2017, our Board of Directors adopted a resolution to increase the size of our Board of Directors to thirteen and elected Heather H. Murren to serve on our Board of Directors. Ms. Murren will serve in Class I of our Board of Directors, and her term will expire at the annual meeting of our shareholders to be held in 2018. At this time, Ms. Murren has not been appointed to any committee of our Board.</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2017 regulatory approval was received for three of the Company’s title insurance underwriters, Fidelity National Title Insurance Company, Chicago Title Insurance Company and Commonwealth Land Title Insurance Company, to redomesticate from their existing states of domicile to Florida (the "Redomestication") effective March 1, 2017. In conjunction with the Redomestication, the Company received a special dividend from these title insurance underwriters of $280 million on March 15, 2017.</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September 30, 2017 included in this Quarterly Report on Form 10-Q.</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FNFV group, our diversified investment holding company, we own majority and minority equity investment stakes in a number of entities, including American Blue Ribbon Holdings, LLC ("ABRH") and Ceridian HCM, Inc. ("Ceridian").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264"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w:t>
      </w:r>
    </w:p>
    <w:p>
      <w:pPr>
        <w:spacing w:after="0" w:line="127" w:lineRule="exact"/>
        <w:rPr>
          <w:rFonts w:ascii="Arial" w:cs="Arial" w:eastAsia="Arial" w:hAnsi="Arial"/>
          <w:sz w:val="18"/>
          <w:szCs w:val="18"/>
          <w:i w:val="1"/>
          <w:iCs w:val="1"/>
          <w:color w:val="auto"/>
        </w:rPr>
      </w:pPr>
    </w:p>
    <w:p>
      <w:pPr>
        <w:jc w:val="both"/>
        <w:ind w:left="660" w:hanging="409"/>
        <w:spacing w:after="0" w:line="264"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FNFV Corporate and Other. </w:t>
      </w:r>
      <w:r>
        <w:rPr>
          <w:rFonts w:ascii="Arial" w:cs="Arial" w:eastAsia="Arial" w:hAnsi="Arial"/>
          <w:sz w:val="18"/>
          <w:szCs w:val="18"/>
          <w:color w:val="auto"/>
        </w:rPr>
        <w:t>This segment primarily consists of our share in the operations of certain equity investments, including Ceridian,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 smaller investments which are not title-related. This segment also includes the results of operations of Digital Insurance, Inc. ("OneDigital"), in which we held 96% ownership, through the date it was sold, June 6, 2017.</w:t>
      </w:r>
    </w:p>
    <w:p>
      <w:pPr>
        <w:spacing w:after="0" w:line="2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(see Exhibit 99.1) and the FNFV Group.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FNFV,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FNFV Group common stock are subject to risks associated with an investment in FNF, Inc. and all of its businesses, assets and liabilities. The issuance of FNFV Group common stock does not affect the rights of FNF, Inc.'s creditors or creditors of its subsidiaries.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2016 for further discussion of risks associated with our tracking stock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858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Fixed maturity securities available for sale,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 available for sale,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Due to affiliates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FNFV Group common stock, $0.0001 par value; authorized 113,000,000 shares as of September 30, 2017 and December 31,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2016; outstanding of 64,864,950 and 66,416,822 as of September 30, 2017 and December 31, 2016, respectively, and issued of</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80,581,675 as of both September 30, 2017 and December 31, 2016</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 (deficit)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Less: treasury stock, 15,716,725 and 14,164,853 shares as of September 30, 2017 and December 31, 2016,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Three months ended September</w:t>
            </w:r>
          </w:p>
        </w:tc>
        <w:tc>
          <w:tcPr>
            <w:tcW w:w="200" w:type="dxa"/>
            <w:vAlign w:val="bottom"/>
          </w:tcPr>
          <w:p>
            <w:pPr>
              <w:spacing w:after="0"/>
              <w:rPr>
                <w:sz w:val="14"/>
                <w:szCs w:val="14"/>
                <w:color w:val="auto"/>
              </w:rPr>
            </w:pPr>
          </w:p>
        </w:tc>
        <w:tc>
          <w:tcPr>
            <w:tcW w:w="15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5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 net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(Loss) earnings from continuing operations before income taxes and equity in losses of unconsolidated affiliates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(Loss) earnings from continuing operations before equity in losses of unconsolidated affiliates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affiliates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 earnings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earnings attributable to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96"/>
        </w:trPr>
        <w:tc>
          <w:tcPr>
            <w:tcW w:w="7440" w:type="dxa"/>
            <w:vAlign w:val="bottom"/>
          </w:tcPr>
          <w:p>
            <w:pPr>
              <w:ind w:left="40"/>
              <w:spacing w:after="0"/>
              <w:rPr>
                <w:sz w:val="20"/>
                <w:szCs w:val="20"/>
                <w:color w:val="auto"/>
              </w:rPr>
            </w:pPr>
            <w:r>
              <w:rPr>
                <w:rFonts w:ascii="Arial" w:cs="Arial" w:eastAsia="Arial" w:hAnsi="Arial"/>
                <w:sz w:val="14"/>
                <w:szCs w:val="14"/>
                <w:color w:val="auto"/>
              </w:rPr>
              <w:t>Net (loss) earnings attributable to FNFV Group common shareholders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1"/>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per share attributable to FNFV Group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per share attributable to FNFV Group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0"/>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70"/>
        </w:trPr>
        <w:tc>
          <w:tcPr>
            <w:tcW w:w="9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OneDigital</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Impairment of assets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trade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(increase) decrease in prepaid expenses and other assets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(decrease) in accounts payable, accrued liabilities, deferred revenue and 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other long 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Proceeds from the sale of cost method and other investments</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proceeds from short-term 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OneDigital</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for withholding taxes on stock-based compensation for shares withheld from participants and in treasury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Through FNFV group, our diversified investment holding company, we own majority and minority equity investment stakes in a number of entities, including American Blue Ribbon Holdings, LLC ("ABRH") and Ceridian HCM, Inc. ("Ceridian"), subject to an anticipated Split-Off, as described under </w:t>
      </w:r>
      <w:r>
        <w:rPr>
          <w:rFonts w:ascii="Arial" w:cs="Arial" w:eastAsia="Arial" w:hAnsi="Arial"/>
          <w:sz w:val="18"/>
          <w:szCs w:val="18"/>
          <w:i w:val="1"/>
          <w:iCs w:val="1"/>
          <w:color w:val="auto"/>
        </w:rPr>
        <w:t xml:space="preserve">Recent Developments </w:t>
      </w:r>
      <w:r>
        <w:rPr>
          <w:rFonts w:ascii="Arial" w:cs="Arial" w:eastAsia="Arial" w:hAnsi="Arial"/>
          <w:sz w:val="18"/>
          <w:szCs w:val="18"/>
          <w:color w:val="auto"/>
        </w:rPr>
        <w:t>in this Note A.</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16, 2017, FNFV Group completed its acquisition of T-System Holdings LLC ("T-System") for $200 million in cash. T-System is a provider of clinical documentation and coding solutions to hospital-based and free-standing emergency departments and urgent care facilities. T-System offers software solutions providing clinical staff full workflow operations that drive documentation completeness and revenue optimization, and provides a full-service outsourced coding solution as well as a cloud-based SaaS solution for self-service coding.</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3, 2017, FNFV LLC entered into a definitive agreement (the "99 Merger Agreement"), by and among J. Alexander's Holdings, Inc. ("J. Alexander's"), its subsidiary J. Alexander's Holdings, LLC ("JAX Op"), Nitro Merger Sub, Inc. ("Merger Sub"), a wholly-owned subsidiary of JAX Op, Fidelity Newport Holdings, LLC ("FNH", together with FNFV LLC, the "99 Sellers"), and 99 Restaurants, LLC ("99 Restaurants"), to merge Merger Sub with and into 99 Restaurants, whereupon the separate existence of Merger Sub shall cease and 99 Restaurants shall continue as the surviving company and a wholly-owned subsidiary of JAX Op (the "99 Merger"). 99 Restaurants is the owner of our Ninety Nine Restaurant &amp; Pub restaurant concept. Pursuant to the 99 Merger Agreement, FNH will exchange 100% of its ownership interest in 99 Restaurants for common share equivalents of J. Alexander's (as described below).</w:t>
      </w:r>
    </w:p>
    <w:p>
      <w:pPr>
        <w:spacing w:after="0" w:line="81" w:lineRule="exact"/>
        <w:rPr>
          <w:sz w:val="20"/>
          <w:szCs w:val="20"/>
          <w:color w:val="auto"/>
        </w:rPr>
      </w:pPr>
    </w:p>
    <w:p>
      <w:pPr>
        <w:jc w:val="both"/>
        <w:ind w:firstLine="717"/>
        <w:spacing w:after="0" w:line="270" w:lineRule="auto"/>
        <w:rPr>
          <w:sz w:val="20"/>
          <w:szCs w:val="20"/>
          <w:color w:val="auto"/>
        </w:rPr>
      </w:pPr>
      <w:r>
        <w:rPr>
          <w:rFonts w:ascii="Arial" w:cs="Arial" w:eastAsia="Arial" w:hAnsi="Arial"/>
          <w:sz w:val="17"/>
          <w:szCs w:val="17"/>
          <w:color w:val="auto"/>
        </w:rPr>
        <w:t>Under the terms of the 99 Merger Agreement, 99 Restaurants will be valued at an enterprise value of $199 million, with consideration to be paid to the 99 Sellers by J. Alexander's and JAX Op consisting of newly issued equity valued at $179 million, issued in the form of 16.3 million new Class B Units of JAX Op and 16.3 million shares of new Class B Common Stock of J. Alexander's, and the assumption of $20 million of net debt. For purposes of the 99 Merger, each Class B Unit, together with one share of Class B Common Stock, will be issued at an agreed price of $11.00. Prior to the 99 Merger, 99 Restaurants will assume $60 million of currently outstanding debt of certain of its affiliates and FNFV LLC will contribute $40 million to 99 Restaurants in exchange for newly issued membership interest in 99 Restaurants. The proceeds of this cash contribution will be used by J. Alexander's to repay a portion of the assumed debt immediately following the closing of the 99 Merger. William P. Foley, II will join the J. Alexander's Board of Directors and it is expected that Lonnie J. Stout II will remain Chief Executive Officer of the combined company. Closing of the 99 Merger is contingent on customary closing conditions, including approval of the shareholders of J. Alexander's and certain regulatory clearances, and is expected late in the fourth quarter of 2017 or early in the first quarter of 2018.</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May 5, 2017 we signed a definitive agreement to sell Digital Insurance, LLC ("OneDigital") for $560 million in an all-cash transaction. The sale was finalized on June 6, 2017. After repayment of debt, payout to option holders and a minority equity investor and other transaction related payments, FNFV Group received $331 million from the sale, which includes $325 million of cash and $5 million of purchase price holdback receivable. We recognized a pre-tax gain of $276 million on the sale which is included in Realized gains and losses, net on the Condensed Consolidated Statement of Earnings.</w:t>
      </w:r>
    </w:p>
    <w:p>
      <w:pPr>
        <w:spacing w:after="0" w:line="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7, 2016, we announced that our Board of Directors approved a tax-free plan (the "Split-off" or "Split-off Plan") whereby we intend to redeem all FNFV shares in exchange for shares of common stock of Cannae Holdings, Inc. Following the distribution, FNF and FNFV will each be independent, fully-distributed, publicly-traded common stocks, with FNF and FNFV no longer being tracking stocks. On May 10, 2017 we received the private letter ruling from the Internal Revenue Service ("IRS") approving certain aspects relating to the Split-off Plan. The Split-off Plan is subject to the filing and acceptance of a registration statement with the Securities and Exchange Commission (the "SEC"), FNFV shareholder approval and other customary closing conditions. On October 19, 2017, the SEC declared the registration statement for the Split-off Plan effective and the proxy statement was mailed to shareholders. A special meeting of stockholders to approve the Split-off Plan will be held on November 17, 2017.</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9" w:name="page60"/>
    <w:bookmarkEnd w:id="59"/>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 including allocations of certain corporate assets and liabilities primarily related to taxes: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r>
      <w:tr>
        <w:trPr>
          <w:trHeight w:val="270"/>
        </w:trPr>
        <w:tc>
          <w:tcPr>
            <w:tcW w:w="8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Majority Owned Subsidiaries consolidated into the results of FNFV:</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American Blue Ribbon Holdings, LLC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173</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OneDigital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i w:val="1"/>
                <w:iCs w:val="1"/>
                <w:color w:val="auto"/>
              </w:rPr>
              <w:t>Minority Owned Subsidiaries or other ventures: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Ceridian/Fleetcor (33% minority equity interest)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Del Frisco's Restaurant Group</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49</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 Company cash and short 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ventures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104</w:t>
            </w:r>
          </w:p>
        </w:tc>
      </w:tr>
      <w:tr>
        <w:trPr>
          <w:trHeight w:val="27"/>
        </w:trPr>
        <w:tc>
          <w:tcPr>
            <w:tcW w:w="8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FNFV Book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916</w:t>
            </w:r>
          </w:p>
        </w:tc>
      </w:tr>
      <w:tr>
        <w:trPr>
          <w:trHeight w:val="20"/>
        </w:trPr>
        <w:tc>
          <w:tcPr>
            <w:tcW w:w="8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01"/>
    </w:lvl>
  </w:abstractNum>
  <w:abstractNum w:abstractNumId="11">
    <w:nsid w:val="7FDCC233"/>
    <w:multiLevelType w:val="hybridMultilevel"/>
    <w:lvl w:ilvl="0">
      <w:lvlJc w:val="left"/>
      <w:lvlText w:val="%1"/>
      <w:numFmt w:val="decimal"/>
      <w:start w:val="10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26" Type="http://schemas.openxmlformats.org/officeDocument/2006/relationships/hyperlink" Target="http://www.sec.gov/Archives/edgar/data/1331875/000104746917003921/a2232187zex-2_1.htm" TargetMode="External"/><Relationship Id="rId27" Type="http://schemas.openxmlformats.org/officeDocument/2006/relationships/hyperlink" Target="http://www.sec.gov/Archives/edgar/data/1331875/000104746917003921/a2232187zex-2_2.htm" TargetMode="External"/><Relationship Id="rId28" Type="http://schemas.openxmlformats.org/officeDocument/2006/relationships/hyperlink" Target="http://www.sec.gov/Archives/edgar/data/1331875/000133187517000034/ex101abrhfirstamendment.htm" TargetMode="External"/><Relationship Id="rId29" Type="http://schemas.openxmlformats.org/officeDocument/2006/relationships/hyperlink" Target="http://www.sec.gov/Archives/edgar/data/1331875/000133187517000046/ex102fourth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2019-12-29T04:07:10Z</dcterms:created>
  <dcterms:modified xsi:type="dcterms:W3CDTF">2019-12-29T04:07:10Z</dcterms:modified>
</cp:coreProperties>
</file>