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6"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9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820" w:val="left"/>
          <w:tab w:leader="none" w:pos="4960" w:val="left"/>
          <w:tab w:leader="none" w:pos="70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204" w:lineRule="exact"/>
        <w:rPr>
          <w:sz w:val="24"/>
          <w:szCs w:val="24"/>
          <w:color w:val="auto"/>
        </w:rPr>
      </w:pPr>
    </w:p>
    <w:p>
      <w:pPr>
        <w:jc w:val="both"/>
        <w:ind w:right="20"/>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April 15, 2019 were:</w:t>
      </w:r>
    </w:p>
    <w:p>
      <w:pPr>
        <w:spacing w:after="0" w:line="117" w:lineRule="exact"/>
        <w:rPr>
          <w:sz w:val="24"/>
          <w:szCs w:val="24"/>
          <w:color w:val="auto"/>
        </w:rPr>
      </w:pPr>
    </w:p>
    <w:p>
      <w:pPr>
        <w:spacing w:after="0"/>
        <w:tabs>
          <w:tab w:leader="none" w:pos="1660" w:val="left"/>
        </w:tabs>
        <w:rPr>
          <w:sz w:val="20"/>
          <w:szCs w:val="20"/>
          <w:color w:val="auto"/>
        </w:rPr>
      </w:pPr>
      <w:r>
        <w:rPr>
          <w:rFonts w:ascii="Arial" w:cs="Arial" w:eastAsia="Arial" w:hAnsi="Arial"/>
          <w:sz w:val="18"/>
          <w:szCs w:val="18"/>
          <w:color w:val="auto"/>
        </w:rPr>
        <w:t>FNF Common Stock</w:t>
      </w:r>
      <w:r>
        <w:rPr>
          <w:sz w:val="20"/>
          <w:szCs w:val="20"/>
          <w:color w:val="auto"/>
        </w:rPr>
        <w:tab/>
      </w:r>
      <w:r>
        <w:rPr>
          <w:rFonts w:ascii="Arial" w:cs="Arial" w:eastAsia="Arial" w:hAnsi="Arial"/>
          <w:sz w:val="16"/>
          <w:szCs w:val="16"/>
          <w:color w:val="auto"/>
        </w:rPr>
        <w:t>274,856,177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March 31, 2019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6"/>
          </w:tcPr>
          <w:p>
            <w:pPr>
              <w:spacing w:after="0" w:line="202"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75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March 31, 2019 and December 31, 2018</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Earnings for the three-month periods ended March 31, 2019 and 2018</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2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 Condensed Consolidated Statements of Comprehensive Earnings for the three-month periods ended March 31, 2019 and 2018</w:t>
              </w:r>
            </w:hyperlink>
          </w:p>
        </w:tc>
        <w:tc>
          <w:tcPr>
            <w:tcW w:w="4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79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D. Condensed Consolidated Statements of Equity for the three-month periods ended March 31, 2019 and 2018</w:t>
              </w:r>
            </w:hyperlink>
          </w:p>
        </w:tc>
        <w:tc>
          <w:tcPr>
            <w:tcW w:w="17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8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E. Condensed Consolidated Statements of Cash Flows for the three-month periods ended March 31, 2019 and 2018</w:t>
              </w:r>
            </w:hyperlink>
          </w:p>
        </w:tc>
        <w:tc>
          <w:tcPr>
            <w:tcW w:w="142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1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F. Notes to Condensed Consolidated Financial Statements</w:t>
              </w:r>
            </w:hyperlink>
          </w:p>
        </w:tc>
        <w:tc>
          <w:tcPr>
            <w:tcW w:w="5560" w:type="dxa"/>
            <w:vAlign w:val="bottom"/>
            <w:gridSpan w:val="9"/>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9"/>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4.</w:t>
              </w:r>
            </w:hyperlink>
          </w:p>
        </w:tc>
        <w:tc>
          <w:tcPr>
            <w:tcW w:w="4320" w:type="dxa"/>
            <w:vAlign w:val="bottom"/>
            <w:gridSpan w:val="8"/>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48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1.</w:t>
              </w:r>
            </w:hyperlink>
          </w:p>
        </w:tc>
        <w:tc>
          <w:tcPr>
            <w:tcW w:w="1360" w:type="dxa"/>
            <w:vAlign w:val="bottom"/>
            <w:tcBorders>
              <w:top w:val="single" w:sz="8" w:color="0000FF"/>
            </w:tcBorders>
            <w:gridSpan w:val="2"/>
          </w:tcPr>
          <w:p>
            <w:pPr>
              <w:ind w:left="20"/>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2.</w:t>
              </w:r>
            </w:hyperlink>
          </w:p>
        </w:tc>
        <w:tc>
          <w:tcPr>
            <w:tcW w:w="4380" w:type="dxa"/>
            <w:vAlign w:val="bottom"/>
            <w:gridSpan w:val="9"/>
          </w:tcPr>
          <w:p>
            <w:pPr>
              <w:ind w:left="2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Unregistered Sales of Equity Securities and Use of Proceeds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Item 6.</w:t>
              </w:r>
            </w:hyperlink>
          </w:p>
        </w:tc>
        <w:tc>
          <w:tcPr>
            <w:tcW w:w="4380" w:type="dxa"/>
            <w:vAlign w:val="bottom"/>
            <w:gridSpan w:val="9"/>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Arial" w:cs="Arial" w:eastAsia="Arial" w:hAnsi="Arial"/>
                <w:sz w:val="14"/>
                <w:szCs w:val="14"/>
                <w:color w:val="auto"/>
                <w:w w:val="94"/>
              </w:rPr>
              <w:t>(Dollars in millions, except share data)</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2"/>
        </w:trPr>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Arial" w:cs="Arial" w:eastAsia="Arial" w:hAnsi="Arial"/>
                <w:sz w:val="14"/>
                <w:szCs w:val="14"/>
                <w:b w:val="1"/>
                <w:bCs w:val="1"/>
                <w:color w:val="auto"/>
                <w:w w:val="96"/>
              </w:rPr>
              <w:t>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4"/>
              </w:rPr>
              <w:t>Fixed maturity securities available for sale, at fair value, at March 31, 2019 and December 31, 2018 includes pledged fixed maturity</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securities of $423 and $418, respectively, related to secured trust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securities, at fair value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1"/>
              </w:rPr>
              <w:t>Short-term investments, at March 31, 2019 and December 31, 2018 includes short-term investments of $2 and $8, respectively, related</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to secured trust deposits</w:t>
            </w:r>
          </w:p>
        </w:tc>
        <w:tc>
          <w:tcPr>
            <w:tcW w:w="1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3,549</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2"/>
              </w:rPr>
              <w:t>Cash and cash equivalents, at March 31, 2019 and December 31, 2018 includes $300 and $412, respectively, of pledged cash related to</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secured trust deposits</w:t>
            </w:r>
          </w:p>
        </w:tc>
        <w:tc>
          <w:tcPr>
            <w:tcW w:w="1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$19 at March 31, 2019 and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Note receivable from Cannae Holdings, Inc., see Note A</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Lease assets, see Note K</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Title plants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taxes receivable</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9,647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9,301</w:t>
            </w:r>
          </w:p>
        </w:tc>
        <w:tc>
          <w:tcPr>
            <w:tcW w:w="0" w:type="dxa"/>
            <w:vAlign w:val="bottom"/>
          </w:tcPr>
          <w:p>
            <w:pPr>
              <w:spacing w:after="0"/>
              <w:rPr>
                <w:sz w:val="1"/>
                <w:szCs w:val="1"/>
                <w:color w:val="auto"/>
              </w:rPr>
            </w:pPr>
          </w:p>
        </w:tc>
      </w:tr>
      <w:tr>
        <w:trPr>
          <w:trHeight w:val="163"/>
        </w:trPr>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60" w:type="dxa"/>
            <w:vAlign w:val="bottom"/>
            <w:shd w:val="clear" w:color="auto" w:fill="CCEEFF"/>
          </w:tcPr>
          <w:p>
            <w:pPr>
              <w:jc w:val="center"/>
              <w:ind w:left="980"/>
              <w:spacing w:after="0" w:line="151" w:lineRule="exact"/>
              <w:rPr>
                <w:sz w:val="20"/>
                <w:szCs w:val="20"/>
                <w:color w:val="auto"/>
              </w:rPr>
            </w:pPr>
            <w:r>
              <w:rPr>
                <w:rFonts w:ascii="Arial" w:cs="Arial" w:eastAsia="Arial" w:hAnsi="Arial"/>
                <w:sz w:val="14"/>
                <w:szCs w:val="14"/>
                <w:b w:val="1"/>
                <w:bCs w:val="1"/>
                <w:color w:val="auto"/>
              </w:rPr>
              <w:t>LIABILITIES AND EQUITY</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Notes payable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Reserve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Secured trust deposits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Lease liabilities, see Note K</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4,538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4,329</w:t>
            </w:r>
          </w:p>
        </w:tc>
        <w:tc>
          <w:tcPr>
            <w:tcW w:w="0" w:type="dxa"/>
            <w:vAlign w:val="bottom"/>
          </w:tcPr>
          <w:p>
            <w:pPr>
              <w:spacing w:after="0"/>
              <w:rPr>
                <w:sz w:val="1"/>
                <w:szCs w:val="1"/>
                <w:color w:val="auto"/>
              </w:rPr>
            </w:pPr>
          </w:p>
        </w:tc>
      </w:tr>
      <w:tr>
        <w:trPr>
          <w:trHeight w:val="33"/>
        </w:trPr>
        <w:tc>
          <w:tcPr>
            <w:tcW w:w="1360" w:type="dxa"/>
            <w:vAlign w:val="bottom"/>
            <w:tcBorders>
              <w:bottom w:val="single" w:sz="8" w:color="CCEEFF"/>
            </w:tcBorders>
            <w:gridSpan w:val="2"/>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2"/>
              </w:rPr>
              <w:t>FNF common stock, $0.0001 par value; authorized 487,000,000 shares as of March 31, 2019 and December 31, 2018; outstanding of</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0"/>
              </w:rPr>
              <w:t>274,908,676 and 275,373,834 as of March 31, 2019 and December 31, 2018, respectively, and issued of 289,647,896 and 289,601,523</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as of March 31, 2019 and December 31, 2018, respectively</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earnings (loss)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3"/>
              </w:rPr>
              <w:t>Less: Treasury stock, 14,739,220 shares and 14,227,689 shares as of March 31, 2019 and December 31, 2018, respectively, at cost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4,770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4,765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9,301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Arial" w:cs="Arial" w:eastAsia="Arial" w:hAnsi="Arial"/>
                <w:sz w:val="16"/>
                <w:szCs w:val="16"/>
                <w:color w:val="auto"/>
                <w:w w:val="89"/>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per share data)</w:t>
      </w:r>
    </w:p>
    <w:p>
      <w:pPr>
        <w:spacing w:after="0" w:line="186"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Escrow, title-related and other fees</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Agent commissions</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earnings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Earnings before equity in earnings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common shareholders,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common shareholders,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Weighted average shares outstanding FNF common stock, diluted basis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3780"/>
              <w:spacing w:after="0"/>
              <w:rPr>
                <w:sz w:val="20"/>
                <w:szCs w:val="20"/>
                <w:color w:val="auto"/>
              </w:rPr>
            </w:pPr>
            <w:r>
              <w:rPr>
                <w:rFonts w:ascii="Arial" w:cs="Arial" w:eastAsia="Arial" w:hAnsi="Arial"/>
                <w:sz w:val="16"/>
                <w:szCs w:val="16"/>
                <w:color w:val="auto"/>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386"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gain (loss) on investments and other financial instruments, net (excluding investments in unconsolidated affiliates)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Unrealized gain on investments in unconsolidated affiliates (2)</w:t>
            </w:r>
          </w:p>
        </w:tc>
        <w:tc>
          <w:tcPr>
            <w:tcW w:w="2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foreign currency translation (3)</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Reclassification adjustments for change in unrealized gains and losses included in net earnings (4)</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expense (benefit) of $7 million and $(3) million for the three-month periods ended March 31, 2019 and 2018, respectively.</w:t>
      </w:r>
    </w:p>
    <w:p>
      <w:pPr>
        <w:spacing w:after="0" w:line="194" w:lineRule="exact"/>
        <w:rPr>
          <w:rFonts w:ascii="Arial" w:cs="Arial" w:eastAsia="Arial" w:hAnsi="Arial"/>
          <w:sz w:val="16"/>
          <w:szCs w:val="16"/>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$2 million and $1 million for the three-month periods ended March 31, 2019 and 2018, respectively.</w:t>
      </w:r>
    </w:p>
    <w:p>
      <w:pPr>
        <w:spacing w:after="0" w:line="171"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 million and less than $(1) million for the three-month periods ended March 31, 2019 and 2018,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 million and less than $1 million for the three-month periods ended March 31, 2019 and 2018.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ind w:left="40"/>
              <w:spacing w:after="0"/>
              <w:rPr>
                <w:sz w:val="20"/>
                <w:szCs w:val="20"/>
                <w:color w:val="auto"/>
              </w:rPr>
            </w:pPr>
            <w:r>
              <w:rPr>
                <w:rFonts w:ascii="Arial" w:cs="Arial" w:eastAsia="Arial" w:hAnsi="Arial"/>
                <w:sz w:val="13"/>
                <w:szCs w:val="13"/>
                <w:b w:val="1"/>
                <w:bCs w:val="1"/>
                <w:color w:val="auto"/>
                <w:w w:val="94"/>
              </w:rPr>
              <w:t>Fidelity National Financial, Inc. Common Shareholders</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FNF</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4"/>
          </w:tcPr>
          <w:p>
            <w:pPr>
              <w:jc w:val="center"/>
              <w:ind w:left="357"/>
              <w:spacing w:after="0"/>
              <w:rPr>
                <w:sz w:val="20"/>
                <w:szCs w:val="20"/>
                <w:color w:val="auto"/>
              </w:rPr>
            </w:pPr>
            <w:r>
              <w:rPr>
                <w:rFonts w:ascii="Arial" w:cs="Arial" w:eastAsia="Arial" w:hAnsi="Arial"/>
                <w:sz w:val="13"/>
                <w:szCs w:val="13"/>
                <w:b w:val="1"/>
                <w:bCs w:val="1"/>
                <w:color w:val="auto"/>
                <w:w w:val="88"/>
              </w:rPr>
              <w:t>Common</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96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gridSpan w:val="4"/>
          </w:tcPr>
          <w:p>
            <w:pPr>
              <w:jc w:val="center"/>
              <w:ind w:left="357"/>
              <w:spacing w:after="0"/>
              <w:rPr>
                <w:sz w:val="20"/>
                <w:szCs w:val="20"/>
                <w:color w:val="auto"/>
              </w:rPr>
            </w:pPr>
            <w:r>
              <w:rPr>
                <w:rFonts w:ascii="Arial" w:cs="Arial" w:eastAsia="Arial" w:hAnsi="Arial"/>
                <w:sz w:val="13"/>
                <w:szCs w:val="13"/>
                <w:b w:val="1"/>
                <w:bCs w:val="1"/>
                <w:color w:val="auto"/>
                <w:w w:val="84"/>
              </w:rPr>
              <w:t>Stock</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96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Balance, December 31, 2017</w:t>
            </w:r>
          </w:p>
        </w:tc>
        <w:tc>
          <w:tcPr>
            <w:tcW w:w="600" w:type="dxa"/>
            <w:vAlign w:val="bottom"/>
          </w:tcPr>
          <w:p>
            <w:pPr>
              <w:jc w:val="right"/>
              <w:spacing w:after="0"/>
              <w:rPr>
                <w:sz w:val="20"/>
                <w:szCs w:val="20"/>
                <w:color w:val="auto"/>
              </w:rPr>
            </w:pPr>
            <w:r>
              <w:rPr>
                <w:rFonts w:ascii="Arial" w:cs="Arial" w:eastAsia="Arial" w:hAnsi="Arial"/>
                <w:sz w:val="13"/>
                <w:szCs w:val="13"/>
                <w:color w:val="auto"/>
              </w:rPr>
              <w:t>288</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(468)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4,467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Adjustment for cumulative effect for adoption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of ASU 2016-01</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 unrealized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6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loss on investments and other financial</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instruments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 unrealized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w w:val="94"/>
              </w:rPr>
              <w:t>gain on investments in unconsolidated affiliates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 unrealized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loss on foreign currency translation</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Reclassification adjustments for change in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6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gains and losses included in net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earnings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Equity portion of debt conversions settled in</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cash</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8"/>
              </w:rPr>
              <w:t>Dividends declared, $0.30 per common share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Acquisitions of non-controlling interests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Subsidiary dividends declared to non-</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controlling interests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64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Net earnings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March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(468)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4,479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(498)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r>
      <w:tr>
        <w:trPr>
          <w:trHeight w:val="26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Exercise of stock options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Treasury stock repurchased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 unrealized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6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gain on investments and other financial</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instruments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 unrealized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gain on investments in unconsolidated affiliates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 unrealized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gain on foreign currency translation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Reclassification adjustments for change in</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6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unrealized gains and losses included in net</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earnings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8"/>
              </w:rPr>
              <w:t>Dividends declared, $0.31 per common share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 non-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controlling interests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Balance, March 31, 2019</w:t>
            </w:r>
          </w:p>
        </w:tc>
        <w:tc>
          <w:tcPr>
            <w:tcW w:w="600" w:type="dxa"/>
            <w:vAlign w:val="bottom"/>
          </w:tcPr>
          <w:p>
            <w:pPr>
              <w:jc w:val="right"/>
              <w:spacing w:after="0"/>
              <w:rPr>
                <w:sz w:val="20"/>
                <w:szCs w:val="20"/>
                <w:color w:val="auto"/>
              </w:rPr>
            </w:pPr>
            <w:r>
              <w:rPr>
                <w:rFonts w:ascii="Arial" w:cs="Arial" w:eastAsia="Arial" w:hAnsi="Arial"/>
                <w:sz w:val="13"/>
                <w:szCs w:val="13"/>
                <w:color w:val="auto"/>
              </w:rPr>
              <w:t>290</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(516)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4,765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5"/>
              </w:rPr>
              <w:t>March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90"/>
        </w:trPr>
        <w:tc>
          <w:tcPr>
            <w:tcW w:w="9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Equity in earnings of unconsolidated affiliates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sales of investments and other assets, net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Non-cash lease costs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lease payments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Change in valuation of equity and preferred securities, net</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trade receivables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 reserve for title claim losses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change in income taxes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operating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investment securities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calls and maturities of investment securities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property and equipment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Funding of Cannae Holdings Inc. note receivable</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Purchases of investment securities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proceeds from sales and maturities of (purchases of) short-term investment securities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Additional investments in unconsolidated affiliates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other investing activities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acquisitions/disposals of businesses, net of cash acquired/disposed</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Debt service payments</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7"/>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portion of debt conversions paid in cash</w:t>
            </w: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1"/>
        </w:trPr>
        <w:tc>
          <w:tcPr>
            <w:tcW w:w="9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secured trust deposits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treasury stock</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1124"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124"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information in this report presented for interim periods is unaudited and includes the accounts of Fidelity National Financial, Inc. and its subsidiaries (collectively, “we,” “us,” “our,”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Pending Acquisition of Stewart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18, 2018, we signed a merger agreement (the "Merger Agreement") to acquire Stewart Information Services Corporation ("Stewart") (NYSE: STC) (the "Stewart Merger"). The material terms of the Merger Agreement and progress on the Stewart Merger through February 2019 are set forth in our Annual Report.</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respond to the Federal Trade Commission's ("FTC") request for additional information and documentary material (referred to as a 'Second Request'). We have also filed a new Form A application with the New York State Department of Financial Services, which disapproved a prior application, to acquire control of Stewart Title Insurance Company. We will continue to respond to the FTC's Second Request and maintain discussions with all other relevant regulatory bodies to seek approval of the Stewart Merger.</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closing of the Stewart Merger is subject to certain closing conditions, including federal and state regulatory approvals and the satisfaction of other customary closing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 from Cannae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November 2017, in conjunction with the split-off of our former portfolio company investments into a separate company, Cannae Holdings, Inc. ("Cannae"), we issued to Cannae a revolver note (the "Cannae Revolver") in the aggregate principal amount of up to $100 million. Cannae is considered a related party to FNF.</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Cannae Revolver accrues interest quarterly at LIBOR plus 450 basis points and matures on the five-year anniversary from the date of issuance. The maturity date is automatically extended for additional five-year terms unless notice of non-renewal is otherwise provided by either FNF or Cannae, in their sole discretion.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7, 2019, Cannae borrowed $100 million from FNF under the Cannae Revolver.</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account for the Cannae Revolver as a financing receivable. Interest income is recorded ratably in periods in which principal is outstanding. Uncollectible financing receivables are written off or impaired when, based on all available information, it is probable that a loss has occurred. As of March 31, 2019, there are no indications that a future loss is probable.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positive earnings have been reported.</w:t>
      </w:r>
    </w:p>
    <w:p>
      <w:pPr>
        <w:spacing w:after="0" w:line="11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Options or other instruments which provide the ability to purchase shares of our common stock that are antidilutive are excluded from the computation of diluted earnings per share. There were no antidilutive instruments outstanding during the three-month periods ended March 31, 2019 or March 31, 2018.</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Pronouncements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February 2016, the FASB issued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resulting from applying the fair value measurement, to be reflected on the lessee's balance sheet; and expanding and adding to the required disclosures for lessees.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which allows entities the option to adopt this standard using a modified retrospective approach with a cumulative-effect adjustment to opening equity at the adoption date and include required disclosures for prior periods.</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adopted Topic 842 on January 1, 2019 using a modified retrospective approach and recorded lease right-of-use assets ("Lease assets") of $421 million and liabilities for future discounted lease payment obligations ("Lease liabilities") of $437 million at the date of adoption. The adoption also resulted in a decrease of $9 million and $25 million to our Prepaid expenses and other assets and Accounts payable and accrued liabilities, respectively. 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K.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further discussion of our leasing arrangements and related accounting.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Pronouncements Not Yet Adopted</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still evaluating the effect this new guidance will have on our consolidated financial statements and related disclosures and have not yet concluded on its effects. We do not plan to early adopt the standard.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Reserve for Claim Losses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claim losses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196"/>
        </w:trPr>
        <w:tc>
          <w:tcPr>
            <w:tcW w:w="8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8"/>
              </w:rPr>
              <w:t>(Dollars in millions)</w:t>
            </w:r>
          </w:p>
        </w:tc>
        <w:tc>
          <w:tcPr>
            <w:tcW w:w="620" w:type="dxa"/>
            <w:vAlign w:val="bottom"/>
          </w:tcPr>
          <w:p>
            <w:pPr>
              <w:spacing w:after="0"/>
              <w:rPr>
                <w:sz w:val="17"/>
                <w:szCs w:val="17"/>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1,490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Change in reinsurance recoverable</w:t>
            </w: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47</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title claim loss provision</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47</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r>
      <w:tr>
        <w:trPr>
          <w:trHeight w:val="27"/>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1,483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1,486</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1"/>
        </w:trPr>
        <w:tc>
          <w:tcPr>
            <w:tcW w:w="8200" w:type="dxa"/>
            <w:vAlign w:val="bottom"/>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fair value hierarchy for those assets and liabilities measured at fair value on a recurring basis as of March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4"/>
                <w:szCs w:val="14"/>
                <w:b w:val="1"/>
                <w:bCs w:val="1"/>
                <w:color w:val="auto"/>
                <w:w w:val="94"/>
              </w:rPr>
              <w:t>March 31, 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1,589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635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653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3,119</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December 31, 2018</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1,503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514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2,898</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2 fair value measures for preferred securities and fixed maturity securities available for sale are provided by a third-party pricing service. We utilize one firm for our preferred stock and our bond portfolios. The pricing service is a leading global provider of financial market data, analytics and related services to financial institutions.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70"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securities: Preferred securities are valued by calculating the appropriate spread over a comparable U.S. Treasury security. Inputs include benchmark quotes and other relevant market data.</w:t>
      </w:r>
    </w:p>
    <w:p>
      <w:pPr>
        <w:spacing w:after="0" w:line="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Level 3 fair value measures for our other long term investment are provided by a third-party pricing service. We utilize one firm to value our Level 3 other long-term investment. The pricing service is a leading global provider of financial market data, analytics and related services to financial institutions. We utilize the income approach and a discounted cash flow analysis in determining the fair value of our Level 3 other long-term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long-term investment as of March 31, 2019 was a range of 7.8% - 8.2% and a weighted-average of 8.0%. Based on the total fair value of our Level 3 other long-term investment as of March 31, 2019, changes in the discount rate utilized will not result in a fair value significantly different than the amount recorded.</w:t>
      </w:r>
    </w:p>
    <w:p>
      <w:pPr>
        <w:spacing w:after="0" w:line="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Level 3 fair value measures for our corporate debt securities relate to multiple investments which are considered immaterial individually and in the aggregate.</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three months ended March 31, 2019 and 2018.</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center"/>
              <w:ind w:left="454"/>
              <w:spacing w:after="0"/>
              <w:rPr>
                <w:sz w:val="20"/>
                <w:szCs w:val="20"/>
                <w:color w:val="auto"/>
              </w:rPr>
            </w:pPr>
            <w:r>
              <w:rPr>
                <w:rFonts w:ascii="Arial" w:cs="Arial" w:eastAsia="Arial" w:hAnsi="Arial"/>
                <w:sz w:val="14"/>
                <w:szCs w:val="14"/>
                <w:b w:val="1"/>
                <w:bCs w:val="1"/>
                <w:color w:val="auto"/>
                <w:w w:val="92"/>
              </w:rPr>
              <w:t>Three months ended March 31, 2019</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4"/>
                <w:szCs w:val="14"/>
                <w:b w:val="1"/>
                <w:bCs w:val="1"/>
                <w:color w:val="auto"/>
                <w:w w:val="92"/>
              </w:rPr>
              <w:t>Three months ended March 31, 2018</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Other long-term</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 debt</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Other long-term</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Corporate debt</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securities</w:t>
            </w:r>
          </w:p>
        </w:tc>
        <w:tc>
          <w:tcPr>
            <w:tcW w:w="14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4"/>
                <w:szCs w:val="2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ind w:left="22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24"/>
                <w:szCs w:val="24"/>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4"/>
          </w:tcPr>
          <w:p>
            <w:pPr>
              <w:jc w:val="center"/>
              <w:ind w:right="7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5"/>
          </w:tcPr>
          <w:p>
            <w:pPr>
              <w:jc w:val="center"/>
              <w:ind w:right="68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w w:val="93"/>
              </w:rPr>
              <w:t>Fair value of assets associated with the adoption of</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ASU 2016-01</w:t>
            </w:r>
          </w:p>
        </w:tc>
        <w:tc>
          <w:tcPr>
            <w:tcW w:w="16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Level 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Transfers to Level 2</w:t>
            </w:r>
          </w:p>
        </w:tc>
        <w:tc>
          <w:tcPr>
            <w:tcW w:w="16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Paid-in-kind dividends (1)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Net valuation gain included in earnings (2)</w:t>
            </w:r>
          </w:p>
        </w:tc>
        <w:tc>
          <w:tcPr>
            <w:tcW w:w="16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Interest and investment income on the Condensed Consolidated Statements of Earnings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Realized gains and losses, net on the Condensed Consolidated Statements of Earnings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Transfers into or out of the Level 3 fair value category occur when unobservable inputs become more or less significant to the fair value measurement or upon a change in valuation technique. For the three months ended March 31, 2019, transfers between Level 2 and Level 3 were based on changes in significance of unobservable inputs used associated with a change in the valuation technique used for certain of the Company’s corporate debt securities and are not considered material to the Company's financial position or results of operations. Transfers between Level 2 and Level 3 in the three months ended March 31, 2019 are not material.</w:t>
      </w:r>
    </w:p>
    <w:p>
      <w:pPr>
        <w:spacing w:after="0" w:line="16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Substantially all of the unrealized gain (loss) on investments and other financial instruments, net (excluding investments in unconsolidated affiliates) on our Condensed Consolidated Statements of Comprehensive Income relate to fixed maturity securities which are considered Level 2 fair value measures.</w:t>
      </w:r>
    </w:p>
    <w:p>
      <w:pPr>
        <w:spacing w:after="0" w:line="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The carrying amounts of short-term investments, accounts receivable and notes receivable approximate fair value due to their short-term nature and/or short time period since consummation. Additional information regarding the fair value of our investment portfolio is included in Note D. </w:t>
      </w:r>
      <w:r>
        <w:rPr>
          <w:rFonts w:ascii="Arial" w:cs="Arial" w:eastAsia="Arial" w:hAnsi="Arial"/>
          <w:sz w:val="16"/>
          <w:szCs w:val="16"/>
          <w:i w:val="1"/>
          <w:iCs w:val="1"/>
          <w:color w:val="auto"/>
        </w:rPr>
        <w:t>Investments</w:t>
      </w:r>
      <w:r>
        <w:rPr>
          <w:rFonts w:ascii="Arial" w:cs="Arial" w:eastAsia="Arial" w:hAnsi="Arial"/>
          <w:sz w:val="16"/>
          <w:szCs w:val="16"/>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March 31, 2019 and December 31, 2018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2019</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269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1,589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1,503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62</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March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2019</w:t>
            </w: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63</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w:t>
            </w:r>
          </w:p>
        </w:tc>
      </w:tr>
      <w:tr>
        <w:trPr>
          <w:trHeight w:val="257"/>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March 31, 2019 and December 31, 2018,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218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2018</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661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784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recorded no impairment charges relating to investments during the three-month periods ended March 31, 2019 or 2018.</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March 31, 2019 and December 31, 2018, we held no investment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realized gains and losses on investments and other assets and proceeds from the sale or maturity of investments and other assets for the three-month periods ended March 31, 2019 and 2018,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March 31, 2019</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3"/>
                <w:szCs w:val="13"/>
                <w:color w:val="auto"/>
              </w:rPr>
            </w:pPr>
          </w:p>
        </w:tc>
        <w:tc>
          <w:tcPr>
            <w:tcW w:w="78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30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2"/>
                <w:szCs w:val="12"/>
                <w:color w:val="auto"/>
              </w:rPr>
            </w:pPr>
          </w:p>
        </w:tc>
        <w:tc>
          <w:tcPr>
            <w:tcW w:w="7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Sales and maturities of fixed maturity securities available for sale</w:t>
            </w:r>
          </w:p>
        </w:tc>
        <w:tc>
          <w:tcPr>
            <w:tcW w:w="2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Sales and maturities of preferred securities</w:t>
            </w:r>
          </w:p>
        </w:tc>
        <w:tc>
          <w:tcPr>
            <w:tcW w:w="2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8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of equity securities</w:t>
            </w:r>
          </w:p>
        </w:tc>
        <w:tc>
          <w:tcPr>
            <w:tcW w:w="2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Valuation of equity securities</w:t>
            </w:r>
          </w:p>
        </w:tc>
        <w:tc>
          <w:tcPr>
            <w:tcW w:w="2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of preferred securities</w:t>
            </w:r>
          </w:p>
        </w:tc>
        <w:tc>
          <w:tcPr>
            <w:tcW w:w="2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Valuation of other long term investments</w:t>
            </w:r>
          </w:p>
        </w:tc>
        <w:tc>
          <w:tcPr>
            <w:tcW w:w="2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lease assets</w:t>
            </w:r>
          </w:p>
        </w:tc>
        <w:tc>
          <w:tcPr>
            <w:tcW w:w="24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80" w:type="dxa"/>
            <w:vAlign w:val="bottom"/>
          </w:tcPr>
          <w:p>
            <w:pPr>
              <w:ind w:left="28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80" w:type="dxa"/>
            <w:vAlign w:val="bottom"/>
            <w:vMerge w:val="restart"/>
          </w:tcPr>
          <w:p>
            <w:pPr>
              <w:jc w:val="right"/>
              <w:ind w:right="177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ind w:right="577"/>
              <w:spacing w:after="0"/>
              <w:rPr>
                <w:sz w:val="20"/>
                <w:szCs w:val="20"/>
                <w:color w:val="auto"/>
              </w:rPr>
            </w:pPr>
            <w:r>
              <w:rPr>
                <w:rFonts w:ascii="Arial" w:cs="Arial" w:eastAsia="Arial" w:hAnsi="Arial"/>
                <w:sz w:val="14"/>
                <w:szCs w:val="14"/>
                <w:b w:val="1"/>
                <w:bCs w:val="1"/>
                <w:color w:val="auto"/>
                <w:w w:val="92"/>
              </w:rPr>
              <w:t>Three months ended March 31, 2018</w:t>
            </w:r>
          </w:p>
        </w:tc>
        <w:tc>
          <w:tcPr>
            <w:tcW w:w="0" w:type="dxa"/>
            <w:vAlign w:val="bottom"/>
          </w:tcPr>
          <w:p>
            <w:pPr>
              <w:spacing w:after="0"/>
              <w:rPr>
                <w:sz w:val="1"/>
                <w:szCs w:val="1"/>
                <w:color w:val="auto"/>
              </w:rPr>
            </w:pPr>
          </w:p>
        </w:tc>
      </w:tr>
      <w:tr>
        <w:trPr>
          <w:trHeight w:val="152"/>
        </w:trPr>
        <w:tc>
          <w:tcPr>
            <w:tcW w:w="7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3"/>
                <w:szCs w:val="13"/>
                <w:color w:val="auto"/>
              </w:rPr>
            </w:pPr>
          </w:p>
        </w:tc>
        <w:tc>
          <w:tcPr>
            <w:tcW w:w="7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Proceeds</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34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Realized</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maturities of 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Valuation of equity securities</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of preferred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with Related Party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Included in equity securities as of March 31, 2019 and December 31, 2018 are 5,706,134 shares of Cannae common stock (NYSE: CNNE) which were purchased during the fourth quarter of 2017 in connection with the split-off of our former portfolio company investments to Cannae. The fair value of our related party investment is $138 million and $98 million as of March 31, 2019 and December 31, 2018,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—Notes Payable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60" w:type="dxa"/>
            <w:vAlign w:val="bottom"/>
          </w:tcPr>
          <w:p>
            <w:pPr>
              <w:spacing w:after="0"/>
              <w:rPr>
                <w:sz w:val="16"/>
                <w:szCs w:val="16"/>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4.50%, due August 2028</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1060" w:type="dxa"/>
            <w:vAlign w:val="bottom"/>
          </w:tcPr>
          <w:p>
            <w:pPr>
              <w:spacing w:after="0"/>
              <w:rPr>
                <w:sz w:val="21"/>
                <w:szCs w:val="21"/>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w w:val="99"/>
              </w:rPr>
              <w:t>398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398</w:t>
            </w:r>
          </w:p>
        </w:tc>
      </w:tr>
      <w:tr>
        <w:trPr>
          <w:trHeight w:val="27"/>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unsecured, unused portion of $800</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360" w:type="dxa"/>
            <w:vAlign w:val="bottom"/>
          </w:tcPr>
          <w:p>
            <w:pPr>
              <w:spacing w:after="0"/>
              <w:rPr>
                <w:sz w:val="20"/>
                <w:szCs w:val="20"/>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837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836</w:t>
            </w:r>
          </w:p>
        </w:tc>
      </w:tr>
      <w:tr>
        <w:trPr>
          <w:trHeight w:val="27"/>
        </w:trPr>
        <w:tc>
          <w:tcPr>
            <w:tcW w:w="8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March 31, 2019, the estimated fair value of our unsecured notes payable was approximately $879 million, which was $29 million higher than its carrying value, excluding $13 million of net unamortized debt issuance costs and discount. The fair values of our unsecured notes payable are based on established market prices for the securities on March 31, 2019 and are considered Level 2 financial liabilities.</w:t>
      </w:r>
    </w:p>
    <w:p>
      <w:pPr>
        <w:spacing w:after="0" w:line="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On April 27, 2017, the Existing Credit Agreement was amended (the "Restated Credit Agreement").The material terms of the Restated Credit Agreement are set forth in our Annual Report for the year ended December 31, 2018. As of March 31, 2019, there was no principal outstanding, $4 million of unamortized debt issuance costs, and $800 million of available borrowing capacity under the Revolving Credit Facility.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2012, FNF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00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680" w:type="dxa"/>
            <w:vAlign w:val="bottom"/>
          </w:tcPr>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680" w:type="dxa"/>
            <w:vAlign w:val="bottom"/>
          </w:tcPr>
          <w:p>
            <w:pPr>
              <w:jc w:val="center"/>
              <w:spacing w:after="0"/>
              <w:rPr>
                <w:sz w:val="20"/>
                <w:szCs w:val="20"/>
                <w:color w:val="auto"/>
              </w:rPr>
            </w:pPr>
            <w:r>
              <w:rPr>
                <w:rFonts w:ascii="Arial" w:cs="Arial" w:eastAsia="Arial" w:hAnsi="Arial"/>
                <w:sz w:val="18"/>
                <w:szCs w:val="18"/>
                <w:b w:val="1"/>
                <w:bCs w:val="1"/>
                <w:color w:val="auto"/>
                <w:w w:val="98"/>
              </w:rPr>
              <w:t>NOTES TO CONDENSED CONSOLIDATED FINANCIAL STATEMENTS (UNAUDITED) — continued</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Gross principal maturities of notes payable at March 31, 2019 are as follows (in millions):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2019 (remaining)</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8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8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8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10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F — Commitments and Contingencies</w:t>
            </w: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40" w:type="dxa"/>
            <w:vAlign w:val="bottom"/>
            <w:gridSpan w:val="3"/>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4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$10 million and $11 million as of March 31, 2019 and December 31, 2018,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a class action captioned </w:t>
      </w:r>
      <w:r>
        <w:rPr>
          <w:rFonts w:ascii="Arial" w:cs="Arial" w:eastAsia="Arial" w:hAnsi="Arial"/>
          <w:sz w:val="16"/>
          <w:szCs w:val="16"/>
          <w:i w:val="1"/>
          <w:iCs w:val="1"/>
          <w:color w:val="auto"/>
        </w:rPr>
        <w:t>Patterson, et al. v. Fidelity National Title Insurance Company, et al.</w:t>
      </w:r>
      <w:r>
        <w:rPr>
          <w:rFonts w:ascii="Arial" w:cs="Arial" w:eastAsia="Arial" w:hAnsi="Arial"/>
          <w:sz w:val="16"/>
          <w:szCs w:val="16"/>
          <w:color w:val="auto"/>
        </w:rPr>
        <w:t>, Case No. GD 03-021176, originally filed on October 27, 2003 and pending in the Court of Common Pleas of Allegheny County, Pennsylvania, plaintiffs allege the named Company underwriters violated Pennsylvania’s Unfair Trade Practices and Consumer Protection Law (“UTPCPL”) by failing to provide premium discounts in accordance with filed rates in refinancing transactions. Contrary to rulings in similar federal court cases that considered the rate rule and agreed with the Company’s position, the court held that the rate rule should be interpreted such that an institutional mortgage in the public record is a “proxy” for prior title insurance entitling a consumer to a discount rate when refinancing when there is a mortgage of record within the number of years required by the rate rule. The rate rule requires sufficient evidence of a prior policy, and because not all institutional mortgages were insured, the Company’s position is that a recorded first mortgage alone does not constitute sufficient evidence of an earlier policy entitling consumers to a discounted rate. The court certified the class refusing to follow prior Pennsylvania Supreme Court and appellate court decisions holding that the UTPCPL requires proof of reliance, an individual issue which precludes certification. After notice to the class, plaintiffs moved for partial summary judgment on liability, and defendants moved for summary judgment. On June 27, 2018, the court entered an order granting plaintiffs’ motion for partial summary judgment on liability, and denying the Company’s motion finding that the Company failed to advise its agents on how to interpret the rate rule so that it would be uniformly applied, thereby having engaged in “deceptive conduct.” The Company plans to seek an interlocutory appeal of the summary judgment order. The court approved the parties’ stipulation in which they agreed that before interlocutory review is appropriate, the court will first determine which party should bear the burden of ascertaining the class and calculating damages, and determine whether the damages should be trebled. Following briefing and oral argument on these issues, the court held that a multiplier of 1.5, not treble, should be applied to the amount of damages, if any, proven by class members at trial. The court also held that plaintiffs should bear the responsibility of identifying class members and calculating damages. The interlocutory appeal of the summary judgment order will now proceed. There has been no determination as to the size of the class. It is unknown whether plaintiffs will seek statutory or actual damages, whether the judge will exercise discretion to award treble damages or award prejudgment interest, or what plaintiffs’ counsel will seek as reasonable attorneys’ fees. Accordingly, damages are not reasonably estimable at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8"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this time. We will continue to vigorously defend this matter, and we do not believe the result will have a material adverse effect on our financial condition.</w:t>
      </w:r>
    </w:p>
    <w:p>
      <w:pPr>
        <w:spacing w:after="0" w:line="1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24, 2019, our Board of Directors declared cash dividends of [$0.31] per share, payable on June 28, 2019, to FNF common shareholders of record as of June 14, 2019.</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13"/>
                <w:szCs w:val="13"/>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992</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481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1,526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1,663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1,722</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264</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(loss)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9,647</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2,727</w:t>
            </w:r>
          </w:p>
        </w:tc>
        <w:tc>
          <w:tcPr>
            <w:tcW w:w="0" w:type="dxa"/>
            <w:vAlign w:val="bottom"/>
          </w:tcPr>
          <w:p>
            <w:pPr>
              <w:spacing w:after="0"/>
              <w:rPr>
                <w:sz w:val="1"/>
                <w:szCs w:val="1"/>
                <w:color w:val="auto"/>
              </w:rPr>
            </w:pPr>
          </w:p>
        </w:tc>
      </w:tr>
      <w:tr>
        <w:trPr>
          <w:trHeight w:val="336"/>
        </w:trPr>
        <w:tc>
          <w:tcPr>
            <w:tcW w:w="8120" w:type="dxa"/>
            <w:vAlign w:val="bottom"/>
          </w:tcPr>
          <w:p>
            <w:pPr>
              <w:ind w:left="340"/>
              <w:spacing w:after="0"/>
              <w:rPr>
                <w:sz w:val="20"/>
                <w:szCs w:val="20"/>
                <w:color w:val="auto"/>
              </w:rPr>
            </w:pPr>
            <w:r>
              <w:rPr>
                <w:rFonts w:ascii="Arial" w:cs="Arial" w:eastAsia="Arial" w:hAnsi="Arial"/>
                <w:sz w:val="18"/>
                <w:szCs w:val="18"/>
                <w:color w:val="auto"/>
              </w:rPr>
              <w:t>As of and for the three months ended March 31, 2018:</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1,036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618</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1,654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1,590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1,693</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9,018</w:t>
            </w:r>
          </w:p>
        </w:tc>
        <w:tc>
          <w:tcPr>
            <w:tcW w:w="0" w:type="dxa"/>
            <w:vAlign w:val="bottom"/>
          </w:tcPr>
          <w:p>
            <w:pPr>
              <w:spacing w:after="0"/>
              <w:rPr>
                <w:sz w:val="1"/>
                <w:szCs w:val="1"/>
                <w:color w:val="auto"/>
              </w:rPr>
            </w:pPr>
          </w:p>
        </w:tc>
      </w:tr>
      <w:tr>
        <w:trPr>
          <w:trHeight w:val="256"/>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2,747</w:t>
            </w: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The activities in our segments include the following:</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60" w:hanging="40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This segment consists of the operations of the parent holding company, our real estate technology subsidiaries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real estate brokerage businesses. This segment includes the results of operations of Pacific Union International, Inc. ("Pacific Union") through September 24, 2018, the date we closed on the sale of all of our equity interest in, and notes outstanding from, Pacific Union. This segment also includes certain other unallocated corporate overhead expenses and eliminations of revenues and expenses between it and our Title segment.</w:t>
      </w:r>
    </w:p>
    <w:p>
      <w:pPr>
        <w:sectPr>
          <w:pgSz w:w="11900" w:h="16838" w:orient="portrait"/>
          <w:cols w:equalWidth="0" w:num="1">
            <w:col w:w="11420"/>
          </w:cols>
          <w:pgMar w:left="240" w:top="121"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supplemental cash flow information is provided with respect to certain cash payment and non-cash investing and financing activities.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r>
      <w:tr>
        <w:trPr>
          <w:trHeight w:val="276"/>
        </w:trPr>
        <w:tc>
          <w:tcPr>
            <w:tcW w:w="880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11</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Lease liabilities recognized in exchange for lease right-of-use assets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Remeasurement of lease liabilities</w:t>
            </w:r>
          </w:p>
        </w:tc>
        <w:tc>
          <w:tcPr>
            <w:tcW w:w="8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Revenue Recognition</w:t>
      </w:r>
    </w:p>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 2018, we adopted Accounting Standard Codification ("ASC") Topic 606 by applying the modified retrospective method. The adoption of ASC Topic 606 did not have an impact on the recognition of our primary sources of revenue, direct and agency title premiums, as those revenue streams are subject to the accounting and reporting requirements under ASC Topic 944. Timing of recognition of substantially all of our remaining revenue was also not impacted and we therefore did not record any cumulative effect adjustment to opening equity.</w:t>
      </w: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right"/>
        <w:ind w:right="1920"/>
        <w:spacing w:after="0"/>
        <w:rPr>
          <w:sz w:val="20"/>
          <w:szCs w:val="20"/>
          <w:color w:val="auto"/>
        </w:rPr>
      </w:pPr>
      <w:r>
        <w:rPr>
          <w:rFonts w:ascii="Arial" w:cs="Arial" w:eastAsia="Arial" w:hAnsi="Arial"/>
          <w:sz w:val="15"/>
          <w:szCs w:val="15"/>
          <w:b w:val="1"/>
          <w:bCs w:val="1"/>
          <w:i w:val="1"/>
          <w:iCs w:val="1"/>
          <w:color w:val="auto"/>
        </w:rPr>
        <w:t>Disaggregation of Revenue</w:t>
      </w:r>
    </w:p>
    <w:p>
      <w:pPr>
        <w:spacing w:after="0" w:line="206"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Our revenue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23495</wp:posOffset>
            </wp:positionV>
            <wp:extent cx="2632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Revenue from insurance contracts: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Direct title insurance premiums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Agency title insurance premiums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Home warranty</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revenue from insurance contracts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Revenue from contracts with customers: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Escrow fees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title-related fees and income</w:t>
      </w:r>
    </w:p>
    <w:p>
      <w:pPr>
        <w:spacing w:after="0" w:line="73" w:lineRule="exact"/>
        <w:rPr>
          <w:sz w:val="20"/>
          <w:szCs w:val="20"/>
          <w:color w:val="auto"/>
        </w:rPr>
      </w:pPr>
    </w:p>
    <w:p>
      <w:pPr>
        <w:ind w:left="280"/>
        <w:spacing w:after="0" w:line="293" w:lineRule="auto"/>
        <w:rPr>
          <w:sz w:val="20"/>
          <w:szCs w:val="20"/>
          <w:color w:val="auto"/>
        </w:rPr>
      </w:pPr>
      <w:r>
        <w:rPr>
          <w:rFonts w:ascii="Arial" w:cs="Arial" w:eastAsia="Arial" w:hAnsi="Arial"/>
          <w:sz w:val="16"/>
          <w:szCs w:val="16"/>
          <w:color w:val="auto"/>
        </w:rPr>
        <w:t>ServiceLink, excluding title premiums, escrow fees, and subservicing fees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Real estate technology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Real estate brokerage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revenue from contracts with customers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revenue: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Loan subservicing revenue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and investment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Realized gains and losses, net</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4919"/>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91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13335</wp:posOffset>
            </wp:positionV>
            <wp:extent cx="1046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r>
      <w:tr>
        <w:trPr>
          <w:trHeight w:val="250"/>
        </w:trPr>
        <w:tc>
          <w:tcPr>
            <w:tcW w:w="3140" w:type="dxa"/>
            <w:vAlign w:val="bottom"/>
            <w:gridSpan w:val="2"/>
          </w:tcPr>
          <w:p>
            <w:pPr>
              <w:ind w:left="520"/>
              <w:spacing w:after="0"/>
              <w:rPr>
                <w:sz w:val="20"/>
                <w:szCs w:val="20"/>
                <w:color w:val="auto"/>
              </w:rPr>
            </w:pPr>
            <w:r>
              <w:rPr>
                <w:rFonts w:ascii="Arial" w:cs="Arial" w:eastAsia="Arial" w:hAnsi="Arial"/>
                <w:sz w:val="14"/>
                <w:szCs w:val="14"/>
                <w:b w:val="1"/>
                <w:bCs w:val="1"/>
                <w:color w:val="auto"/>
              </w:rPr>
              <w:t>Income Statement Classification</w:t>
            </w: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Segment</w:t>
            </w:r>
          </w:p>
        </w:tc>
        <w:tc>
          <w:tcPr>
            <w:tcW w:w="180" w:type="dxa"/>
            <w:vAlign w:val="bottom"/>
          </w:tcPr>
          <w:p>
            <w:pPr>
              <w:spacing w:after="0"/>
              <w:rPr>
                <w:sz w:val="21"/>
                <w:szCs w:val="21"/>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Total Revenue</w:t>
            </w:r>
          </w:p>
        </w:tc>
      </w:tr>
      <w:tr>
        <w:trPr>
          <w:trHeight w:val="258"/>
        </w:trPr>
        <w:tc>
          <w:tcPr>
            <w:tcW w:w="3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(in millions)</w:t>
            </w:r>
          </w:p>
        </w:tc>
      </w:tr>
      <w:tr>
        <w:trPr>
          <w:trHeight w:val="249"/>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Direct title insurance premiums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472</w:t>
            </w: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Agency title insurance premiums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3"/>
                <w:szCs w:val="23"/>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564</w:t>
            </w: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3"/>
                <w:szCs w:val="23"/>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45</w:t>
            </w: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1,081</w:t>
            </w:r>
          </w:p>
        </w:tc>
      </w:tr>
      <w:tr>
        <w:trPr>
          <w:trHeight w:val="540"/>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4"/>
                <w:szCs w:val="24"/>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183</w:t>
            </w: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3"/>
                <w:szCs w:val="23"/>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140</w:t>
            </w:r>
          </w:p>
        </w:tc>
      </w:tr>
      <w:tr>
        <w:trPr>
          <w:trHeight w:val="459"/>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4"/>
                <w:szCs w:val="24"/>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94</w:t>
            </w: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180" w:type="dxa"/>
            <w:vAlign w:val="bottom"/>
          </w:tcPr>
          <w:p>
            <w:pPr>
              <w:spacing w:after="0"/>
              <w:rPr>
                <w:sz w:val="23"/>
                <w:szCs w:val="23"/>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25</w:t>
            </w: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180" w:type="dxa"/>
            <w:vAlign w:val="bottom"/>
          </w:tcPr>
          <w:p>
            <w:pPr>
              <w:spacing w:after="0"/>
              <w:rPr>
                <w:sz w:val="23"/>
                <w:szCs w:val="23"/>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76</w:t>
            </w: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180" w:type="dxa"/>
            <w:vAlign w:val="bottom"/>
          </w:tcPr>
          <w:p>
            <w:pPr>
              <w:spacing w:after="0"/>
              <w:rPr>
                <w:sz w:val="23"/>
                <w:szCs w:val="23"/>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w:t>
            </w: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520</w:t>
            </w:r>
          </w:p>
        </w:tc>
      </w:tr>
      <w:tr>
        <w:trPr>
          <w:trHeight w:val="540"/>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4"/>
                <w:szCs w:val="24"/>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53</w:t>
            </w: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Interest and investment income</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80" w:type="dxa"/>
            <w:vAlign w:val="bottom"/>
          </w:tcPr>
          <w:p>
            <w:pPr>
              <w:spacing w:after="0"/>
              <w:rPr>
                <w:sz w:val="23"/>
                <w:szCs w:val="23"/>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38</w:t>
            </w: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Realized gains and losses, net</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80" w:type="dxa"/>
            <w:vAlign w:val="bottom"/>
          </w:tcPr>
          <w:p>
            <w:pPr>
              <w:spacing w:after="0"/>
              <w:rPr>
                <w:sz w:val="23"/>
                <w:szCs w:val="23"/>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w:t>
            </w: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1,722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1,693</w:t>
            </w: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-3060700</wp:posOffset>
            </wp:positionV>
            <wp:extent cx="710057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-2717800</wp:posOffset>
            </wp:positionV>
            <wp:extent cx="710057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-2374900</wp:posOffset>
            </wp:positionV>
            <wp:extent cx="710057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-2032000</wp:posOffset>
            </wp:positionV>
            <wp:extent cx="710057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-1568450</wp:posOffset>
            </wp:positionV>
            <wp:extent cx="710057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-1225550</wp:posOffset>
            </wp:positionV>
            <wp:extent cx="710057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-882650</wp:posOffset>
            </wp:positionV>
            <wp:extent cx="710057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-539750</wp:posOffset>
            </wp:positionV>
            <wp:extent cx="71005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-196850</wp:posOffset>
            </wp:positionV>
            <wp:extent cx="710057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057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460"/>
            <w:col w:w="7020"/>
          </w:cols>
          <w:pgMar w:left="240" w:top="121"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2019</w:t>
            </w: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December 31, 2018</w:t>
            </w:r>
          </w:p>
        </w:tc>
      </w:tr>
      <w:tr>
        <w:trPr>
          <w:trHeight w:val="190"/>
        </w:trPr>
        <w:tc>
          <w:tcPr>
            <w:tcW w:w="7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w w:val="99"/>
              </w:rPr>
              <w:t>(In millions)</w:t>
            </w:r>
          </w:p>
        </w:tc>
        <w:tc>
          <w:tcPr>
            <w:tcW w:w="880" w:type="dxa"/>
            <w:vAlign w:val="bottom"/>
          </w:tcPr>
          <w:p>
            <w:pPr>
              <w:spacing w:after="0"/>
              <w:rPr>
                <w:sz w:val="16"/>
                <w:szCs w:val="16"/>
                <w:color w:val="auto"/>
              </w:rPr>
            </w:pPr>
          </w:p>
        </w:tc>
      </w:tr>
      <w:tr>
        <w:trPr>
          <w:trHeight w:val="255"/>
        </w:trPr>
        <w:tc>
          <w:tcPr>
            <w:tcW w:w="790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1340" w:type="dxa"/>
            <w:vAlign w:val="bottom"/>
          </w:tcPr>
          <w:p>
            <w:pPr>
              <w:jc w:val="right"/>
              <w:ind w:right="113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w w:val="79"/>
              </w:rPr>
              <w:t>273</w:t>
            </w:r>
          </w:p>
        </w:tc>
        <w:tc>
          <w:tcPr>
            <w:tcW w:w="920" w:type="dxa"/>
            <w:vAlign w:val="bottom"/>
          </w:tcPr>
          <w:p>
            <w:pPr>
              <w:jc w:val="right"/>
              <w:ind w:right="61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7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(contract liabilities)</w:t>
            </w:r>
          </w:p>
        </w:tc>
        <w:tc>
          <w:tcPr>
            <w:tcW w:w="13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106</w:t>
            </w:r>
          </w:p>
        </w:tc>
        <w:tc>
          <w:tcPr>
            <w:tcW w:w="9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79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Condensed Consolidated Balance Sheets. During the three months ended March 31, 2019, we recognized $46 million of revenue which was included in deferred revenue at the beginning of the period.</w:t>
      </w: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K.</w:t>
      </w:r>
      <w:r>
        <w:rPr>
          <w:sz w:val="20"/>
          <w:szCs w:val="20"/>
          <w:color w:val="auto"/>
        </w:rPr>
        <w:tab/>
      </w:r>
      <w:r>
        <w:rPr>
          <w:rFonts w:ascii="Arial" w:cs="Arial" w:eastAsia="Arial" w:hAnsi="Arial"/>
          <w:sz w:val="15"/>
          <w:szCs w:val="15"/>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adopted ASC Topic 842 on January 1, 2019 using a modified retrospective approach. Prior year periods continue to be reported under ASC Topic</w:t>
      </w:r>
    </w:p>
    <w:p>
      <w:pPr>
        <w:spacing w:after="0" w:line="4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See Note A </w:t>
      </w:r>
      <w:r>
        <w:rPr>
          <w:rFonts w:ascii="Arial" w:cs="Arial" w:eastAsia="Arial" w:hAnsi="Arial"/>
          <w:sz w:val="17"/>
          <w:szCs w:val="17"/>
          <w:i w:val="1"/>
          <w:iCs w:val="1"/>
          <w:color w:val="auto"/>
        </w:rPr>
        <w:t>Basis of Financial Statements</w:t>
      </w:r>
      <w:r>
        <w:rPr>
          <w:rFonts w:ascii="Arial" w:cs="Arial" w:eastAsia="Arial" w:hAnsi="Arial"/>
          <w:sz w:val="17"/>
          <w:szCs w:val="17"/>
          <w:color w:val="auto"/>
        </w:rPr>
        <w:t xml:space="preserve"> for further discussion of the current period effects of adoption of ASU No. 2016-02 </w:t>
      </w:r>
      <w:r>
        <w:rPr>
          <w:rFonts w:ascii="Arial" w:cs="Arial" w:eastAsia="Arial" w:hAnsi="Arial"/>
          <w:sz w:val="17"/>
          <w:szCs w:val="17"/>
          <w:i w:val="1"/>
          <w:iCs w:val="1"/>
          <w:color w:val="auto"/>
        </w:rPr>
        <w:t>Leases (Topic 842).</w:t>
      </w:r>
    </w:p>
    <w:p>
      <w:pPr>
        <w:spacing w:after="0" w:line="357"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Right-of-use assets and lease liabilities related to operating leases under ASC Topic 842 are recorded when we are party to a contract which conveys the right for the Company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Condensed Consolidated Balance Sheet as of March 31, 2019.</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operating leases range in term from one to ten years. As of March 31, 2019, the weighted-average remaining lease term of our operating leases was 4.1 years.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lease agreements do not contain material variable lease payments, buyout options, residual value guarantees or restrictive covenants.</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Most of our leases include one or more options to renew, with renewal terms that can extend the lease term by varying amounts. The exercise of lease renewal options is at our sole discretion. We do not include options to renew in our measurement of right-of-use assets and lease liabilities as they are not considered reasonably assured of exercise.</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lease liability is determined by discounting future lease payments using a discount rate based on the Company's incremental borrowing rate for similar collateralized borrowing. The discount rate is calculated as an average of the current yield on our unsecured notes payable and 140 basis points in excess of the current five year LIBOR swap rate. As of March 31, 2019 the weighted-average discount rate used to determine our operating lease liability was 4.36%.</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separate lease components from nonlease components for any of our right-of-use assets.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lease costs are included in Other operating expenses on the Condensed Consolidated Statements of Income and were $37 million for the three months ended March 31, 2019. We do not have any material short term lease costs, variable lease costs, or sublease income.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payments under operating lease arrangements accounted for under ASC Topic 842 as of March 31, 2019 are as follows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122</w:t>
            </w:r>
          </w:p>
        </w:tc>
      </w:tr>
      <w:tr>
        <w:trPr>
          <w:trHeight w:val="27"/>
        </w:trPr>
        <w:tc>
          <w:tcPr>
            <w:tcW w:w="10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7"/>
        </w:trPr>
        <w:tc>
          <w:tcPr>
            <w:tcW w:w="10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10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payments, undiscounted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r>
      <w:tr>
        <w:trPr>
          <w:trHeight w:val="237"/>
        </w:trPr>
        <w:tc>
          <w:tcPr>
            <w:tcW w:w="1016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10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 at present value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r>
      <w:tr>
        <w:trPr>
          <w:trHeight w:val="20"/>
        </w:trPr>
        <w:tc>
          <w:tcPr>
            <w:tcW w:w="10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payments under operating lease arrangements accounted for under ASC Topic 840 as of December 31, 2018 are as follows (in millions):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260" w:type="dxa"/>
            <w:vAlign w:val="bottom"/>
          </w:tcPr>
          <w:p>
            <w:pPr>
              <w:ind w:left="20"/>
              <w:spacing w:after="0"/>
              <w:rPr>
                <w:sz w:val="20"/>
                <w:szCs w:val="20"/>
                <w:color w:val="auto"/>
              </w:rPr>
            </w:pPr>
            <w:r>
              <w:rPr>
                <w:rFonts w:ascii="Arial" w:cs="Arial" w:eastAsia="Arial" w:hAnsi="Arial"/>
                <w:sz w:val="18"/>
                <w:szCs w:val="18"/>
                <w:color w:val="auto"/>
              </w:rPr>
              <w:t>2019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10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10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10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10260" w:type="dxa"/>
            <w:vAlign w:val="bottom"/>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I. Supplemental Cash Flow Information</w:t>
      </w:r>
      <w:r>
        <w:rPr>
          <w:rFonts w:ascii="Arial" w:cs="Arial" w:eastAsia="Arial" w:hAnsi="Arial"/>
          <w:sz w:val="18"/>
          <w:szCs w:val="18"/>
          <w:color w:val="auto"/>
        </w:rPr>
        <w:t xml:space="preserve"> for certain information on noncash investing and financing activities related to our operating lease arrangements.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the risk that the necessary regulatory approvals for the Stewart Merger may not be obtained or may be obtained subject to conditions that are not anticipated; risks that any of the closing conditions to the proposed Stewart Merger may not be satisfied in a timely manner; the risk that our and Stewart's businesses will not be integrated successfully, that such integration may be more difficult, time-consuming or more costly than expected or that the expected benefits of the Stewart Merger will not be realized; and other risks detailed in the “Statement Regarding Forward-Looking Information,” “Risk Factors” and other sections of our Annual Report on Form 10-K (our "Annual Report") for the year ended December 31, 2018 and other filings with the SEC.</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 for the year ended December 31,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 description of our business, including descriptions of segments and recent business developments, see the discussion under Basis of Financial Statements in Note A to the Condensed Consolidated Financial Statements included in Item 1 of Part I of this Report, which is incorporated by reference into this Part I, Item 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9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housing inventory and home prices;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18, 2019, the Mortgage Bankers Association ("MBA") estimated (actual for fiscal year 2018) the size of the U.S. mortgage originations market as shown in the following table for 2018 - 2021 in its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2017, total originations were reflective of a generally improving residential real estate market driven by increasing home prices and historically low mortgage interest rates. Mortgage interest rates increased slightly in 2017 from 2016, but remained low compared to historical rates. In 2018, average interest rates on 30-year, fixed-rate mortgages in the U.S. rose from approximately 4.0% to 4.9% through October, representing an increase of 22%, before retreating to 4.55% in the last week of December according to mortgage buyer Freddie Mac. As a result of the overall upward trend in rates, refinance transactions decreased in both 2017 and 2018 from the historically high levels experienced in preceding years. Existing home sales increased through 2017 and began leveling out in the first half, and decreasing in the second half, of 2018. Coupled with stagnant levels of new home construction over the same time period, the result has been a decline in total housing inventory and increase in average home prices, albeit with decreasing magnitude toward the end of 2018. Through the first quarter of 2019, mortgage interest rates continued to decline to an average of 4.27% in March 2019.</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combination of reduced housing inventory, increasing mortgage interest rates and increasing home prices led the MBA to lower mortgage origination forecasts for 2019 and beyond during the second half of 2018. Market volatility and the shift in mortgage interest rates in late 2018 and into the first quarter of 2019 have created uncertainty in forecasts of future mortgage interest rates and originations. As a result, in early 2019 the U.S. Federal Reserve indicated it will slow or stop its pace of increases to the target federal funds rate. After accounting for the decrease in the first quarter of 2019, mortgage interest rates are generally expected to remain flat in the remaining three quarters of 2019. In a stagnant interest rate environment, refinance transactions are expected to continue to stagnate. However, it is difficult to predict whether the decrease in rates in late 2018 and early 2019 will create short term incentives for residential refinancing transactions. The MBA predicts overall mortgage originations in 2019 through 2021 will remain relatively flat compared to the 2018 period and that rates will return to an upward trend.</w:t>
      </w:r>
    </w:p>
    <w:p>
      <w:pPr>
        <w:spacing w:after="0" w:line="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economic indicators used to measure the health of the U.S. economy, including the unemployment rate and consumer confidence, have continued to indicate the U.S. economy remains on strong footing. According to the U.S. Department of Labor's Bureau of Labor, the unemployment rate was at a historically low 3.8% in March 2019. Additionally, the Conference Board's monthly Consumer Confidence Index has remained at historically high levels through the first quarter of 2019, despite a slight drop in late 2018 and early 2019. Toward the end of the fiscal year of 2018 and into 2019, there has been increased global economic uncertainty and stock market volatility. Such market uncertainty could ultimately impact U.S. real estate markets if they continue to worsen. We believe continued strong readings in domestic U.S. economic indicators present potential tailwinds for mortgage originations, despite growing risks from global economic uncertainties.</w:t>
      </w:r>
    </w:p>
    <w:p>
      <w:pPr>
        <w:spacing w:after="0" w:line="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how the positive effects of a generally strong U.S. economy and the negative effects of flat or slightly increasing mortgage interest rates and global economic uncertainty will impact mortgage originations and our future results of operations from our residential business. We continually monitor mortgage origination trends and believe that, based on our ability to produce industry leading operating margins through all economic cycles, we are well positioned to adjust our operations for adverse changes in real estate activity.</w:t>
      </w:r>
    </w:p>
    <w:p>
      <w:pPr>
        <w:spacing w:after="0" w:line="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Conversely, gradual increases in the Fed Funds Rate and the shift in late 2017 by the U.S. Federal Reserve to unwind its balance sheet are generally expected to adversely impact availability of financing by decreasing the overall money supply. In recent years, we have continued to experience strong demand in commercial real estate markets and from 2015 to 2018, we experienced historically high volumes and fee-per-file in our commercial business.</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fluctuations in the real estate industry. The first calendar quarter is</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also strong due to the desire of commercial entities to complete transactions by year-end. We have noted short-term fluctuations through recent years in resale and refinance transactions as a result of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472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618</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431</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Earnings before income taxes and equity in earnings of unconsolidated affiliates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increased by $29 million in the three months ended March 31, 2019 compared to the corresponding period in 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earnings increased by $108 million in the three months ended March 31, 2019 compared to the corresponding periods in 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expenses consist primarily of Personnel costs; Other operating expenses, which in our title business are incurred as orders are received and processed; and Agent commissions, which are incurred as title agency revenue is recognized.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expense was $65 million and $31 million in the three-month periods ended March 31, 2019 and 2018, respectively. Income tax expense as a percentage of earnings before income taxes was 24.6% and 24.4% for the three-month periods ended March 31, 2019 and 2018, respectively. Income tax expense as a percentage of earnings before income taxes fluctuates depending on our estimate of ultimate income tax liability and changes in the characteristics of net earnings, such as the weighting of operating income versus investment income.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Equity in earnings of unconsolidated affiliates was $7 million and $2 million for the three-month periods ended March 31,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equity in earnings in 2019 and 2018 are attributable to various unconsolidated affiliates.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90"/>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564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88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579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330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from continuing operations, before income taxes and equity in earnings of unconsolidated affiliates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313</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r>
      <w:tr>
        <w:trPr>
          <w:trHeight w:val="27"/>
        </w:trPr>
        <w:tc>
          <w:tcPr>
            <w:tcW w:w="8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increased by $73 million, or 5%, in the three months ended March 31, 2019 from the corresponding period in 2018 primarily driven by realized gains on investments.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4"/>
              </w:rPr>
              <w:t>Three months ended March 31,</w:t>
            </w:r>
          </w:p>
        </w:tc>
        <w:tc>
          <w:tcPr>
            <w:tcW w:w="720" w:type="dxa"/>
            <w:vAlign w:val="bottom"/>
            <w:tcBorders>
              <w:bottom w:val="single" w:sz="8" w:color="auto"/>
            </w:tcBorders>
          </w:tcPr>
          <w:p>
            <w:pPr>
              <w:spacing w:after="0"/>
              <w:rPr>
                <w:sz w:val="16"/>
                <w:szCs w:val="16"/>
                <w:color w:val="auto"/>
              </w:rPr>
            </w:pPr>
          </w:p>
        </w:tc>
      </w:tr>
      <w:tr>
        <w:trPr>
          <w:trHeight w:val="258"/>
        </w:trPr>
        <w:tc>
          <w:tcPr>
            <w:tcW w:w="7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 of</w:t>
            </w:r>
          </w:p>
        </w:tc>
      </w:tr>
      <w:tr>
        <w:trPr>
          <w:trHeight w:val="276"/>
        </w:trPr>
        <w:tc>
          <w:tcPr>
            <w:tcW w:w="7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r>
      <w:tr>
        <w:trPr>
          <w:trHeight w:val="196"/>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(Dollars in millions)</w:t>
            </w:r>
          </w:p>
        </w:tc>
        <w:tc>
          <w:tcPr>
            <w:tcW w:w="72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552</w:t>
            </w: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97"/>
              <w:spacing w:after="0"/>
              <w:rPr>
                <w:sz w:val="20"/>
                <w:szCs w:val="20"/>
                <w:color w:val="auto"/>
              </w:rPr>
            </w:pPr>
            <w:r>
              <w:rPr>
                <w:rFonts w:ascii="Arial" w:cs="Arial" w:eastAsia="Arial" w:hAnsi="Arial"/>
                <w:sz w:val="18"/>
                <w:szCs w:val="18"/>
                <w:color w:val="auto"/>
              </w:rPr>
              <w:t>54</w:t>
            </w: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decreased by 4% in the three months ended March 31, 2019 as compared to the corresponding period in 2018. The decrease is comprised of a decrease in Title premiums from direct operations of $32 million, or 7%, and a decrease in Title premiums from agency operations of $12 million, or 2%, in the three months ended March 31, 2019.</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660" w:type="dxa"/>
            <w:vAlign w:val="bottom"/>
          </w:tcPr>
          <w:p>
            <w:pPr>
              <w:spacing w:after="0"/>
              <w:rPr>
                <w:sz w:val="22"/>
                <w:szCs w:val="22"/>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866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7"/>
        </w:trPr>
        <w:tc>
          <w:tcPr>
            <w:tcW w:w="866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6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866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6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6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660" w:type="dxa"/>
            <w:vAlign w:val="bottom"/>
          </w:tcPr>
          <w:p>
            <w:pPr>
              <w:spacing w:after="0"/>
              <w:rPr>
                <w:sz w:val="20"/>
                <w:szCs w:val="20"/>
                <w:color w:val="auto"/>
              </w:rPr>
            </w:pPr>
            <w:r>
              <w:rPr>
                <w:rFonts w:ascii="Arial" w:cs="Arial" w:eastAsia="Arial" w:hAnsi="Arial"/>
                <w:sz w:val="18"/>
                <w:szCs w:val="18"/>
                <w:color w:val="auto"/>
              </w:rPr>
              <w:t>(1)  Percentages exclude consideration of an immaterial number of non-purchase and non-refinance orders.</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Title premiums from direct operations decreased in the three months ended March 31, 2019 as compared to the corresponding period in 2018. The decrease is primarily attributable to a decrease in overall closed order volume, partially offset by an increase in the fee per file.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experienced a decrease in closed title insurance order volumes from both purchase and refinance transactions in the three months ended March 31, 2019 as compared to the corresponding period in 2018. Total closed order volumes were 263,000 in the three months ended March 31, 2019 compared with 313,000 in the three months ended March 31, 2018. This represented an overall decrease of 16%. Opened title order volumes trended directionally consistent with closed order volumes.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average fee per file in our direct operations was $2,567 in the three months ended March 31, 2019 compared to $2,344 in the three months ended March 31, 2018. The increase in average fee per file reflects a favorable change in mix of closed orders from purchase and refinance transactions and a favorable increase in average home prices of underlying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Title premiums from agency operations decreased $12 million, or 2%, in the three months ended March 31, 2019 as compared to the corresponding period in 2018. The decrease was directionally consistent with the trend in title premiums from direct operations.</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Escrow, title-related and other fees decreased by $35 million, or 7%, in the three months ended March 31, 2019 from the corresponding period in 2018. Escrow fees, which are more closely related to our direct operations, decreased by $18 million, or 10%, in the three months ended March 31, 2019 compared to the corresponding period in 2018. The decrease is primarily attributable to the decrease in closed order volumes. Other fees in the Title segment, excluding escrow fees, decreased in the three months ended March 31, 2019 compared to the corresponding period in 2018. The decrease was primarily driven by decreased revenue associated with ServiceLink's foreclosure facilitation and appraisal businesses.</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increased by $11 million in the three months ended March 31, 2019 compared to the corresponding period in 2018. The increase was primarily driven by the impact of increased market interest rates</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investment portfolio and float income on tax-deferred property exchange businesses as well as an increase in average fixed maturity holdings quarter over quarter.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Realized gains and losses, net, increased $141 million in the three months ended March 31, 2019 from the comparable period in 2018. The increase is primarily attributable to increased non-cash valuation gains on our equity and preferred security holdings.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decreased $28 million, or 5%, in the three months ended March 31, 2019 compared to the corresponding period in 2018. The decrease in the 2019 period is primarily attributable to lower headcount resulting from the decrease in direct title premiums. Personnel costs as a percentage of total revenues from direct title premiums and escrow, title-related and other fees were 60% and 59% for the three-month periods ended March 31, 2019 and 2018, respectively. Average employee count in the Title segment was 22,170 and 23,011 in the three-month periods ended March 31, 2019 and 2018, respectively.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operating expenses decreased by $15 million, or 5% in the three months ended March 31, 2019 from the corresponding period in 2018. Other operating expenses as a percentage of total revenue excluding agency premiums, interest and investment income, and realized gains and losses were flat in the three months ended March 31, 2019 compared to the comparable period in 2018.</w:t>
      </w:r>
    </w:p>
    <w:p>
      <w:pPr>
        <w:spacing w:after="0" w:line="7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2018:</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claim loss provision for title insurance was $45 million and $47 million for the three-month periods ended March 31, 2019 and 2018, respectively, and reflects an average provision rate of 4.5% of title premiums.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September 24, 2018, we closed on the sale of Pacific Union, a real estate brokerage. The results of operations of Pacific Union are included through the date of sale.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Corporate and Other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56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190"/>
        </w:trPr>
        <w:tc>
          <w:tcPr>
            <w:tcW w:w="8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r>
      <w:tr>
        <w:trPr>
          <w:trHeight w:val="255"/>
        </w:trPr>
        <w:tc>
          <w:tcPr>
            <w:tcW w:w="8560" w:type="dxa"/>
            <w:vAlign w:val="bottom"/>
          </w:tcPr>
          <w:p>
            <w:pPr>
              <w:ind w:left="40"/>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
        </w:trPr>
        <w:tc>
          <w:tcPr>
            <w:tcW w:w="8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82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8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82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93</w:t>
            </w:r>
          </w:p>
        </w:tc>
      </w:tr>
      <w:tr>
        <w:trPr>
          <w:trHeight w:val="27"/>
        </w:trPr>
        <w:tc>
          <w:tcPr>
            <w:tcW w:w="8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8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8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 and equity in earnings of unconsolidated affiliates</w:t>
            </w: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8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revenue in the Corporate and Other segment for all periods represents revenue generated by our non-title real estate technology and brokerage subsidiaries as well as mark-to-market valuation changes on certain corporate deferred compensation plans.</w:t>
      </w:r>
    </w:p>
    <w:p>
      <w:pPr>
        <w:spacing w:after="0" w:line="6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Total revenues in the Corporate and Other segment decreased $44 million, or 43%, in the three-month period ended March 31, 2019 from the corresponding period in 2018. The decrease is primarily attributable to our sale of Pacific Union, partially offset by increased revenue of $18 million associated with the valuation of deferred compensation assets. The segment includes revenues of $67 million in the 2018 period for Pacific Union and its subsidiaries.</w:t>
      </w:r>
    </w:p>
    <w:p>
      <w:pPr>
        <w:spacing w:after="0" w:line="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Personnel costs in the Corporate and Other segment increased $13 million, or 46%, in the three-month period ended March 31, 2019 from the corresponding period in 2018. The increase is primarily attributable to increased expense associated with the aforementioned increase in the valuation of deferred compensation plan assets and increased costs resulting from growth of our real estate technology subsidiaries, partially offset by our sale of Pacific Union.</w:t>
      </w:r>
    </w:p>
    <w:p>
      <w:pPr>
        <w:spacing w:after="0" w:line="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operating expenses in the Corporate and Other segment decreased $64 million, or 69%, in the three-month period ended March 31, 2019 from the corresponding period in 2018. The decrease is primarily attributable to our sale of Pacific Union.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on our debt, capital expenditures, business acquisitions, stock repurchases and dividends on our common stock. We paid dividends of $0.31 per share in the first quarter of 2019, or approximately $85 million to our FNF common shareholders. On April 24, 2019, our Board of Directors declared cash dividends of $[0.31] per share, payable on June 28, 2019, to FNF common shareholders of record as of June 14, 2019.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March 31, 2019, we had cash and cash equivalents of $1,123 million, short term investments of $213 million and available capacity under our Revolving Credit Facility of $800 million. 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our title claim loss reserves, we do not specifically match durations of our investments to the cash outflows required to pay claims, but do manage outflows on a shorter time frame.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2018, $1,518 million of our net assets were restricted from dividend payments without prior approval from the relevant departments of insurance. We anticipate that our title insurance subsidiaries will pay or make dividends in the remainder of 2019 of approximately $385 million. Our underwritten title companies and non-insurance subsidiaries are not regulated to the same extent as our insurance subsidiaries.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(used in) provided by operations for the three months ended March 31, 2019 and 2018 totaled $(4) million and $18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decrease in cash provided by (increase in cash used in) operating activities of $22 million is primarily attributable to timing of receipt and payment of prepaid assets, receivables and payables.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provided by (used in) investing activities for the three months ended March 31, 2019 and 2018 were $94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$(32) million, respectively. The increase in cash provided by (decrease in cash used in) investing activities of $126 million in the 2019 period compared to the 2018 period is primarily attributable to a $245 million increase in net cash inflow (decrease in net outflow) from sales of investments and distributions of and from equity and fixed income investments, net of purchases of investments and additional investments in unconsolidated investees, partially offset by an outflow of $100 million for our funding of the draw on the Cannae Revolver and the inclusion of $21 million of proceeds from the sale of property in the 2018 period.</w:t>
      </w:r>
    </w:p>
    <w:p>
      <w:pPr>
        <w:spacing w:after="0" w:line="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$22 million and $20 million for the three-month periods ended March 31, 2019 and 2018,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used in financing activities for the three months ended March 31, 2019 and 2018 were $224 million and $136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increase in cash used in financing activities of $88 million from the 2019 period to the 2018 period is primarily attributable to an outflow of $113 million resulting from the change in secured trust deposits and $18 million for treasury stock purchases in the 2019 period, partially offset by the inclusion of $46 million of debt service in the 2018 period.</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1 of Part 1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Item 2 of Part I.</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July 17, 2018, our Board of Directors approved a new three-year stock repurchase program effective August 1, 2018 (the</w:t>
      </w:r>
      <w:r>
        <w:rPr>
          <w:rFonts w:ascii="Arial" w:cs="Arial" w:eastAsia="Arial" w:hAnsi="Arial"/>
          <w:sz w:val="17"/>
          <w:szCs w:val="17"/>
          <w:i w:val="1"/>
          <w:iCs w:val="1"/>
          <w:color w:val="auto"/>
        </w:rPr>
        <w:t xml:space="preserve"> </w:t>
      </w:r>
      <w:r>
        <w:rPr>
          <w:rFonts w:ascii="Arial" w:cs="Arial" w:eastAsia="Arial" w:hAnsi="Arial"/>
          <w:sz w:val="17"/>
          <w:szCs w:val="17"/>
          <w:color w:val="auto"/>
        </w:rPr>
        <w:t>"2018 Repurchase Program") under which we may purchase up to 25 million shares of our FNF common stock through July 31, 2021. We may make repurchases from time to time in the open market, in block purchases or in privately negotiated transactions, depending on market conditions and other factors. We repurchased 510,000 shares of FNF common stock during the three months ended March 31, 2019 for approximately $18 million, or an average of $34.96 per share. Subsequent to March 31, 2019 through market close on April 25, 2019, we purchased 60,000 additional shares for $2 million, or an average of $37.74 per share. Since the original commencement of the 2018 Repurchase Program through market close on April 25, 2019, we repurchased a total of 1,230,000 FNF common shares for $41 million, or an average of $33.70 per share.</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Equity and Preferred Security Investments. </w:t>
      </w:r>
      <w:r>
        <w:rPr>
          <w:rFonts w:ascii="Arial" w:cs="Arial" w:eastAsia="Arial" w:hAnsi="Arial"/>
          <w:sz w:val="18"/>
          <w:szCs w:val="18"/>
          <w:color w:val="auto"/>
        </w:rPr>
        <w:t>Our equity and preferred security investments may be subject to significant volatility. Currently prevailing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There have been no significant changes to our off-balance sheet arrangements since our Annual Report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There have been no material changes to our critical accounting policies described in our Annual Report for our fiscal year ended December 31, 2018.</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2018.</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repurchases of equity securities by FNF during the three months ended March 31, 2019:</w:t>
      </w: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440" w:type="dxa"/>
            <w:vAlign w:val="bottom"/>
            <w:vMerge w:val="restart"/>
          </w:tcPr>
          <w:p>
            <w:pPr>
              <w:jc w:val="center"/>
              <w:ind w:left="1588"/>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44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3440" w:type="dxa"/>
            <w:vAlign w:val="bottom"/>
          </w:tcPr>
          <w:p>
            <w:pPr>
              <w:jc w:val="center"/>
              <w:ind w:left="1608"/>
              <w:spacing w:after="0"/>
              <w:rPr>
                <w:sz w:val="20"/>
                <w:szCs w:val="20"/>
                <w:color w:val="auto"/>
              </w:rPr>
            </w:pPr>
            <w:r>
              <w:rPr>
                <w:rFonts w:ascii="Arial" w:cs="Arial" w:eastAsia="Arial" w:hAnsi="Arial"/>
                <w:sz w:val="14"/>
                <w:szCs w:val="14"/>
                <w:b w:val="1"/>
                <w:bCs w:val="1"/>
                <w:color w:val="auto"/>
                <w:w w:val="89"/>
              </w:rPr>
              <w:t>Purchased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60"/>
        <w:spacing w:after="0" w:line="258"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260" w:space="240"/>
            <w:col w:w="1920"/>
          </w:cols>
          <w:pgMar w:left="240" w:top="121" w:right="239" w:bottom="1440" w:gutter="0" w:footer="0" w:header="0"/>
          <w:type w:val="continuous"/>
        </w:sectPr>
      </w:pPr>
    </w:p>
    <w:tbl>
      <w:tblPr>
        <w:tblLayout w:type="fixed"/>
        <w:tblInd w:w="260" w:type="dxa"/>
        <w:tblCellMar>
          <w:top w:w="0" w:type="dxa"/>
          <w:left w:w="0" w:type="dxa"/>
          <w:bottom w:w="0" w:type="dxa"/>
          <w:right w:w="0" w:type="dxa"/>
        </w:tblCellMar>
      </w:tblPr>
      <w:tr>
        <w:trPr>
          <w:trHeight w:val="245"/>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1/1/2019 - 1/31/2019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24,280,000</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2/1/2019 - 2/28/2019</w:t>
            </w: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24,145,000</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3/1/2019 - 3/31/2019</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315,000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23,830,000</w:t>
            </w: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510,000</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510,000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6" w:lineRule="exact"/>
        <w:rPr>
          <w:sz w:val="20"/>
          <w:szCs w:val="20"/>
          <w:color w:val="auto"/>
        </w:rPr>
      </w:pPr>
    </w:p>
    <w:p>
      <w:pPr>
        <w:ind w:left="9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July 17, 2018, our Board of Directors approved the 2018 Repurchase Program, effective August 1, 2018, under which we may purchase up to 25 million shares of our FNF common stock through July 31, 2021.</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-455930</wp:posOffset>
            </wp:positionV>
            <wp:extent cx="3215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Table of Contents</w:t>
              </w:r>
            </w:hyperlink>
          </w:p>
        </w:tc>
        <w:tc>
          <w:tcPr>
            <w:tcW w:w="15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696"/>
        </w:trPr>
        <w:tc>
          <w:tcPr>
            <w:tcW w:w="13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 Exhibits</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24"/>
        </w:trPr>
        <w:tc>
          <w:tcPr>
            <w:tcW w:w="152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15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360" w:type="dxa"/>
            <w:vAlign w:val="bottom"/>
          </w:tcPr>
          <w:p>
            <w:pPr>
              <w:jc w:val="right"/>
              <w:ind w:right="59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72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Certification of Chief Executive Officer pursuant to Section 302 of the Sarbanes-Oxley Act of 2002.</w:t>
              </w:r>
            </w:hyperlink>
          </w:p>
        </w:tc>
        <w:tc>
          <w:tcPr>
            <w:tcW w:w="2620" w:type="dxa"/>
            <w:vAlign w:val="bottom"/>
          </w:tcPr>
          <w:p>
            <w:pPr>
              <w:spacing w:after="0"/>
              <w:rPr>
                <w:sz w:val="24"/>
                <w:szCs w:val="24"/>
                <w:color w:val="auto"/>
              </w:rPr>
            </w:pPr>
          </w:p>
        </w:tc>
      </w:tr>
      <w:tr>
        <w:trPr>
          <w:trHeight w:val="520"/>
        </w:trPr>
        <w:tc>
          <w:tcPr>
            <w:tcW w:w="1360" w:type="dxa"/>
            <w:vAlign w:val="bottom"/>
          </w:tcPr>
          <w:p>
            <w:pPr>
              <w:jc w:val="right"/>
              <w:ind w:right="59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86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520"/>
        </w:trPr>
        <w:tc>
          <w:tcPr>
            <w:tcW w:w="1360" w:type="dxa"/>
            <w:vAlign w:val="bottom"/>
          </w:tcPr>
          <w:p>
            <w:pPr>
              <w:jc w:val="right"/>
              <w:ind w:right="59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986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36">
              <w:r>
                <w:rPr>
                  <w:rFonts w:ascii="Arial" w:cs="Arial" w:eastAsia="Arial" w:hAnsi="Arial"/>
                  <w:sz w:val="18"/>
                  <w:szCs w:val="18"/>
                  <w:color w:val="0000FF"/>
                  <w:w w:val="93"/>
                </w:rPr>
                <w:t>Certification by Chief Executive Officer of Periodic Financial Reports pursuant to Section 906 of the Sarbanes-Oxley Act of 2002, 18</w:t>
              </w:r>
            </w:hyperlink>
          </w:p>
        </w:tc>
      </w:tr>
      <w:tr>
        <w:trPr>
          <w:trHeight w:val="196"/>
        </w:trPr>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60" w:type="dxa"/>
            <w:vAlign w:val="bottom"/>
            <w:gridSpan w:val="4"/>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U.S.C. Section 1350.</w:t>
              </w:r>
            </w:hyperlink>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r>
      <w:tr>
        <w:trPr>
          <w:trHeight w:val="520"/>
        </w:trPr>
        <w:tc>
          <w:tcPr>
            <w:tcW w:w="1360" w:type="dxa"/>
            <w:vAlign w:val="bottom"/>
          </w:tcPr>
          <w:p>
            <w:pPr>
              <w:jc w:val="right"/>
              <w:ind w:right="59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986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37">
              <w:r>
                <w:rPr>
                  <w:rFonts w:ascii="Arial" w:cs="Arial" w:eastAsia="Arial" w:hAnsi="Arial"/>
                  <w:sz w:val="18"/>
                  <w:szCs w:val="18"/>
                  <w:color w:val="0000FF"/>
                  <w:w w:val="94"/>
                </w:rPr>
                <w:t>Certification by Chief Financial Officer of Periodic Financial Reports pursuant to Section 906 of the Sarbanes-Oxley Act of 2002, 18</w:t>
              </w:r>
            </w:hyperlink>
          </w:p>
        </w:tc>
      </w:tr>
      <w:tr>
        <w:trPr>
          <w:trHeight w:val="196"/>
        </w:trPr>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60" w:type="dxa"/>
            <w:vAlign w:val="bottom"/>
            <w:gridSpan w:val="4"/>
          </w:tcPr>
          <w:p>
            <w:pPr>
              <w:spacing w:after="0" w:line="196" w:lineRule="exact"/>
              <w:rPr>
                <w:rFonts w:ascii="Arial" w:cs="Arial" w:eastAsia="Arial" w:hAnsi="Arial"/>
                <w:sz w:val="18"/>
                <w:szCs w:val="18"/>
                <w:color w:val="0000FF"/>
              </w:rPr>
            </w:pPr>
            <w:hyperlink w:anchor="page37">
              <w:r>
                <w:rPr>
                  <w:rFonts w:ascii="Arial" w:cs="Arial" w:eastAsia="Arial" w:hAnsi="Arial"/>
                  <w:sz w:val="18"/>
                  <w:szCs w:val="18"/>
                  <w:color w:val="0000FF"/>
                </w:rPr>
                <w:t>U.S.C. Section 1350.</w:t>
              </w:r>
            </w:hyperlink>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520" w:hanging="1127"/>
        <w:spacing w:after="0" w:line="25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ended March 31, 2019,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08"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Date: April 26, 2019</w:t>
            </w:r>
          </w:p>
        </w:tc>
        <w:tc>
          <w:tcPr>
            <w:tcW w:w="6460" w:type="dxa"/>
            <w:vAlign w:val="bottom"/>
            <w:gridSpan w:val="2"/>
          </w:tcPr>
          <w:p>
            <w:pPr>
              <w:ind w:left="176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240" w:type="dxa"/>
            <w:vAlign w:val="bottom"/>
          </w:tcPr>
          <w:p>
            <w:pPr>
              <w:spacing w:after="0"/>
              <w:rPr>
                <w:sz w:val="20"/>
                <w:szCs w:val="20"/>
                <w:color w:val="auto"/>
              </w:rPr>
            </w:pPr>
          </w:p>
        </w:tc>
        <w:tc>
          <w:tcPr>
            <w:tcW w:w="6460" w:type="dxa"/>
            <w:vAlign w:val="bottom"/>
            <w:gridSpan w:val="2"/>
          </w:tcPr>
          <w:p>
            <w:pPr>
              <w:ind w:left="1760"/>
              <w:spacing w:after="0"/>
              <w:rPr>
                <w:sz w:val="20"/>
                <w:szCs w:val="20"/>
                <w:color w:val="auto"/>
              </w:rPr>
            </w:pPr>
            <w:r>
              <w:rPr>
                <w:rFonts w:ascii="Arial" w:cs="Arial" w:eastAsia="Arial" w:hAnsi="Arial"/>
                <w:sz w:val="18"/>
                <w:szCs w:val="18"/>
                <w:color w:val="auto"/>
              </w:rPr>
              <w:t>(registrant)</w:t>
            </w:r>
          </w:p>
        </w:tc>
      </w:tr>
      <w:tr>
        <w:trPr>
          <w:trHeight w:val="486"/>
        </w:trPr>
        <w:tc>
          <w:tcPr>
            <w:tcW w:w="3240" w:type="dxa"/>
            <w:vAlign w:val="bottom"/>
          </w:tcPr>
          <w:p>
            <w:pPr>
              <w:spacing w:after="0"/>
              <w:rPr>
                <w:sz w:val="24"/>
                <w:szCs w:val="24"/>
                <w:color w:val="auto"/>
              </w:rPr>
            </w:pPr>
          </w:p>
        </w:tc>
        <w:tc>
          <w:tcPr>
            <w:tcW w:w="6460" w:type="dxa"/>
            <w:vAlign w:val="bottom"/>
            <w:gridSpan w:val="2"/>
          </w:tcPr>
          <w:p>
            <w:pPr>
              <w:ind w:left="1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2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702"/>
        </w:trPr>
        <w:tc>
          <w:tcPr>
            <w:tcW w:w="324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April 26, 2019</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April 26, 2019</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840"/>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2019-12-28T13:28:26Z</dcterms:created>
  <dcterms:modified xsi:type="dcterms:W3CDTF">2019-12-28T13:28:26Z</dcterms:modified>
</cp:coreProperties>
</file>