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2320" w:right="1080" w:hanging="1144"/>
        <w:spacing w:after="0" w:line="282" w:lineRule="auto"/>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320" w:right="1080" w:hanging="1108"/>
        <w:spacing w:after="0" w:line="282" w:lineRule="auto"/>
        <w:tabs>
          <w:tab w:leader="none" w:pos="2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Delaware</w:t>
            </w:r>
          </w:p>
        </w:tc>
        <w:tc>
          <w:tcPr>
            <w:tcW w:w="3620" w:type="dxa"/>
            <w:vAlign w:val="bottom"/>
          </w:tcPr>
          <w:p>
            <w:pPr>
              <w:jc w:val="right"/>
              <w:ind w:right="2090"/>
              <w:spacing w:after="0"/>
              <w:rPr>
                <w:sz w:val="20"/>
                <w:szCs w:val="20"/>
                <w:color w:val="auto"/>
              </w:rPr>
            </w:pPr>
            <w:r>
              <w:rPr>
                <w:rFonts w:ascii="Arial" w:cs="Arial" w:eastAsia="Arial" w:hAnsi="Arial"/>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1"/>
              </w:rPr>
              <w:t>601 Riverside Avenue, Jacksonville, Florida</w:t>
            </w: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r>
        <w:trPr>
          <w:trHeight w:val="257"/>
        </w:trPr>
        <w:tc>
          <w:tcPr>
            <w:tcW w:w="7800" w:type="dxa"/>
            <w:vAlign w:val="bottom"/>
            <w:gridSpan w:val="3"/>
          </w:tcPr>
          <w:p>
            <w:pPr>
              <w:jc w:val="right"/>
              <w:ind w:right="1520"/>
              <w:spacing w:after="0"/>
              <w:rPr>
                <w:sz w:val="20"/>
                <w:szCs w:val="20"/>
                <w:color w:val="auto"/>
              </w:rPr>
            </w:pPr>
            <w:r>
              <w:rPr>
                <w:rFonts w:ascii="Arial" w:cs="Arial" w:eastAsia="Arial" w:hAnsi="Arial"/>
                <w:sz w:val="18"/>
                <w:szCs w:val="18"/>
                <w:color w:val="auto"/>
              </w:rPr>
              <w:t>(904) 854-8100</w:t>
            </w:r>
          </w:p>
        </w:tc>
        <w:tc>
          <w:tcPr>
            <w:tcW w:w="3620" w:type="dxa"/>
            <w:vAlign w:val="bottom"/>
          </w:tcPr>
          <w:p>
            <w:pPr>
              <w:spacing w:after="0"/>
              <w:rPr>
                <w:sz w:val="22"/>
                <w:szCs w:val="22"/>
                <w:color w:val="auto"/>
              </w:rPr>
            </w:pPr>
          </w:p>
        </w:tc>
      </w:tr>
      <w:tr>
        <w:trPr>
          <w:trHeight w:val="134"/>
        </w:trPr>
        <w:tc>
          <w:tcPr>
            <w:tcW w:w="7800" w:type="dxa"/>
            <w:vAlign w:val="bottom"/>
            <w:gridSpan w:val="3"/>
          </w:tcPr>
          <w:p>
            <w:pPr>
              <w:jc w:val="right"/>
              <w:ind w:right="28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0"/>
        </w:trPr>
        <w:tc>
          <w:tcPr>
            <w:tcW w:w="7800" w:type="dxa"/>
            <w:vAlign w:val="bottom"/>
            <w:gridSpan w:val="3"/>
          </w:tcPr>
          <w:p>
            <w:pPr>
              <w:ind w:left="3800"/>
              <w:spacing w:after="0"/>
              <w:rPr>
                <w:sz w:val="20"/>
                <w:szCs w:val="20"/>
                <w:color w:val="auto"/>
              </w:rPr>
            </w:pPr>
            <w:r>
              <w:rPr>
                <w:rFonts w:ascii="Arial" w:cs="Arial" w:eastAsia="Arial" w:hAnsi="Arial"/>
                <w:sz w:val="18"/>
                <w:szCs w:val="18"/>
                <w:color w:val="auto"/>
                <w:w w:val="94"/>
              </w:rPr>
              <w:t>(Registrant’s telephone number, including area code)</w:t>
            </w:r>
          </w:p>
        </w:tc>
        <w:tc>
          <w:tcPr>
            <w:tcW w:w="3620" w:type="dxa"/>
            <w:vAlign w:val="bottom"/>
          </w:tcPr>
          <w:p>
            <w:pPr>
              <w:spacing w:after="0"/>
              <w:rPr>
                <w:sz w:val="20"/>
                <w:szCs w:val="20"/>
                <w:color w:val="auto"/>
              </w:rPr>
            </w:pPr>
          </w:p>
        </w:tc>
      </w:tr>
    </w:tbl>
    <w:p>
      <w:pPr>
        <w:spacing w:after="0" w:line="94"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 w:lineRule="exact"/>
        <w:rPr>
          <w:sz w:val="24"/>
          <w:szCs w:val="24"/>
          <w:color w:val="auto"/>
        </w:rPr>
      </w:pPr>
    </w:p>
    <w:p>
      <w:pPr>
        <w:ind w:left="40"/>
        <w:spacing w:after="0" w:line="207" w:lineRule="exact"/>
        <w:tabs>
          <w:tab w:leader="none" w:pos="3280" w:val="left"/>
          <w:tab w:leader="none" w:pos="590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96"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reporting company)</w:t>
      </w:r>
    </w:p>
    <w:p>
      <w:pPr>
        <w:spacing w:after="0" w:line="2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April 30, 2016 were: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8"/>
              </w:rPr>
              <w:t>FNF Group Common Stock</w:t>
            </w:r>
          </w:p>
        </w:tc>
        <w:tc>
          <w:tcPr>
            <w:tcW w:w="9260" w:type="dxa"/>
            <w:vAlign w:val="bottom"/>
          </w:tcPr>
          <w:p>
            <w:pPr>
              <w:jc w:val="right"/>
              <w:ind w:right="8230"/>
              <w:spacing w:after="0"/>
              <w:rPr>
                <w:sz w:val="20"/>
                <w:szCs w:val="20"/>
                <w:color w:val="auto"/>
              </w:rPr>
            </w:pPr>
            <w:r>
              <w:rPr>
                <w:rFonts w:ascii="Arial" w:cs="Arial" w:eastAsia="Arial" w:hAnsi="Arial"/>
                <w:sz w:val="18"/>
                <w:szCs w:val="18"/>
                <w:color w:val="auto"/>
                <w:w w:val="91"/>
              </w:rPr>
              <w:t>274,043,227</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w w:val="92"/>
              </w:rPr>
              <w:t>FNFV Group Common Stock</w:t>
            </w:r>
          </w:p>
        </w:tc>
        <w:tc>
          <w:tcPr>
            <w:tcW w:w="9260" w:type="dxa"/>
            <w:vAlign w:val="bottom"/>
          </w:tcPr>
          <w:p>
            <w:pPr>
              <w:jc w:val="right"/>
              <w:ind w:right="8150"/>
              <w:spacing w:after="0"/>
              <w:rPr>
                <w:sz w:val="20"/>
                <w:szCs w:val="20"/>
                <w:color w:val="auto"/>
              </w:rPr>
            </w:pPr>
            <w:r>
              <w:rPr>
                <w:rFonts w:ascii="Arial" w:cs="Arial" w:eastAsia="Arial" w:hAnsi="Arial"/>
                <w:sz w:val="18"/>
                <w:szCs w:val="18"/>
                <w:color w:val="auto"/>
              </w:rPr>
              <w:t>68,716,364</w:t>
            </w:r>
          </w:p>
        </w:tc>
      </w:tr>
      <w:tr>
        <w:trPr>
          <w:trHeight w:val="372"/>
        </w:trPr>
        <w:tc>
          <w:tcPr>
            <w:tcW w:w="21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r>
        <w:trPr>
          <w:trHeight w:val="122"/>
        </w:trPr>
        <w:tc>
          <w:tcPr>
            <w:tcW w:w="216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March 31, 2016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6"/>
          </w:tcPr>
          <w:p>
            <w:pPr>
              <w:spacing w:after="0" w:line="202"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Part I: FINANCIAL INFORMATION</w:t>
              </w:r>
            </w:hyperlink>
          </w:p>
        </w:tc>
        <w:tc>
          <w:tcPr>
            <w:tcW w:w="7500" w:type="dxa"/>
            <w:vAlign w:val="bottom"/>
            <w:gridSpan w:val="12"/>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March 31, 2016 and December 31, 2015</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 Condensed Consolidated Statements of Earnings for the three-month periods ended March 31, 2016 and 2015</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2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 Condensed Consolidated Statements of Comprehensive Earnings for the three-month periods ended March 31, 2016 and 2015</w:t>
              </w:r>
            </w:hyperlink>
          </w:p>
        </w:tc>
        <w:tc>
          <w:tcPr>
            <w:tcW w:w="44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D. Condensed Consolidated Statement of Equity for the three-month period ended March 31, 2016</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83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E. Condensed Consolidated Statements of Cash Flows for the three-month periods ended March 31, 2016 and 2015</w:t>
              </w:r>
            </w:hyperlink>
          </w:p>
        </w:tc>
        <w:tc>
          <w:tcPr>
            <w:tcW w:w="1420" w:type="dxa"/>
            <w:vAlign w:val="bottom"/>
            <w:gridSpan w:val="2"/>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1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F. Notes to Condensed Consolidated Financial Statements</w:t>
              </w:r>
            </w:hyperlink>
          </w:p>
        </w:tc>
        <w:tc>
          <w:tcPr>
            <w:tcW w:w="5560" w:type="dxa"/>
            <w:vAlign w:val="bottom"/>
            <w:gridSpan w:val="9"/>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840" w:type="dxa"/>
            <w:vAlign w:val="bottom"/>
            <w:gridSpan w:val="9"/>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Item 3. Quantitative and Qualitative Disclosure About Market Risk</w:t>
              </w:r>
            </w:hyperlink>
          </w:p>
        </w:tc>
        <w:tc>
          <w:tcPr>
            <w:tcW w:w="2160" w:type="dxa"/>
            <w:vAlign w:val="bottom"/>
            <w:gridSpan w:val="3"/>
          </w:tcPr>
          <w:p>
            <w:pPr>
              <w:spacing w:after="0"/>
              <w:rPr>
                <w:sz w:val="21"/>
                <w:szCs w:val="21"/>
                <w:color w:val="auto"/>
              </w:rPr>
            </w:pPr>
          </w:p>
        </w:tc>
        <w:tc>
          <w:tcPr>
            <w:tcW w:w="272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4.</w:t>
              </w:r>
            </w:hyperlink>
          </w:p>
        </w:tc>
        <w:tc>
          <w:tcPr>
            <w:tcW w:w="4320" w:type="dxa"/>
            <w:vAlign w:val="bottom"/>
            <w:gridSpan w:val="8"/>
          </w:tcPr>
          <w:p>
            <w:pPr>
              <w:ind w:left="20"/>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4880" w:type="dxa"/>
            <w:vAlign w:val="bottom"/>
            <w:gridSpan w:val="8"/>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tc>
      </w:tr>
      <w:tr>
        <w:trPr>
          <w:trHeight w:val="20"/>
        </w:trPr>
        <w:tc>
          <w:tcPr>
            <w:tcW w:w="5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Item 1.</w:t>
              </w:r>
            </w:hyperlink>
          </w:p>
        </w:tc>
        <w:tc>
          <w:tcPr>
            <w:tcW w:w="1360" w:type="dxa"/>
            <w:vAlign w:val="bottom"/>
            <w:tcBorders>
              <w:top w:val="single" w:sz="8" w:color="0000FF"/>
            </w:tcBorders>
            <w:gridSpan w:val="2"/>
          </w:tcPr>
          <w:p>
            <w:pPr>
              <w:ind w:left="20"/>
              <w:spacing w:after="0"/>
              <w:rPr>
                <w:rFonts w:ascii="Arial" w:cs="Arial" w:eastAsia="Arial" w:hAnsi="Arial"/>
                <w:sz w:val="18"/>
                <w:szCs w:val="18"/>
                <w:color w:val="0000FF"/>
                <w:w w:val="88"/>
              </w:rPr>
            </w:pPr>
            <w:hyperlink w:anchor="page35">
              <w:r>
                <w:rPr>
                  <w:rFonts w:ascii="Arial" w:cs="Arial" w:eastAsia="Arial" w:hAnsi="Arial"/>
                  <w:sz w:val="18"/>
                  <w:szCs w:val="18"/>
                  <w:color w:val="0000FF"/>
                  <w:w w:val="8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3"/>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Item 2.</w:t>
              </w:r>
            </w:hyperlink>
          </w:p>
        </w:tc>
        <w:tc>
          <w:tcPr>
            <w:tcW w:w="4380" w:type="dxa"/>
            <w:vAlign w:val="bottom"/>
            <w:gridSpan w:val="9"/>
          </w:tcPr>
          <w:p>
            <w:pPr>
              <w:ind w:left="2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Unregistered Sales of Equity Securities and Use of Proceeds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6.</w:t>
              </w:r>
            </w:hyperlink>
          </w:p>
        </w:tc>
        <w:tc>
          <w:tcPr>
            <w:tcW w:w="4380" w:type="dxa"/>
            <w:vAlign w:val="bottom"/>
            <w:gridSpan w:val="9"/>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480" w:type="dxa"/>
            <w:vAlign w:val="bottom"/>
            <w:gridSpan w:val="2"/>
          </w:tcPr>
          <w:p>
            <w:pPr>
              <w:ind w:left="4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jc w:val="center"/>
              <w:ind w:left="98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jc w:val="center"/>
              <w:ind w:left="96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jc w:val="center"/>
              <w:ind w:left="980"/>
              <w:spacing w:after="0"/>
              <w:rPr>
                <w:sz w:val="20"/>
                <w:szCs w:val="20"/>
                <w:color w:val="auto"/>
              </w:rPr>
            </w:pPr>
            <w:r>
              <w:rPr>
                <w:rFonts w:ascii="Arial" w:cs="Arial" w:eastAsia="Arial" w:hAnsi="Arial"/>
                <w:sz w:val="14"/>
                <w:szCs w:val="14"/>
                <w:color w:val="auto"/>
                <w:w w:val="94"/>
              </w:rPr>
              <w:t>(Dollars in millions, except share data)</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8"/>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(Unaudited)</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960"/>
              <w:spacing w:after="0"/>
              <w:rPr>
                <w:sz w:val="20"/>
                <w:szCs w:val="20"/>
                <w:color w:val="auto"/>
              </w:rPr>
            </w:pPr>
            <w:r>
              <w:rPr>
                <w:rFonts w:ascii="Arial" w:cs="Arial" w:eastAsia="Arial" w:hAnsi="Arial"/>
                <w:sz w:val="14"/>
                <w:szCs w:val="14"/>
                <w:b w:val="1"/>
                <w:bCs w:val="1"/>
                <w:color w:val="auto"/>
                <w:w w:val="96"/>
              </w:rPr>
              <w:t>ASSETS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Investments: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4"/>
              </w:rPr>
              <w:t>Fixed maturity securities available for sale, at fair value, at March 31, 2016 and December 31, 2015 includes pledged fixed maturity</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securities of $328 and $342, respectively, related to secured trust deposits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2,641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stock available for sale, at fair value</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Equity securities available for sale,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3"/>
              </w:rPr>
              <w:t>Short-term investments, at March 31, 2016 and December 31, 2015 includes short term investments of $172 and $266, respectively,</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related to secured trust deposits</w:t>
            </w:r>
          </w:p>
        </w:tc>
        <w:tc>
          <w:tcPr>
            <w:tcW w:w="18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4,853</w:t>
            </w:r>
          </w:p>
        </w:tc>
        <w:tc>
          <w:tcPr>
            <w:tcW w:w="0" w:type="dxa"/>
            <w:vAlign w:val="bottom"/>
          </w:tcPr>
          <w:p>
            <w:pPr>
              <w:spacing w:after="0"/>
              <w:rPr>
                <w:sz w:val="1"/>
                <w:szCs w:val="1"/>
                <w:color w:val="auto"/>
              </w:rPr>
            </w:pPr>
          </w:p>
        </w:tc>
      </w:tr>
      <w:tr>
        <w:trPr>
          <w:trHeight w:val="220"/>
        </w:trPr>
        <w:tc>
          <w:tcPr>
            <w:tcW w:w="9020" w:type="dxa"/>
            <w:vAlign w:val="bottom"/>
            <w:gridSpan w:val="3"/>
          </w:tcPr>
          <w:p>
            <w:pPr>
              <w:ind w:left="40"/>
              <w:spacing w:after="0"/>
              <w:rPr>
                <w:sz w:val="20"/>
                <w:szCs w:val="20"/>
                <w:color w:val="auto"/>
              </w:rPr>
            </w:pPr>
            <w:r>
              <w:rPr>
                <w:rFonts w:ascii="Arial" w:cs="Arial" w:eastAsia="Arial" w:hAnsi="Arial"/>
                <w:sz w:val="16"/>
                <w:szCs w:val="16"/>
                <w:color w:val="auto"/>
                <w:w w:val="92"/>
              </w:rPr>
              <w:t>Cash and cash equivalents, at March 31, 2016 and December 31, 2015 includes $355 and $108, respectively, of pledged cash related to</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secured trust deposits</w:t>
            </w:r>
          </w:p>
        </w:tc>
        <w:tc>
          <w:tcPr>
            <w:tcW w:w="18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 of $25 and $32, at March 31, 2016 and December 31, 2015,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4,766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4,760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Capitalized software, net</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Title plants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8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13,943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13,931</w:t>
            </w:r>
          </w:p>
        </w:tc>
        <w:tc>
          <w:tcPr>
            <w:tcW w:w="0" w:type="dxa"/>
            <w:vAlign w:val="bottom"/>
          </w:tcPr>
          <w:p>
            <w:pPr>
              <w:spacing w:after="0"/>
              <w:rPr>
                <w:sz w:val="1"/>
                <w:szCs w:val="1"/>
                <w:color w:val="auto"/>
              </w:rPr>
            </w:pPr>
          </w:p>
        </w:tc>
      </w:tr>
      <w:tr>
        <w:trPr>
          <w:trHeight w:val="163"/>
        </w:trPr>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660" w:type="dxa"/>
            <w:vAlign w:val="bottom"/>
            <w:shd w:val="clear" w:color="auto" w:fill="CCEEFF"/>
          </w:tcPr>
          <w:p>
            <w:pPr>
              <w:jc w:val="center"/>
              <w:ind w:left="980"/>
              <w:spacing w:after="0" w:line="151" w:lineRule="exact"/>
              <w:rPr>
                <w:sz w:val="20"/>
                <w:szCs w:val="20"/>
                <w:color w:val="auto"/>
              </w:rPr>
            </w:pPr>
            <w:r>
              <w:rPr>
                <w:rFonts w:ascii="Arial" w:cs="Arial" w:eastAsia="Arial" w:hAnsi="Arial"/>
                <w:sz w:val="14"/>
                <w:szCs w:val="14"/>
                <w:b w:val="1"/>
                <w:bCs w:val="1"/>
                <w:color w:val="auto"/>
              </w:rPr>
              <w:t>LIABILITIES AND EQUITY</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Notes payable</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2,742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2,793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Reserve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1,583</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Secured trust deposits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Deferred tax liability</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6,999</w:t>
            </w:r>
          </w:p>
        </w:tc>
        <w:tc>
          <w:tcPr>
            <w:tcW w:w="0" w:type="dxa"/>
            <w:vAlign w:val="bottom"/>
          </w:tcPr>
          <w:p>
            <w:pPr>
              <w:spacing w:after="0"/>
              <w:rPr>
                <w:sz w:val="1"/>
                <w:szCs w:val="1"/>
                <w:color w:val="auto"/>
              </w:rPr>
            </w:pPr>
          </w:p>
        </w:tc>
      </w:tr>
      <w:tr>
        <w:trPr>
          <w:trHeight w:val="231"/>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Redeemable non-controlling interest by 21% minority holder of ServiceLink Holdings, LLC</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37"/>
        </w:trPr>
        <w:tc>
          <w:tcPr>
            <w:tcW w:w="540" w:type="dxa"/>
            <w:vAlign w:val="bottom"/>
          </w:tcPr>
          <w:p>
            <w:pPr>
              <w:ind w:left="40"/>
              <w:spacing w:after="0"/>
              <w:rPr>
                <w:sz w:val="20"/>
                <w:szCs w:val="20"/>
                <w:color w:val="auto"/>
              </w:rPr>
            </w:pPr>
            <w:r>
              <w:rPr>
                <w:rFonts w:ascii="Arial" w:cs="Arial" w:eastAsia="Arial" w:hAnsi="Arial"/>
                <w:sz w:val="16"/>
                <w:szCs w:val="16"/>
                <w:color w:val="auto"/>
                <w:w w:val="98"/>
              </w:rPr>
              <w:t>Equity:</w:t>
            </w:r>
          </w:p>
        </w:tc>
        <w:tc>
          <w:tcPr>
            <w:tcW w:w="8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8"/>
              </w:rPr>
              <w:t>FNF Group common stock, $0.0001 par value; authorized 487,000,000 shares as of March 31, 2016 and December 31, 2015;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2"/>
              </w:rPr>
              <w:t>outstanding of 274,338,136 and 275,781,160 as of March 31, 2016 and December 31, 2015, respectively, and issued of 282,851,946</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and 282,394,970 as of March 31, 2016 and December 31, 2015,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6"/>
              </w:rPr>
              <w:t>FNFV Group common stock, $0.0001 par value; authorized 113,000,000 shares as of March 31, 2016 and December 31, 2015;</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1"/>
              </w:rPr>
              <w:t>outstanding of 69,016,364 and 72,217,882 as of March 31, 2016 and December 31, 2015, respectively, and issued of 80,581,466 as of</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both March 31, 2016 and December 31, 2015</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4,809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4,795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Less: treasury stock, 20,078,912 shares as of March 31, 2016 and 14,977,394 shares as of December 31, 2015, at cost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Fidelity National Financial, Inc. shareholders’ equity</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5,727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5,754</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6,575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6,588</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 redeemable non-controlling interest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13,943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13,931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60" w:type="dxa"/>
            <w:vAlign w:val="bottom"/>
            <w:vMerge w:val="restart"/>
          </w:tcPr>
          <w:p>
            <w:pPr>
              <w:jc w:val="center"/>
              <w:ind w:left="960"/>
              <w:spacing w:after="0"/>
              <w:rPr>
                <w:sz w:val="20"/>
                <w:szCs w:val="20"/>
                <w:color w:val="auto"/>
              </w:rPr>
            </w:pPr>
            <w:r>
              <w:rPr>
                <w:rFonts w:ascii="Arial" w:cs="Arial" w:eastAsia="Arial" w:hAnsi="Arial"/>
                <w:sz w:val="16"/>
                <w:szCs w:val="16"/>
                <w:color w:val="auto"/>
                <w:w w:val="89"/>
              </w:rPr>
              <w:t>See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84"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84"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 except per share data)</w:t>
      </w:r>
    </w:p>
    <w:p>
      <w:pPr>
        <w:spacing w:after="0" w:line="186"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13335</wp:posOffset>
            </wp:positionV>
            <wp:extent cx="1080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9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Direct title insurance premiums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title 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Escrow, title related and other fees</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Interest and investment income</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Realized gains and losses, net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9720" w:type="dxa"/>
            <w:vAlign w:val="bottom"/>
          </w:tcPr>
          <w:p>
            <w:pPr>
              <w:ind w:left="82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2,061</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Agent commissions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1,910</w:t>
            </w:r>
          </w:p>
        </w:tc>
        <w:tc>
          <w:tcPr>
            <w:tcW w:w="0" w:type="dxa"/>
            <w:vAlign w:val="bottom"/>
          </w:tcPr>
          <w:p>
            <w:pPr>
              <w:spacing w:after="0"/>
              <w:rPr>
                <w:sz w:val="1"/>
                <w:szCs w:val="1"/>
                <w:color w:val="auto"/>
              </w:rPr>
            </w:pP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income taxes and equity in earnings (losses) of unconsolidated affiliates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equity in earnings (losses) of unconsolidated affiliates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(losses) of unconsolidated affiliates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Net earnings from continuing operations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earnings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8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09"/>
        </w:trPr>
        <w:tc>
          <w:tcPr>
            <w:tcW w:w="9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Fidelity National Financial, Inc. common shareholders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attributable to FNF Group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attributable to FNFV Group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i w:val="1"/>
                <w:iCs w:val="1"/>
                <w:color w:val="auto"/>
              </w:rPr>
              <w:t>Basic</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FNFV Group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FNFV Group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paid per share FNF Group common stock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FNFV Group common stock, basic basis</w:t>
            </w: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FNFV Group common stock, diluted basis</w:t>
            </w: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3780"/>
              <w:spacing w:after="0"/>
              <w:rPr>
                <w:sz w:val="20"/>
                <w:szCs w:val="20"/>
                <w:color w:val="auto"/>
              </w:rPr>
            </w:pPr>
            <w:r>
              <w:rPr>
                <w:rFonts w:ascii="Arial" w:cs="Arial" w:eastAsia="Arial" w:hAnsi="Arial"/>
                <w:sz w:val="16"/>
                <w:szCs w:val="16"/>
                <w:color w:val="auto"/>
              </w:rPr>
              <w:t>See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975"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975"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386"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9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 comprehensive earnings (loss):</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Unrealized gain on investments and other financial instruments, net (excluding investments in unconsolidated affiliates) (1)</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9480" w:type="dxa"/>
            <w:vAlign w:val="bottom"/>
          </w:tcPr>
          <w:p>
            <w:pPr>
              <w:ind w:left="280"/>
              <w:spacing w:after="0"/>
              <w:rPr>
                <w:sz w:val="20"/>
                <w:szCs w:val="20"/>
                <w:color w:val="auto"/>
              </w:rPr>
            </w:pPr>
            <w:r>
              <w:rPr>
                <w:rFonts w:ascii="Arial" w:cs="Arial" w:eastAsia="Arial" w:hAnsi="Arial"/>
                <w:sz w:val="18"/>
                <w:szCs w:val="18"/>
                <w:color w:val="auto"/>
              </w:rPr>
              <w:t>Unrealized gain (loss) on investments in unconsolidated affiliates (2)</w:t>
            </w:r>
          </w:p>
        </w:tc>
        <w:tc>
          <w:tcPr>
            <w:tcW w:w="2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(loss) on foreign currency translation (3)</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Other comprehensive earnings (loss)</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2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 attributable to Fidelity National Financial, Inc. common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 attributable to FNF Group common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 (loss) attributable to FNFV Group common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$13 million and $5 million for the three-month periods ended March 31, 2016 and 2015, respectively.</w:t>
      </w:r>
    </w:p>
    <w:p>
      <w:pPr>
        <w:spacing w:after="0" w:line="171"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income tax expense (benefit) of $8 million and $(8) million for the three-month periods ended March 31, 2016 and 2015, respectively.</w:t>
      </w:r>
    </w:p>
    <w:p>
      <w:pPr>
        <w:spacing w:after="0" w:line="194" w:lineRule="exact"/>
        <w:rPr>
          <w:rFonts w:ascii="Arial" w:cs="Arial" w:eastAsia="Arial" w:hAnsi="Arial"/>
          <w:sz w:val="16"/>
          <w:szCs w:val="16"/>
          <w:color w:val="auto"/>
        </w:rPr>
      </w:pPr>
    </w:p>
    <w:p>
      <w:pPr>
        <w:ind w:left="980" w:hanging="972"/>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income tax expense (benefit) of $2 million and $(2) million for the three-month periods ended March 31, 2016 and 2015, respectively.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14"/>
          </w:tcPr>
          <w:p>
            <w:pPr>
              <w:ind w:left="560"/>
              <w:spacing w:after="0"/>
              <w:rPr>
                <w:sz w:val="20"/>
                <w:szCs w:val="20"/>
                <w:color w:val="auto"/>
              </w:rPr>
            </w:pPr>
            <w:r>
              <w:rPr>
                <w:rFonts w:ascii="Arial" w:cs="Arial" w:eastAsia="Arial" w:hAnsi="Arial"/>
                <w:sz w:val="13"/>
                <w:szCs w:val="13"/>
                <w:b w:val="1"/>
                <w:bCs w:val="1"/>
                <w:color w:val="auto"/>
              </w:rPr>
              <w:t>Fidelity National Financial, Inc. Common Shareholders</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FNF</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3"/>
          </w:tcPr>
          <w:p>
            <w:pPr>
              <w:ind w:left="380"/>
              <w:spacing w:after="0"/>
              <w:rPr>
                <w:sz w:val="20"/>
                <w:szCs w:val="20"/>
                <w:color w:val="auto"/>
              </w:rPr>
            </w:pPr>
            <w:r>
              <w:rPr>
                <w:rFonts w:ascii="Arial" w:cs="Arial" w:eastAsia="Arial" w:hAnsi="Arial"/>
                <w:sz w:val="13"/>
                <w:szCs w:val="13"/>
                <w:b w:val="1"/>
                <w:bCs w:val="1"/>
                <w:color w:val="auto"/>
                <w:w w:val="94"/>
              </w:rPr>
              <w:t>FNFV</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57"/>
              <w:spacing w:after="0"/>
              <w:rPr>
                <w:sz w:val="20"/>
                <w:szCs w:val="20"/>
                <w:color w:val="auto"/>
              </w:rPr>
            </w:pPr>
            <w:r>
              <w:rPr>
                <w:rFonts w:ascii="Arial" w:cs="Arial" w:eastAsia="Arial" w:hAnsi="Arial"/>
                <w:sz w:val="13"/>
                <w:szCs w:val="13"/>
                <w:b w:val="1"/>
                <w:bCs w:val="1"/>
                <w:color w:val="auto"/>
                <w:w w:val="92"/>
              </w:rPr>
              <w:t>Group</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80"/>
              <w:spacing w:after="0"/>
              <w:rPr>
                <w:sz w:val="20"/>
                <w:szCs w:val="20"/>
                <w:color w:val="auto"/>
              </w:rPr>
            </w:pPr>
            <w:r>
              <w:rPr>
                <w:rFonts w:ascii="Arial" w:cs="Arial" w:eastAsia="Arial" w:hAnsi="Arial"/>
                <w:sz w:val="13"/>
                <w:szCs w:val="13"/>
                <w:b w:val="1"/>
                <w:bCs w:val="1"/>
                <w:color w:val="auto"/>
              </w:rPr>
              <w:t>Group</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Redeemable</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23"/>
                <w:szCs w:val="2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Comprehensive</w:t>
            </w:r>
          </w:p>
        </w:tc>
        <w:tc>
          <w:tcPr>
            <w:tcW w:w="12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23"/>
                <w:szCs w:val="2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Non-</w:t>
            </w:r>
          </w:p>
        </w:tc>
      </w:tr>
      <w:tr>
        <w:trPr>
          <w:trHeight w:val="28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ind w:left="400"/>
              <w:spacing w:after="0"/>
              <w:rPr>
                <w:sz w:val="20"/>
                <w:szCs w:val="20"/>
                <w:color w:val="auto"/>
              </w:rPr>
            </w:pPr>
            <w:r>
              <w:rPr>
                <w:rFonts w:ascii="Arial" w:cs="Arial" w:eastAsia="Arial" w:hAnsi="Arial"/>
                <w:sz w:val="13"/>
                <w:szCs w:val="13"/>
                <w:b w:val="1"/>
                <w:bCs w:val="1"/>
                <w:color w:val="auto"/>
                <w:w w:val="84"/>
              </w:rPr>
              <w:t>Stock</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Earnings</w:t>
            </w:r>
          </w:p>
        </w:tc>
        <w:tc>
          <w:tcPr>
            <w:tcW w:w="12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24"/>
                <w:szCs w:val="24"/>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controlling</w:t>
            </w:r>
          </w:p>
        </w:tc>
      </w:tr>
      <w:tr>
        <w:trPr>
          <w:trHeight w:val="26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r>
      <w:tr>
        <w:trPr>
          <w:trHeight w:val="249"/>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December 31, 2015</w:t>
            </w:r>
          </w:p>
        </w:tc>
        <w:tc>
          <w:tcPr>
            <w:tcW w:w="460" w:type="dxa"/>
            <w:vAlign w:val="bottom"/>
          </w:tcPr>
          <w:p>
            <w:pPr>
              <w:jc w:val="right"/>
              <w:spacing w:after="0"/>
              <w:rPr>
                <w:sz w:val="20"/>
                <w:szCs w:val="20"/>
                <w:color w:val="auto"/>
              </w:rPr>
            </w:pPr>
            <w:r>
              <w:rPr>
                <w:rFonts w:ascii="Arial" w:cs="Arial" w:eastAsia="Arial" w:hAnsi="Arial"/>
                <w:sz w:val="13"/>
                <w:szCs w:val="13"/>
                <w:color w:val="auto"/>
              </w:rPr>
              <w:t>282</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4,795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1,374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1"/>
                <w:szCs w:val="21"/>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(346)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6,588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Treasury stock repurchased</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8"/>
              </w:rPr>
              <w:t>unrealized gain on investments and</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financial instruments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unrealized gain on investments in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unconsolidated affiliates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9"/>
              </w:rPr>
              <w:t>unrealized gain on foreign currency</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translation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Stock-based compensation</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Dividends declared</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Acquisitions of non-controlling</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interests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Sales and dissolution of non-</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controlling 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Subsidiary dividends declared to</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non-controlling interests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earnings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March 31, 2016</w:t>
            </w:r>
          </w:p>
        </w:tc>
        <w:tc>
          <w:tcPr>
            <w:tcW w:w="460" w:type="dxa"/>
            <w:vAlign w:val="bottom"/>
          </w:tcPr>
          <w:p>
            <w:pPr>
              <w:jc w:val="right"/>
              <w:spacing w:after="0"/>
              <w:rPr>
                <w:sz w:val="20"/>
                <w:szCs w:val="20"/>
                <w:color w:val="auto"/>
              </w:rPr>
            </w:pPr>
            <w:r>
              <w:rPr>
                <w:rFonts w:ascii="Arial" w:cs="Arial" w:eastAsia="Arial" w:hAnsi="Arial"/>
                <w:sz w:val="13"/>
                <w:szCs w:val="13"/>
                <w:color w:val="auto"/>
              </w:rPr>
              <w:t>283</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4,809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1,390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21"/>
                <w:szCs w:val="21"/>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(441)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6,575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192"/>
        </w:trPr>
        <w:tc>
          <w:tcPr>
            <w:tcW w:w="9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w w:val="95"/>
              </w:rPr>
              <w:t>March 31,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196"/>
        </w:trPr>
        <w:tc>
          <w:tcPr>
            <w:tcW w:w="9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w w:val="95"/>
              </w:rPr>
              <w:t>(Unaudited)</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Equity in (earnings) losses of unconsolidated affiliates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Loss on sales of investments and other assets, net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on sale of Cascade Timberlands</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Impairment of assets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cost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increase in pledged cash, pledged investments, and secured trust deposits</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decrease (increase) in trade receivables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increase in prepaid expenses and other assets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decrease in accounts payable, accrued liabilities, deferred revenue and other</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increase (decrease) in reserve for title claim losses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change in income taxes</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44"/>
        </w:trPr>
        <w:tc>
          <w:tcPr>
            <w:tcW w:w="93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sales of investment securities available for sale</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calls and maturities of investment securities available for sale</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sales of other assets</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Additions to property and equipment and capitalized software</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investment securities available for sale</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proceeds from short-term investment securities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other long-term investments</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Contributions to investments in unconsolidated affiliates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Distributions from unconsolidated affiliates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other investing activities</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of BPG Holdings, LLC, net of cash acquired</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sale of Cascade Timberlands</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acquisitions/disposals of businesses, net of cash acquired</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investing activities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Borrowings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service payments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Additional investment in non-controlling interest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Exercise of stock options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treasury stock</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 excluding pledged cash related to secured trust deposits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beginning of period</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43"/>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40"/>
              <w:spacing w:after="0"/>
              <w:rPr>
                <w:sz w:val="20"/>
                <w:szCs w:val="20"/>
                <w:color w:val="auto"/>
              </w:rPr>
            </w:pPr>
            <w:r>
              <w:rPr>
                <w:rFonts w:ascii="Arial" w:cs="Arial" w:eastAsia="Arial" w:hAnsi="Arial"/>
                <w:sz w:val="14"/>
                <w:szCs w:val="14"/>
                <w:color w:val="auto"/>
              </w:rPr>
              <w:t>Supplemental cash flow information:</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3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Income taxes paid,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60" w:type="dxa"/>
            <w:vAlign w:val="bottom"/>
          </w:tcPr>
          <w:p>
            <w:pPr>
              <w:ind w:left="280"/>
              <w:spacing w:after="0"/>
              <w:rPr>
                <w:sz w:val="20"/>
                <w:szCs w:val="20"/>
                <w:color w:val="auto"/>
              </w:rPr>
            </w:pPr>
            <w:r>
              <w:rPr>
                <w:rFonts w:ascii="Arial" w:cs="Arial" w:eastAsia="Arial" w:hAnsi="Arial"/>
                <w:sz w:val="14"/>
                <w:szCs w:val="14"/>
                <w:color w:val="auto"/>
              </w:rPr>
              <w:t>Interest paid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21" w:right="239" w:bottom="125"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25"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unaudited financial information in this report includes the accounts of Fidelity National Financial, Inc. and its subsidiaries (collectively, “we,” “us,” “our,” or “FNF”) prepared in accordance with U.S. generally accepted accounting principles ("GAAP") and the instructions to Form 10-Q and Article 10 of Regulation S-X. All adjustments considered necessary for a fair presentation have been included. All adjustments made were of a normal, recurring nature. This report should be read in conjunction with our Annual Report on Form 10-K (our "Annual Report") for the year ended December 31, 2015.</w:t>
      </w:r>
    </w:p>
    <w:p>
      <w:pPr>
        <w:spacing w:after="0" w:line="46" w:lineRule="exact"/>
        <w:rPr>
          <w:sz w:val="20"/>
          <w:szCs w:val="20"/>
          <w:color w:val="auto"/>
        </w:rPr>
      </w:pPr>
    </w:p>
    <w:p>
      <w:pPr>
        <w:ind w:right="800" w:firstLine="324"/>
        <w:spacing w:after="0" w:line="402" w:lineRule="auto"/>
        <w:rPr>
          <w:sz w:val="20"/>
          <w:szCs w:val="20"/>
          <w:color w:val="auto"/>
        </w:rPr>
      </w:pPr>
      <w:r>
        <w:rPr>
          <w:rFonts w:ascii="Arial" w:cs="Arial" w:eastAsia="Arial" w:hAnsi="Arial"/>
          <w:sz w:val="18"/>
          <w:szCs w:val="18"/>
          <w:color w:val="auto"/>
        </w:rPr>
        <w:t xml:space="preserve">Certain reclassifications have been made in the 2015 Condensed Consolidated Financial Statements to conform to classifications used in 2016. </w:t>
      </w:r>
      <w:r>
        <w:rPr>
          <w:rFonts w:ascii="Arial" w:cs="Arial" w:eastAsia="Arial" w:hAnsi="Arial"/>
          <w:sz w:val="18"/>
          <w:szCs w:val="18"/>
          <w:b w:val="1"/>
          <w:bCs w:val="1"/>
          <w:i w:val="1"/>
          <w:iCs w:val="1"/>
          <w:color w:val="auto"/>
        </w:rPr>
        <w:t>Description of the Business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organized our business into two groups, FNF Group and FNF Ventures ("FNFV").</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Through FNF Group, we are a leading provider of (i) title insurance, escrow and other title related services, including trust activities, trustee sales guarantees, recordings and reconveyances and home warranty insurance and (ii) technology and transaction services to the real estate and mortgage industries. FNF is the nation’s largest title insurance company operating through its title insurance underwriters - Fidelity National Title Insurance Company, Chicago Title Insurance Company, Commonwealth Land Title Insurance Company, Alamo Title Insurance and National Title Insurance of New York Inc. - that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also provides industry-leading mortgage technology solutions, including MSP®, the leading residential mortgage servicing technology platform in the U.S., through its majority-owned subsidiary, Black Knight Financial Services, Inc. ("Black Knight").</w:t>
      </w:r>
    </w:p>
    <w:p>
      <w:pPr>
        <w:spacing w:after="0" w:line="1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Through our FNFV group, we own majority and minority equity investment stakes in a number of entities, including American Blue Ribbon Holdings, LLC ("ABRH"), Ceridian HCM, Inc. and Fleetcor Technologies, Inc. (collectively "Ceridian") and Digital Insurance, Inc. ("Digital Insurance").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2016, we had the following reporting segments: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FNF Group</w:t>
      </w:r>
    </w:p>
    <w:p>
      <w:pPr>
        <w:spacing w:after="0" w:line="171" w:lineRule="exact"/>
        <w:rPr>
          <w:sz w:val="20"/>
          <w:szCs w:val="20"/>
          <w:color w:val="auto"/>
        </w:rPr>
      </w:pPr>
    </w:p>
    <w:p>
      <w:pPr>
        <w:jc w:val="both"/>
        <w:ind w:left="660" w:hanging="409"/>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 related services including trust activities, trustee sales guarantees, recordings and reconveyances, and home warranty insurance.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Black Knight. </w:t>
      </w:r>
      <w:r>
        <w:rPr>
          <w:rFonts w:ascii="Arial" w:cs="Arial" w:eastAsia="Arial" w:hAnsi="Arial"/>
          <w:sz w:val="18"/>
          <w:szCs w:val="18"/>
          <w:color w:val="auto"/>
        </w:rPr>
        <w:t>This segment consists of the operations of Black Knight, which, through leading software systems and information solutions,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mission critical technology and data and analytics services that facilitate and automate many of the business processes across the life cycle of a mortgage.</w:t>
      </w:r>
    </w:p>
    <w:p>
      <w:pPr>
        <w:spacing w:after="0" w:line="127"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FNF Group Corporate and Other. </w:t>
      </w:r>
      <w:r>
        <w:rPr>
          <w:rFonts w:ascii="Arial" w:cs="Arial" w:eastAsia="Arial" w:hAnsi="Arial"/>
          <w:sz w:val="18"/>
          <w:szCs w:val="18"/>
          <w:color w:val="auto"/>
        </w:rPr>
        <w:t>This segment consists of the operations of the parent holding company, certain other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expenses, and other real estate and insurance-related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FNFV</w:t>
      </w:r>
    </w:p>
    <w:p>
      <w:pPr>
        <w:spacing w:after="0" w:line="171" w:lineRule="exact"/>
        <w:rPr>
          <w:sz w:val="20"/>
          <w:szCs w:val="20"/>
          <w:color w:val="auto"/>
        </w:rPr>
      </w:pPr>
    </w:p>
    <w:p>
      <w:pPr>
        <w:jc w:val="both"/>
        <w:ind w:left="660" w:hanging="409"/>
        <w:spacing w:after="0" w:line="302"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Restaurant Group. </w:t>
      </w:r>
      <w:r>
        <w:rPr>
          <w:rFonts w:ascii="Arial" w:cs="Arial" w:eastAsia="Arial" w:hAnsi="Arial"/>
          <w:sz w:val="16"/>
          <w:szCs w:val="16"/>
          <w:color w:val="auto"/>
        </w:rPr>
        <w:t>This segment consists of the operations of ABRH, in which we have a 55% ownership interest. ABRH and its affiliates are the</w:t>
      </w:r>
      <w:r>
        <w:rPr>
          <w:rFonts w:ascii="Arial" w:cs="Arial" w:eastAsia="Arial" w:hAnsi="Arial"/>
          <w:sz w:val="16"/>
          <w:szCs w:val="16"/>
          <w:i w:val="1"/>
          <w:iCs w:val="1"/>
          <w:color w:val="auto"/>
        </w:rPr>
        <w:t xml:space="preserve"> </w:t>
      </w:r>
      <w:r>
        <w:rPr>
          <w:rFonts w:ascii="Arial" w:cs="Arial" w:eastAsia="Arial" w:hAnsi="Arial"/>
          <w:sz w:val="16"/>
          <w:szCs w:val="16"/>
          <w:color w:val="auto"/>
        </w:rPr>
        <w:t>owners and operators of the O'Charley's, Ninety Nine Restaurants, Village Inn, Bakers Square, and Legendary Baking concepts. As of and for the three months ended March 31, 2015, this segment also included the results of J. Alexander's, Inc. ("J. Alexander's"), which was distributed to FNFV shareholders on September 28, 2015, and the Max &amp; Erma's concept, which was sold pursuant to an Asset Purchase Agreement on January 25, 2016.</w:t>
      </w:r>
    </w:p>
    <w:p>
      <w:pPr>
        <w:spacing w:after="0" w:line="100" w:lineRule="exact"/>
        <w:rPr>
          <w:rFonts w:ascii="Arial" w:cs="Arial" w:eastAsia="Arial" w:hAnsi="Arial"/>
          <w:sz w:val="16"/>
          <w:szCs w:val="16"/>
          <w:i w:val="1"/>
          <w:iCs w:val="1"/>
          <w:color w:val="auto"/>
        </w:rPr>
      </w:pPr>
    </w:p>
    <w:p>
      <w:pPr>
        <w:ind w:left="660" w:right="20" w:hanging="409"/>
        <w:spacing w:after="0" w:line="308" w:lineRule="auto"/>
        <w:tabs>
          <w:tab w:leader="none" w:pos="6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primarily consists of our share in the operations of certain equity investments, including Ceridian,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consolidated investments, including Digital Insurance, in which we own 96%, and other smaller operations which are not title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30, 2016, Ceridian HCM Holding, Inc., a wholly-owned subsidiary of Ceridian, completed its offering (the "Offering") of senior convertible preferred shares for aggregate proceeds of $150 million. As part of the Offering, FNF purchased a number of shares equal to its pro rata ownership in Ceridian for $47 million. FNF's ownership percentage in Ceridian did not change as a result of the transaction.</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March 16, 2016, pursuant to the terms of a certain “synthetic lease” agreement, dated as of June 29, 2004, as amended on June 27, 2011, as further described under </w:t>
      </w:r>
      <w:r>
        <w:rPr>
          <w:rFonts w:ascii="Arial" w:cs="Arial" w:eastAsia="Arial" w:hAnsi="Arial"/>
          <w:sz w:val="18"/>
          <w:szCs w:val="18"/>
          <w:i w:val="1"/>
          <w:iCs w:val="1"/>
          <w:color w:val="auto"/>
        </w:rPr>
        <w:t>Off-Balance Sheet Arrangements</w:t>
      </w:r>
      <w:r>
        <w:rPr>
          <w:rFonts w:ascii="Arial" w:cs="Arial" w:eastAsia="Arial" w:hAnsi="Arial"/>
          <w:sz w:val="18"/>
          <w:szCs w:val="18"/>
          <w:color w:val="auto"/>
        </w:rPr>
        <w:t xml:space="preserve"> in Item 2 of Part II of this Quarterly Report, we notified SunTrust Bank of our intention to exercise our option to purchase the land and various real property improvements associated with our corporate campus and headquarters in Jacksonville, Florida for $71 million. We completed the purchase on April 29, 2016.</w:t>
      </w:r>
    </w:p>
    <w:p>
      <w:pPr>
        <w:spacing w:after="0" w:line="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March 3, 2016 our Board of Directors adopted a resolution increasing the size of the Company’s Board of Directors to eleven, and elected Janet Kerr to serve on our Board of Directors. Ms. Kerr will serve in Class II of our Board of Directors, and her initial term will expire at the annual meeting of our shareholders to be held in 2016, at which she has been nominated for reelection. At this time, Ms. Kerr has not been appointed to any committee of our Board.</w:t>
      </w:r>
    </w:p>
    <w:p>
      <w:pPr>
        <w:spacing w:after="0" w:line="1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5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net earnings of Black Knight in our calculation of diluted earnings per share is adjusted for dilution related to certain Black Knight restricted stock granted to employees in accordance with ASC 260-10-55-20. We calculate the ratio of the Class B shares we hold to the total weighted average diluted shares of Black Knight outstanding and multiply such ratio by Black Knight's net earnings. The result is used as a substitution for Black Knight's net earnings attributable to FNF included in our consolidated net earnings in the numerator for our diluted earnings per share calculation. As the result had no effect for the three months ended March 31, 2016, there were no adjustments made to net earnings attributable to FNF in our calculation of diluted earnings per share. There are no adjustments to earnings attributable to FNF in our calculation of basic earnings per share. There are no adjustments made to net earnings attributable to FNFV in our calculation of basic or diluted earnings per share.</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Options or other instruments which provide the ability to purchase shares of our common stock that are antidilutive are excluded from the computation of diluted earnings per share. There were 2 million and 3 million antidilutive options outstanding during the three months ended March 31, 2016 and March 31, 2015,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606)</w:t>
      </w:r>
      <w:r>
        <w:rPr>
          <w:rFonts w:ascii="Arial" w:cs="Arial" w:eastAsia="Arial" w:hAnsi="Arial"/>
          <w:sz w:val="17"/>
          <w:szCs w:val="17"/>
          <w:color w:val="auto"/>
        </w:rPr>
        <w:t>. This ASU provides a new comprehensive revenue recognition model that requires companies to recognize revenue to depict the transfer of goods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to a customer at an amount that reflects the consideration it expects to receive in exchange for those goods or services. This update also requires additional disclosure about the nature, amount, timing and uncertainty of revenue and cash flows arising from customer contracts. This update permits the use of either the retrospective or cumulative effect transition method. ASU No. 2016-08, </w:t>
      </w:r>
      <w:r>
        <w:rPr>
          <w:rFonts w:ascii="Arial" w:cs="Arial" w:eastAsia="Arial" w:hAnsi="Arial"/>
          <w:sz w:val="17"/>
          <w:szCs w:val="17"/>
          <w:i w:val="1"/>
          <w:iCs w:val="1"/>
          <w:color w:val="auto"/>
        </w:rPr>
        <w:t>Revenue from Contracts with Customers (Topic 606): Principal versus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Agent Considerations </w:t>
      </w:r>
      <w:r>
        <w:rPr>
          <w:rFonts w:ascii="Arial" w:cs="Arial" w:eastAsia="Arial" w:hAnsi="Arial"/>
          <w:sz w:val="17"/>
          <w:szCs w:val="17"/>
          <w:color w:val="auto"/>
        </w:rPr>
        <w:t>was issued by FASB in March 2016 to clarify the principal versus agent considerations within ASU 2014-09. ASU 2016-10</w:t>
      </w:r>
      <w:r>
        <w:rPr>
          <w:rFonts w:ascii="Arial" w:cs="Arial" w:eastAsia="Arial" w:hAnsi="Arial"/>
          <w:sz w:val="17"/>
          <w:szCs w:val="17"/>
          <w:i w:val="1"/>
          <w:iCs w:val="1"/>
          <w:color w:val="auto"/>
        </w:rPr>
        <w:t xml:space="preserve"> Revenue from Contracts with Customers (Topic 606): Identifying Performance Obligations and Licensing </w:t>
      </w:r>
      <w:r>
        <w:rPr>
          <w:rFonts w:ascii="Arial" w:cs="Arial" w:eastAsia="Arial" w:hAnsi="Arial"/>
          <w:sz w:val="17"/>
          <w:szCs w:val="17"/>
          <w:color w:val="auto"/>
        </w:rPr>
        <w:t>was issued by the FASB in April 2016 to clarify how to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whether goods and services are separately identifiable and thus accounted for as separate performance obligations. We are evaluating the effect this new guidance will have on our consolidated financial statements and related disclosures. We have not yet selected a transition method nor have we determined the effect of the standard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our ongoing financial reporting. Upon issuance of ASU 2015-14, the effective date of ASU 2014-09 was deferred to annual and interim periods beginning on or after December 15, 2017.</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February 2015, the FASB issued ASU No. 2015-02 </w:t>
      </w:r>
      <w:r>
        <w:rPr>
          <w:rFonts w:ascii="Arial" w:cs="Arial" w:eastAsia="Arial" w:hAnsi="Arial"/>
          <w:sz w:val="17"/>
          <w:szCs w:val="17"/>
          <w:i w:val="1"/>
          <w:iCs w:val="1"/>
          <w:color w:val="auto"/>
        </w:rPr>
        <w:t>Consolidation (Topic 810): Amendments to the Consolidation Analysis</w:t>
      </w:r>
      <w:r>
        <w:rPr>
          <w:rFonts w:ascii="Arial" w:cs="Arial" w:eastAsia="Arial" w:hAnsi="Arial"/>
          <w:sz w:val="17"/>
          <w:szCs w:val="17"/>
          <w:color w:val="auto"/>
        </w:rPr>
        <w:t>. This ASU changes the way reporting enterprises evaluate whether (a) they should consolidate limited partnerships and similar entities, (b) fees paid to a decision maker or service provider are variable interests in a variable interest entity (VIE), and (c) variable interests in a VIE held by related parties of the reporting enterprise require the reporting enterprise to consolidate the VIE. The ASU eliminates the ASU 2010-10 deferral of the ASU 2009-17 VIE consolidation requirements for certain investment companies and similar entities. In addition, the ASU excludes money market funds that are required to comply with Rule 2a-7 of the Investment Company Act of 1940, as amended, or that operate under requirements similar to those in Rule 2a-7 from the GAAP consolidation requirements. The ASU also significantly changes how to evaluate voting rights for entities that are not similar to limited partnerships when determining whether the entity is a VIE, which may affect entities for which the decision making rights are conveyed though a contractual arrangement. The update allows for the application of the amendments using a modified retrospective approach by recording a cumulative-effect adjustment to equity as of the beginning of the fiscal year of adoption or retrospective application for prior periods. This update is effective for annual and interim periods beginning on or after December 15, 2015. We have adopted the update as of and for the three months ended March 31, 2016. The update did not have a material effect on our financial position or results of operations.</w:t>
      </w:r>
    </w:p>
    <w:p>
      <w:pPr>
        <w:spacing w:after="0" w:line="7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May 2015, the FASB issued ASU No. 2015-09 </w:t>
      </w:r>
      <w:r>
        <w:rPr>
          <w:rFonts w:ascii="Arial" w:cs="Arial" w:eastAsia="Arial" w:hAnsi="Arial"/>
          <w:sz w:val="17"/>
          <w:szCs w:val="17"/>
          <w:i w:val="1"/>
          <w:iCs w:val="1"/>
          <w:color w:val="auto"/>
        </w:rPr>
        <w:t>Financial Services - Insurance (Topic 944): Disclosures about Short-Duration Contracts</w:t>
      </w:r>
      <w:r>
        <w:rPr>
          <w:rFonts w:ascii="Arial" w:cs="Arial" w:eastAsia="Arial" w:hAnsi="Arial"/>
          <w:sz w:val="17"/>
          <w:szCs w:val="17"/>
          <w:color w:val="auto"/>
        </w:rPr>
        <w:t>. The amendments in this ASU require insurance entities to disclose for annual reporting periods additional information about the liability for unpaid claims and claim adjustment expenses related to short-duration contracts. The amendments also require insurance entities to disclose information about significant changes in methodologies and assumptions used to calculate the liability for unpaid claims and claim adjustment expenses. This update is effective for annual periods beginning after December 15, 2015, and interim periods within annual periods beginning after December 15, 2016, with early application permitted. We do not expect this update to have a significant effect on our ongoing financial reporting as our primary insurance products are not short-duration contracts. However, we are still evaluating the totality of the effects the update will have on our disclosures.</w:t>
      </w:r>
    </w:p>
    <w:p>
      <w:pPr>
        <w:spacing w:after="0" w:line="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September 2015, the FASB issued ASU No. 2015-16 </w:t>
      </w:r>
      <w:r>
        <w:rPr>
          <w:rFonts w:ascii="Arial" w:cs="Arial" w:eastAsia="Arial" w:hAnsi="Arial"/>
          <w:sz w:val="16"/>
          <w:szCs w:val="16"/>
          <w:i w:val="1"/>
          <w:iCs w:val="1"/>
          <w:color w:val="auto"/>
        </w:rPr>
        <w:t>Business Combinations (Topic 805): Simplifying the Accounting for Measurement-Period</w:t>
      </w:r>
      <w:r>
        <w:rPr>
          <w:rFonts w:ascii="Arial" w:cs="Arial" w:eastAsia="Arial" w:hAnsi="Arial"/>
          <w:sz w:val="16"/>
          <w:szCs w:val="16"/>
          <w:color w:val="auto"/>
        </w:rPr>
        <w:t xml:space="preserve"> </w:t>
      </w:r>
      <w:r>
        <w:rPr>
          <w:rFonts w:ascii="Arial" w:cs="Arial" w:eastAsia="Arial" w:hAnsi="Arial"/>
          <w:sz w:val="16"/>
          <w:szCs w:val="16"/>
          <w:i w:val="1"/>
          <w:iCs w:val="1"/>
          <w:color w:val="auto"/>
        </w:rPr>
        <w:t>Adjustments</w:t>
      </w:r>
      <w:r>
        <w:rPr>
          <w:rFonts w:ascii="Arial" w:cs="Arial" w:eastAsia="Arial" w:hAnsi="Arial"/>
          <w:sz w:val="16"/>
          <w:szCs w:val="16"/>
          <w:color w:val="auto"/>
        </w:rPr>
        <w:t>. The amendments in this ASU require that an acquirer recognize adjustments to provisional amounts that are identified during the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the reporting period in which the adjustment amounts are determined. The acquirer will be required to record, in the same period’s financial statements, the effect on earnings of changes in depreciation, amortization, or other income effects, if any, as a result of the change to the provisional amounts, calculated as if the accounting had been completed at the acquisition date. Entities will also be required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The amendments in this ASU are effective for fiscal years beginning after December 15, 2015, including interim periods within those fiscal years. The ASU requires the prospective application of the amendments for adjustments to provisional amounts that occur after its effective date. We have adopted the update as of and for the three months ended March 31, 2016. The update did not have a material effect on our financial position or results of operations.</w:t>
      </w:r>
    </w:p>
    <w:p>
      <w:pPr>
        <w:spacing w:after="0" w:line="6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The primary amendments required by the ASU include: requiring equity investments with readily determinable fair values to</w:t>
      </w:r>
      <w:r>
        <w:rPr>
          <w:rFonts w:ascii="Arial" w:cs="Arial" w:eastAsia="Arial" w:hAnsi="Arial"/>
          <w:sz w:val="16"/>
          <w:szCs w:val="16"/>
          <w:i w:val="1"/>
          <w:iCs w:val="1"/>
          <w:color w:val="auto"/>
        </w:rPr>
        <w:t xml:space="preserve"> </w:t>
      </w:r>
      <w:r>
        <w:rPr>
          <w:rFonts w:ascii="Arial" w:cs="Arial" w:eastAsia="Arial" w:hAnsi="Arial"/>
          <w:sz w:val="16"/>
          <w:szCs w:val="16"/>
          <w:color w:val="auto"/>
        </w:rPr>
        <w:t>be measured at fair value through net income rather than through other comprehensive income; allowing entities with equity investments without readily determinable fair values to report the investments at cost, adjusted for changes in observable prices, less impairment; requiring entities that elect the fair value option for financial liabilities to report the change in fair value attributable to instrument-specific credit risk in other comprehensive income; and clarifying that entities should assess the need for a valuation allowance on a deferred tax asset related to available-for-sale debt securities in combination with other deferred tax assets. The amendments in this ASU are effective for fiscal years beginning after December 15, 2017, including interim periods within those fiscal years. The ASU requires a cumulative-effect adjustment of the balance sheet as of the beginning of the year of adoption. Early adoption of the ASU is not permitted, except for the provision related to financial liabilities for which the fair value option has been elected. We are currently evaluating the effect this new guidance will have on our consolidated financial statements and related disclosures and have not yet concluded on its effects.</w:t>
      </w:r>
    </w:p>
    <w:p>
      <w:pPr>
        <w:spacing w:after="0" w:line="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to be reflected on the lessee's balance sheet; and expanding and adding to the required disclosures for lessees. This update is effective for annual and interim periods beginning after December 15, 2018,</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including interim periods within those fiscal years. Early application of the standard is permitted. The ASU requires a modified retrospective approach to transitioning which allows for the use of practical expedients to effectively account for leases commenced prior to the effective date in accordance with previous GAAP, except that lessees are required to recognize a right-of-use asset and a lease liability for all operating leases at each reporting date based on the present value of the remaining minimum rental payments that were tracked and disclosed under previous GAAP. We are currently evaluating the effect this new guidance will have on our consolidated financial statements and related disclosures and have not yet concluded on its effects.</w:t>
      </w:r>
    </w:p>
    <w:p>
      <w:pPr>
        <w:spacing w:after="0" w:line="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March 2016, the FASB issued ASU No. 2016-04 </w:t>
      </w:r>
      <w:r>
        <w:rPr>
          <w:rFonts w:ascii="Arial" w:cs="Arial" w:eastAsia="Arial" w:hAnsi="Arial"/>
          <w:sz w:val="18"/>
          <w:szCs w:val="18"/>
          <w:i w:val="1"/>
          <w:iCs w:val="1"/>
          <w:color w:val="auto"/>
        </w:rPr>
        <w:t>Liabilities - Extinguishment of Liabilities (Subtopic 405-20): Recognition of Breakage for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Prepaid Stored-Value Products</w:t>
      </w:r>
      <w:r>
        <w:rPr>
          <w:rFonts w:ascii="Arial" w:cs="Arial" w:eastAsia="Arial" w:hAnsi="Arial"/>
          <w:sz w:val="18"/>
          <w:szCs w:val="18"/>
          <w:color w:val="auto"/>
        </w:rPr>
        <w:t>. The primary amendment in this ASU will provide guidance for derecognition of prepaid stored-value product liabilities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meet certain criteria and was designed to alleviate diversity in practice under current GAAP. This update is effective for annual and interim periods beginning after December 15, 2017, including interim periods within those fiscal years. We do not expect this update to have a significant effect on our ongoing financial reporting as we do not have a significant liability for prepaid stored-value products. However, we are still evaluating the totality of the effects the update will have on our consolidated financial statements and related disclosures.</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In March 2016, the FASB issued ASU No. 2016-07 </w:t>
      </w:r>
      <w:r>
        <w:rPr>
          <w:rFonts w:ascii="Arial" w:cs="Arial" w:eastAsia="Arial" w:hAnsi="Arial"/>
          <w:sz w:val="16"/>
          <w:szCs w:val="16"/>
          <w:i w:val="1"/>
          <w:iCs w:val="1"/>
          <w:color w:val="auto"/>
        </w:rPr>
        <w:t>Investments - Equity Method and Joint Ventures (Topic 323): Simplifying the Transition to the 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of Accounting</w:t>
      </w:r>
      <w:r>
        <w:rPr>
          <w:rFonts w:ascii="Arial" w:cs="Arial" w:eastAsia="Arial" w:hAnsi="Arial"/>
          <w:sz w:val="16"/>
          <w:szCs w:val="16"/>
          <w:color w:val="auto"/>
        </w:rPr>
        <w:t>. The primary amendment in this ASU is to eliminate the requirement to retroactively adopt the equity method of accounting. This</w:t>
      </w:r>
      <w:r>
        <w:rPr>
          <w:rFonts w:ascii="Arial" w:cs="Arial" w:eastAsia="Arial" w:hAnsi="Arial"/>
          <w:sz w:val="16"/>
          <w:szCs w:val="16"/>
          <w:i w:val="1"/>
          <w:iCs w:val="1"/>
          <w:color w:val="auto"/>
        </w:rPr>
        <w:t xml:space="preserve"> </w:t>
      </w:r>
      <w:r>
        <w:rPr>
          <w:rFonts w:ascii="Arial" w:cs="Arial" w:eastAsia="Arial" w:hAnsi="Arial"/>
          <w:sz w:val="16"/>
          <w:szCs w:val="16"/>
          <w:color w:val="auto"/>
        </w:rPr>
        <w:t>update is effective for annual and interim periods beginning after December 15, 2016, including interim periods within those fiscal years. We have adopted the update as of and for the three months ended March 31, 2016. The update did not have a material effect on our financial position or results of operations.</w:t>
      </w:r>
    </w:p>
    <w:p>
      <w:pPr>
        <w:spacing w:after="0" w:line="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This standard makes several modifications to ASC Topic 718 related to the accounting for forfeitures, employer tax withholding on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the financial statement presentation of excess tax benefits or deficiencies. ASU No. 2016-09 also clarifies the statement of cash flows presentation for certain components of share-based awards. The standard is effective for interim and annual reporting periods beginning after December 15, 2016, with early adoption permitted. We have early adopted this ASU as of and for the three month period ended March 31, 2016. As a result we have recorded $3 million in income tax benefit related to the tax effects associated with the exercise of stock options within Income tax expense on the Condensed Consolidated Statement of Earnings for the three month period ended March 31, 2016. There was no impact to opening equity for the three month period ended March 31, 2016. There was no impact to net earnings for the three month period ended March 31, 2015. The Condensed Consolidated Statement of Cash Flows for the three month period ended March 31, 2015 has been restated to conform with the current period, which resulted in an increase to both cash flows provided by operations and cash flows used in financing activities of $7 million for the period. We did not change our accounting policy for estimating expected forfeitures of stock compensation.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hierarchy for those assets and liabilities measured at fair value on a recurring basis as of March 31,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4"/>
                <w:szCs w:val="14"/>
                <w:b w:val="1"/>
                <w:bCs w:val="1"/>
                <w:color w:val="auto"/>
                <w:w w:val="94"/>
              </w:rPr>
              <w:t>March 31, 2016</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1,608</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112</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365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365</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406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2,895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3,301</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9"/>
        </w:trPr>
        <w:tc>
          <w:tcPr>
            <w:tcW w:w="6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left="35"/>
              <w:spacing w:after="0"/>
              <w:rPr>
                <w:sz w:val="20"/>
                <w:szCs w:val="20"/>
                <w:color w:val="auto"/>
              </w:rPr>
            </w:pPr>
            <w:r>
              <w:rPr>
                <w:rFonts w:ascii="Arial" w:cs="Arial" w:eastAsia="Arial" w:hAnsi="Arial"/>
                <w:sz w:val="14"/>
                <w:szCs w:val="14"/>
                <w:b w:val="1"/>
                <w:bCs w:val="1"/>
                <w:color w:val="auto"/>
                <w:w w:val="91"/>
              </w:rPr>
              <w:t>December 31, 2015</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1,495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334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345</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376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2,816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3,192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third-party pricing services are as follows:</w:t>
      </w:r>
    </w:p>
    <w:p>
      <w:pPr>
        <w:spacing w:after="0" w:line="71" w:lineRule="exact"/>
        <w:rPr>
          <w:sz w:val="20"/>
          <w:szCs w:val="20"/>
          <w:color w:val="auto"/>
        </w:rPr>
      </w:pPr>
    </w:p>
    <w:p>
      <w:pPr>
        <w:ind w:left="660" w:right="2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and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agency mortgage-backed securities, collateralized mortgage obligations, and asset-backed securities. They are valued based on available trade information, dealer quotes, cash flows, relevant indices and market data for similar assets in active markets.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Preferred stocks: Preferred stocks are valued by calculating the appropriate spread over a comparable U.S. Treasury security. Inputs include benchmark quotes and other relevant market data.</w:t>
      </w: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Equity securities available for sale: This security is valued using a blending of two models, a discounted cash flow model and a comparable company model utilizing earnings and multiples of similar publicly-traded companies.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2016 and December 31, 2015 we held no assets nor liabilities measured at fair value using Level 3 inputs.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short-term investments, accounts receivable and notes receivable approximate fair value due to their short-term nature.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March 31, 2016 and December 31, 2015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2016</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729</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1,608</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365</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3,301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3,301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9"/>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2015</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1,495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345</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3,192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accreted discount since the date of purchase.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March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March 31, 2016</w:t>
            </w:r>
          </w:p>
        </w:tc>
        <w:tc>
          <w:tcPr>
            <w:tcW w:w="1220" w:type="dxa"/>
            <w:vAlign w:val="bottom"/>
            <w:tcBorders>
              <w:bottom w:val="single" w:sz="8" w:color="auto"/>
            </w:tcBorders>
          </w:tcPr>
          <w:p>
            <w:pPr>
              <w:spacing w:after="0"/>
              <w:rPr>
                <w:sz w:val="16"/>
                <w:szCs w:val="16"/>
                <w:color w:val="auto"/>
              </w:rPr>
            </w:pPr>
          </w:p>
        </w:tc>
      </w:tr>
      <w:tr>
        <w:trPr>
          <w:trHeight w:val="258"/>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 of</w:t>
            </w:r>
          </w:p>
        </w:tc>
      </w:tr>
      <w:tr>
        <w:trPr>
          <w:trHeight w:val="276"/>
        </w:trPr>
        <w:tc>
          <w:tcPr>
            <w:tcW w:w="6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(Dollars in millions)</w:t>
            </w:r>
          </w:p>
        </w:tc>
        <w:tc>
          <w:tcPr>
            <w:tcW w:w="1220" w:type="dxa"/>
            <w:vAlign w:val="bottom"/>
            <w:tcBorders>
              <w:top w:val="single" w:sz="8" w:color="auto"/>
            </w:tcBorders>
          </w:tcPr>
          <w:p>
            <w:pPr>
              <w:spacing w:after="0"/>
              <w:rPr>
                <w:sz w:val="21"/>
                <w:szCs w:val="21"/>
                <w:color w:val="auto"/>
              </w:rPr>
            </w:pPr>
          </w:p>
        </w:tc>
      </w:tr>
      <w:tr>
        <w:trPr>
          <w:trHeight w:val="25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71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r>
      <w:tr>
        <w:trPr>
          <w:trHeight w:val="257"/>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unrealized losses on investment securities and the fair value of the related securities, aggregated by investment category and length of time that individual securities have been in a continuous unrealized loss position at March 31, 2016 and December 31, 2015, were as follows (in millions):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330</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December 31, 2015</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24"/>
                <w:szCs w:val="24"/>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recorded $3 million in impairment charges relating to investments during the three-month period ended March 31, 2016. The impairment charges related to an investment in an unconsolidated affiliate in which we determined the ability to recover our investment was unlikely. We recorded no impairment charges relating to investments during the three-month period ended March 31, 2015. As of March 31, 2016 we held no fixed maturity securities for which an other-than-temporary impairment had been previously recognized. As of December 31, 2015, we held $2 million in fixed maturity and equity securities for which an other-than-temporary impairment had been previously recognized. It is possible that future events may lead us to recognize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three-month periods ended March 31, 2016 and 2015, respectively: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2"/>
          </w:tcPr>
          <w:p>
            <w:pPr>
              <w:jc w:val="center"/>
              <w:ind w:left="41"/>
              <w:spacing w:after="0"/>
              <w:rPr>
                <w:sz w:val="20"/>
                <w:szCs w:val="20"/>
                <w:color w:val="auto"/>
              </w:rPr>
            </w:pPr>
            <w:r>
              <w:rPr>
                <w:rFonts w:ascii="Arial" w:cs="Arial" w:eastAsia="Arial" w:hAnsi="Arial"/>
                <w:sz w:val="14"/>
                <w:szCs w:val="14"/>
                <w:b w:val="1"/>
                <w:bCs w:val="1"/>
                <w:color w:val="auto"/>
                <w:w w:val="93"/>
              </w:rPr>
              <w:t>Three months ended March 31, 2016</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Gross Realized Gains</w:t>
            </w:r>
          </w:p>
        </w:tc>
        <w:tc>
          <w:tcPr>
            <w:tcW w:w="220" w:type="dxa"/>
            <w:vAlign w:val="bottom"/>
          </w:tcPr>
          <w:p>
            <w:pPr>
              <w:spacing w:after="0"/>
              <w:rPr>
                <w:sz w:val="13"/>
                <w:szCs w:val="13"/>
                <w:color w:val="auto"/>
              </w:rPr>
            </w:pPr>
          </w:p>
        </w:tc>
        <w:tc>
          <w:tcPr>
            <w:tcW w:w="1300" w:type="dxa"/>
            <w:vAlign w:val="bottom"/>
          </w:tcPr>
          <w:p>
            <w:pPr>
              <w:jc w:val="center"/>
              <w:ind w:right="181"/>
              <w:spacing w:after="0" w:line="153" w:lineRule="exact"/>
              <w:rPr>
                <w:sz w:val="20"/>
                <w:szCs w:val="20"/>
                <w:color w:val="auto"/>
              </w:rPr>
            </w:pPr>
            <w:r>
              <w:rPr>
                <w:rFonts w:ascii="Arial" w:cs="Arial" w:eastAsia="Arial" w:hAnsi="Arial"/>
                <w:sz w:val="14"/>
                <w:szCs w:val="14"/>
                <w:b w:val="1"/>
                <w:bCs w:val="1"/>
                <w:color w:val="auto"/>
                <w:w w:val="90"/>
              </w:rPr>
              <w:t>Gross Realized</w:t>
            </w: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Net Realized Gains</w:t>
            </w:r>
          </w:p>
        </w:tc>
        <w:tc>
          <w:tcPr>
            <w:tcW w:w="13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1"/>
              </w:rPr>
              <w:t>Gross Proceeds from</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2"/>
              </w:rPr>
              <w:t>Losses</w:t>
            </w:r>
          </w:p>
        </w:tc>
        <w:tc>
          <w:tcPr>
            <w:tcW w:w="1080" w:type="dxa"/>
            <w:vAlign w:val="bottom"/>
            <w:tcBorders>
              <w:bottom w:val="single" w:sz="8" w:color="auto"/>
            </w:tcBorders>
          </w:tcPr>
          <w:p>
            <w:pPr>
              <w:jc w:val="center"/>
              <w:ind w:left="219"/>
              <w:spacing w:after="0"/>
              <w:rPr>
                <w:sz w:val="20"/>
                <w:szCs w:val="20"/>
                <w:color w:val="auto"/>
              </w:rPr>
            </w:pPr>
            <w:r>
              <w:rPr>
                <w:rFonts w:ascii="Arial" w:cs="Arial" w:eastAsia="Arial" w:hAnsi="Arial"/>
                <w:sz w:val="14"/>
                <w:szCs w:val="14"/>
                <w:b w:val="1"/>
                <w:bCs w:val="1"/>
                <w:color w:val="auto"/>
                <w:w w:val="86"/>
              </w:rPr>
              <w:t>(Losses)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93"/>
              </w:rPr>
              <w:t>(Dollars in millions)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6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tcPr>
          <w:p>
            <w:pPr>
              <w:jc w:val="right"/>
              <w:ind w:right="81"/>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jc w:val="center"/>
              <w:ind w:left="41"/>
              <w:spacing w:after="0"/>
              <w:rPr>
                <w:sz w:val="20"/>
                <w:szCs w:val="20"/>
                <w:color w:val="auto"/>
              </w:rPr>
            </w:pPr>
            <w:r>
              <w:rPr>
                <w:rFonts w:ascii="Arial" w:cs="Arial" w:eastAsia="Arial" w:hAnsi="Arial"/>
                <w:sz w:val="14"/>
                <w:szCs w:val="14"/>
                <w:b w:val="1"/>
                <w:bCs w:val="1"/>
                <w:color w:val="auto"/>
                <w:w w:val="93"/>
              </w:rPr>
              <w:t>Three months ended March 31, 2015</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Gross Realized Gains</w:t>
            </w:r>
          </w:p>
        </w:tc>
        <w:tc>
          <w:tcPr>
            <w:tcW w:w="220" w:type="dxa"/>
            <w:vAlign w:val="bottom"/>
          </w:tcPr>
          <w:p>
            <w:pPr>
              <w:spacing w:after="0"/>
              <w:rPr>
                <w:sz w:val="13"/>
                <w:szCs w:val="13"/>
                <w:color w:val="auto"/>
              </w:rPr>
            </w:pPr>
          </w:p>
        </w:tc>
        <w:tc>
          <w:tcPr>
            <w:tcW w:w="1300" w:type="dxa"/>
            <w:vAlign w:val="bottom"/>
          </w:tcPr>
          <w:p>
            <w:pPr>
              <w:jc w:val="center"/>
              <w:ind w:right="181"/>
              <w:spacing w:after="0" w:line="153" w:lineRule="exact"/>
              <w:rPr>
                <w:sz w:val="20"/>
                <w:szCs w:val="20"/>
                <w:color w:val="auto"/>
              </w:rPr>
            </w:pPr>
            <w:r>
              <w:rPr>
                <w:rFonts w:ascii="Arial" w:cs="Arial" w:eastAsia="Arial" w:hAnsi="Arial"/>
                <w:sz w:val="14"/>
                <w:szCs w:val="14"/>
                <w:b w:val="1"/>
                <w:bCs w:val="1"/>
                <w:color w:val="auto"/>
                <w:w w:val="90"/>
              </w:rPr>
              <w:t>Gross Realized</w:t>
            </w: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Net Realized Gains</w:t>
            </w:r>
          </w:p>
        </w:tc>
        <w:tc>
          <w:tcPr>
            <w:tcW w:w="13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1"/>
              </w:rPr>
              <w:t>Gross Proceeds from</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2"/>
              </w:rPr>
              <w:t>Losses</w:t>
            </w:r>
          </w:p>
        </w:tc>
        <w:tc>
          <w:tcPr>
            <w:tcW w:w="1080" w:type="dxa"/>
            <w:vAlign w:val="bottom"/>
            <w:tcBorders>
              <w:bottom w:val="single" w:sz="8" w:color="auto"/>
            </w:tcBorders>
          </w:tcPr>
          <w:p>
            <w:pPr>
              <w:jc w:val="center"/>
              <w:ind w:left="219"/>
              <w:spacing w:after="0"/>
              <w:rPr>
                <w:sz w:val="20"/>
                <w:szCs w:val="20"/>
                <w:color w:val="auto"/>
              </w:rPr>
            </w:pPr>
            <w:r>
              <w:rPr>
                <w:rFonts w:ascii="Arial" w:cs="Arial" w:eastAsia="Arial" w:hAnsi="Arial"/>
                <w:sz w:val="14"/>
                <w:szCs w:val="14"/>
                <w:b w:val="1"/>
                <w:bCs w:val="1"/>
                <w:color w:val="auto"/>
                <w:w w:val="86"/>
              </w:rPr>
              <w:t>(Losses)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93"/>
              </w:rPr>
              <w:t>(Dollars in millions)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6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tcPr>
          <w:p>
            <w:pPr>
              <w:jc w:val="right"/>
              <w:ind w:right="141"/>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(2)</w:t>
            </w: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As of March 31, 2016 and December 31, 2015, investments in unconsolidated affiliates consisted of the following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Ownership</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6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Various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163</w:t>
            </w: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521</w:t>
            </w:r>
          </w:p>
        </w:tc>
      </w:tr>
      <w:tr>
        <w:trPr>
          <w:trHeight w:val="20"/>
        </w:trPr>
        <w:tc>
          <w:tcPr>
            <w:tcW w:w="6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investment in Ceridian bonds is included in Fixed maturity securities available for sale on the Condensed Consolidated Balance Sheets and had a fair value of $27 million and $23 million as of March 31, 2016 and December 31, 2015, respectively. We did not purchase or dispose of any Ceridian Bonds in the three-month periods ended March 31, 2016.</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three-month periods ended March 31, 2016 and 2015, we recorded $3 million and $2 million, in equity in losses of Ceridian, respectively. There was $5 million and $1 million in equity in earnings of other unconsolidated affiliates during the three-month periods ended March 31, 2016 and 2015,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Summarized financial information for Ceridian for the relevant dates and time periods included in Investments in unconsolidated affiliates and Equity in earnings (losses) of unconsolidated affiliates in our Condensed Consolidated Balance Sheets and Condensed Consolidated Statements of Earnings, respectively, is presented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196"/>
        </w:trPr>
        <w:tc>
          <w:tcPr>
            <w:tcW w:w="8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 before customer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Customer funds</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4,333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114</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8,280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7,186</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 before customer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1,143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6,044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1,142</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8,280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7,186</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199"/>
              <w:spacing w:after="0"/>
              <w:rPr>
                <w:sz w:val="20"/>
                <w:szCs w:val="20"/>
                <w:color w:val="auto"/>
              </w:rPr>
            </w:pPr>
            <w:r>
              <w:rPr>
                <w:rFonts w:ascii="Arial" w:cs="Arial" w:eastAsia="Arial" w:hAnsi="Arial"/>
                <w:sz w:val="14"/>
                <w:szCs w:val="14"/>
                <w:b w:val="1"/>
                <w:bCs w:val="1"/>
                <w:color w:val="auto"/>
                <w:w w:val="94"/>
              </w:rPr>
              <w:t>Three months ended</w:t>
            </w:r>
          </w:p>
        </w:tc>
        <w:tc>
          <w:tcPr>
            <w:tcW w:w="220" w:type="dxa"/>
            <w:vAlign w:val="bottom"/>
          </w:tcPr>
          <w:p>
            <w:pPr>
              <w:spacing w:after="0"/>
              <w:rPr>
                <w:sz w:val="14"/>
                <w:szCs w:val="14"/>
                <w:color w:val="auto"/>
              </w:rPr>
            </w:pPr>
          </w:p>
        </w:tc>
        <w:tc>
          <w:tcPr>
            <w:tcW w:w="154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Three months ended</w:t>
            </w:r>
          </w:p>
        </w:tc>
      </w:tr>
      <w:tr>
        <w:trPr>
          <w:trHeight w:val="192"/>
        </w:trPr>
        <w:tc>
          <w:tcPr>
            <w:tcW w:w="37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March 31, 2015</w:t>
            </w:r>
          </w:p>
        </w:tc>
      </w:tr>
      <w:tr>
        <w:trPr>
          <w:trHeight w:val="196"/>
        </w:trPr>
        <w:tc>
          <w:tcPr>
            <w:tcW w:w="37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3"/>
          </w:tcPr>
          <w:p>
            <w:pPr>
              <w:jc w:val="right"/>
              <w:ind w:right="1297"/>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197</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4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7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675"/>
        </w:trPr>
        <w:tc>
          <w:tcPr>
            <w:tcW w:w="3740" w:type="dxa"/>
            <w:vAlign w:val="bottom"/>
          </w:tcPr>
          <w:p>
            <w:pPr>
              <w:spacing w:after="0"/>
              <w:rPr>
                <w:sz w:val="24"/>
                <w:szCs w:val="24"/>
                <w:color w:val="auto"/>
              </w:rPr>
            </w:pPr>
          </w:p>
        </w:tc>
        <w:tc>
          <w:tcPr>
            <w:tcW w:w="4160" w:type="dxa"/>
            <w:vAlign w:val="bottom"/>
          </w:tcPr>
          <w:p>
            <w:pPr>
              <w:jc w:val="right"/>
              <w:ind w:right="201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Note D —Notes Payable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4"/>
        </w:trPr>
        <w:tc>
          <w:tcPr>
            <w:tcW w:w="8360" w:type="dxa"/>
            <w:vAlign w:val="bottom"/>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0"/>
        </w:trPr>
        <w:tc>
          <w:tcPr>
            <w:tcW w:w="8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(In millions)</w:t>
            </w:r>
          </w:p>
        </w:tc>
      </w:tr>
      <w:tr>
        <w:trPr>
          <w:trHeight w:val="270"/>
        </w:trPr>
        <w:tc>
          <w:tcPr>
            <w:tcW w:w="836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397</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Unsecured convertible notes, net of discount, interest payable semi-annually at 4.25%, due August 2018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Revolving Credit Facility, unsecured, unused portion of $800 at March 31, 2016, due July 2018 with interest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monthly at LIBOR + 1.45%</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4"/>
              </w:rPr>
              <w:t>Unsecured Black Knight InfoServ notes, including premium, interest payable semi-annually at 5.75%, due April</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402</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Black Knight Term A Facility, due May 27, 2020 with interest currently payable monthly at LIBOR + 2.00%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(2.44% at March 31, 2016)</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7"/>
              </w:rPr>
              <w:t>Black Knight Term B Facility, due May 27, 2022 with interest currently payable quarterly at LIBOR + 3.00%</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(3.75% at March 31, 2016)</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Black Knight Revolving Credit Facility, unused portion of $350, due May 27, 2020 with interest currently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monthly at LIBOR + 2.00% (2.44% at March 31, 2016)</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w w:val="96"/>
              </w:rPr>
              <w:t>ABRH Term Loan, interest payable monthly at LIBOR + 2.50% (2.93% at March 31, 2016), due August 2019</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Digital Insurance Revolving Credit Facility, unused portion of $65 at March 31, 2016, due March 31, 2020 with</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payable monthly at LIBOR + 2.50% - 3.50% (3.80% at March 31, 2016)</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ABRH Revolving Credit Facility, unused portion of $85 at March 31, 2016, due August 2019 with interest</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payable monthly at LIBOR + 2.50%</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8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2,793</w:t>
            </w:r>
          </w:p>
        </w:tc>
      </w:tr>
      <w:tr>
        <w:trPr>
          <w:trHeight w:val="27"/>
        </w:trPr>
        <w:tc>
          <w:tcPr>
            <w:tcW w:w="8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March 31, 2016, the estimated fair value of our long-term debt was approximately $3,093 million, which was $323 million higher than its carrying value, excluding $28 million of unamortized debt issuance costs and premium/discount. The carrying values of our ABRH term loan, ABRH revolving credit facility and Digital Insurance revolving credit facility approximate the fair values at March 31, 2016 as they are variable rate instruments with short reset periods which reflect current market rates. The fair value of our unsecured notes payable was $1,713 million as of March 31, 2016. The fair values of our unsecured notes payable are based on established market prices for the securities on March 31, 2016 and are considered Level 2 financial liabilities. The carrying value of the Black Knight Term A, Term B, and revolving facilities approximate fair value at March 31, 2016. The revolving credit facilities are considered Level 2 financial liabilities.</w:t>
      </w:r>
    </w:p>
    <w:p>
      <w:pPr>
        <w:spacing w:after="0" w:line="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May 27, 2015, Black Knight Infoserv, LLC ("BKIS") entered into a credit and guaranty agreement (the “BKIS Credit Agreement”) with an aggregate borrowing capacity of $1.6 billion with JPMorgan Chase Bank, N.A. as administrative agent, the guarantors party thereto, the other agents party thereto and the lenders party thereto. The material terms of the BKIS Credit Agreement are set forth in our Annual Report for the year ended December 31, 2015 and have not been amended since the filing of such Annual Report. As of March 31, 2016 BKIS had aggregate outstanding debt of $1,149 million under the BKIS Credit Agreement, net of debt issuance costs. We hold approximately $50 million of the outstanding Term B notes which eliminate in consolidation.</w:t>
      </w:r>
    </w:p>
    <w:p>
      <w:pPr>
        <w:spacing w:after="0" w:line="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31, 2015, Digital Insurance, entered into a senior secured credit facility (the “Digital Insurance Facility”) with Bank of America, N.A. (“Bank of America”) as administrative agent, JPMorgan Chase Bank, N.A. as syndication agent, and the other financial institutions party thereto. The material terms of the Digital Insurance Facility are set forth in our Annual Report for the year ended December 31, 2015. On March 10, 2016, the Digital Insurance Facility was amended to increase the borrowing capacity from $120 million to $160 million and to add Fifth Third Bank as an additional lender. As of March 31, 2016, Digital Insurance had outstanding debt of $94 million under the Digital Insurance Facility.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August 19, 2014, ABRH entered into a credit agreement (the “ABRH Credit Facility”) with Wells Fargo Bank, National Association as administrative agent, Swingline Lender and Issuing Lender (the “ABRH Administrative Agent”), Bank of America, N.A. as syndication agent and the other financial institutions party thereto. The ABRH Credit Facility provides for a maximum revolving loan of $100 million (the “ABRH Revolver") with a maturity date of August 19, 2019. Additionally, the ABRH Credit Facility provides for a maximum term loan (the "ABRH Term Loan") of $110 million with quarterly installment repayments through June 30, 2019 and a maturity date of August 19, 2019 for the outstanding unpaid principal balance and all accrued and unpaid interest. The material terms of the ABRH Credit Facility are set forth in our Annual Report on Form 10-K for the year ended December 31, 2015 and have not been amended since the filing of such Annual Report, except to clarify that a commitment fee is also due thereunder, at a rate per annum equal to between 32.5 and 40 basis points on the average daily unused portion of the commitments under the ABRH Revolver. As of March 31, 2016, ABRH had $96 million outstanding for the ABRH Term Loan, had no outstanding borrowings under the ABRH Revolver, had $15 million of outstanding letters of credit and had $85 million of remaining borrowing capacity under the ABRH Credit Facility.</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January 2, 2014, as a result of the LPS acquisition, FNF acquired $600 million aggregate principal amount of 5.75% Senior Notes due in 2023, initially issued by BKIS on October 12, 2012 (the "Black Knight Senior Notes"). The material terms of the Black Knight Senior Notes are set forth in our Annual Report for the year ended December 31, 2015. On January 16, 2014, we issued an offer to purchase the Black Knight Senior Notes pursuant to the change of control provisions at a purchase price of 101% of the principal amount plus accrued interest to the purchase date. The offer expired on February 18, 2014. As a result of the offer, bondholders tendered $5 million in principal of the Black Knight Senior Notes, which were subsequently purchased by us on February 24, 2014. On May 29, 2015, Black Knight completed a redemption of $205 million in aggregate principal of its Black Knight Senior Notes at a price of 105.75% under the note feature allowing redemption using proceeds from an equity offering.</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25, 2013, FNF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The material terms of the Revolving Credit Facility are set forth in our Annual Report for the year ended December 31, 2015. As of March 31, 2016, there was no outstanding balance under the Revolving Credit Facility and $5 million in unamortized debt issuance costs.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28, 2012, FNF completed an offering of $400 million in aggregate principal amount of 5.50% notes due September 2022 (the "5.50% notes"), pursuant to an effective registration statement previously filed with the SEC. The material terms of the 5.50% notes are set forth in our Annual Report for the year ended December 31, 2015.</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 2011, FNF completed an offering of $300 million in aggregate principal amount of 4.25% convertible senior notes due August 2018 (the "Notes") in an offering conducted in accordance with Rule 144A under the Securities Act of 1933, as amended. The material terms of the Notes are set forth in our Annual Report for the year ended December 31, 2015. Beginning October 1, 2013, these notes are convertible under the 130% Sale Price Condition described in our Annual Report.</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5, 2010, FNF completed an offering of $300 million in aggregate principal amount of our 6.60% notes due May 2017 (the "6.60% Notes"), pursuant to an effective registration statement previously filed with the SEC. The material terms of the 6.60% notes are set forth in our Annual Report for the year ended December 31, 2015.</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20" w:type="dxa"/>
            <w:vAlign w:val="bottom"/>
          </w:tcPr>
          <w:p>
            <w:pPr>
              <w:ind w:left="300"/>
              <w:spacing w:after="0"/>
              <w:rPr>
                <w:sz w:val="20"/>
                <w:szCs w:val="20"/>
                <w:color w:val="auto"/>
              </w:rPr>
            </w:pPr>
            <w:r>
              <w:rPr>
                <w:rFonts w:ascii="Arial" w:cs="Arial" w:eastAsia="Arial" w:hAnsi="Arial"/>
                <w:sz w:val="18"/>
                <w:szCs w:val="18"/>
                <w:color w:val="auto"/>
              </w:rPr>
              <w:t>Gross principal maturities of notes payable at March 31, 2016 are as follows (in millions):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10020" w:type="dxa"/>
            <w:vAlign w:val="bottom"/>
          </w:tcPr>
          <w:p>
            <w:pPr>
              <w:ind w:left="20"/>
              <w:spacing w:after="0"/>
              <w:rPr>
                <w:sz w:val="20"/>
                <w:szCs w:val="20"/>
                <w:color w:val="auto"/>
              </w:rPr>
            </w:pPr>
            <w:r>
              <w:rPr>
                <w:rFonts w:ascii="Arial" w:cs="Arial" w:eastAsia="Arial" w:hAnsi="Arial"/>
                <w:sz w:val="18"/>
                <w:szCs w:val="18"/>
                <w:color w:val="auto"/>
              </w:rPr>
              <w:t>2016 (remaining)</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649</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r>
      <w:tr>
        <w:trPr>
          <w:trHeight w:val="237"/>
        </w:trPr>
        <w:tc>
          <w:tcPr>
            <w:tcW w:w="100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2,770</w:t>
            </w:r>
          </w:p>
        </w:tc>
      </w:tr>
      <w:tr>
        <w:trPr>
          <w:trHeight w:val="27"/>
        </w:trPr>
        <w:tc>
          <w:tcPr>
            <w:tcW w:w="10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ordinary course of business, we are involved in various pending and threatened litigation matters related to our operations, some of which include claims for punitive or exemplary damages. With respect to our title insurance operations, this customary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includes but is not limited to a wide variety of cases arising out of or related to title and escrow claims, for which we make provisions through our loss reserves. Additionally, like other companies, our ordinary course litigation includes a number of class action and purported class action lawsuits, which make allegations related to aspects of our operations. We believe that no actions, other than the matters discussed below, depart from customary litigation incidental to our business.</w:t>
      </w:r>
    </w:p>
    <w:p>
      <w:pPr>
        <w:spacing w:after="0" w:line="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$69 million as of March 31, 2016 and $75 million as of December 31, 2015.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15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Following a review by the Board of Governors of the Federal Reserve System, the Federal Deposit Insurance Corporation, the Office of the Comptroller of the Currency and the Office of Thrift Supervision (collectively, the “banking agencies”), Lender Processing Services, Inc. (“LPS”) entered into a consent order (the “Order”) dated April 13, 2011 with the banking agencies. The banking agencies’ review of LPS’s services included the services provided by LPS’s default operations to mortgage servicers regulated by the banking agencies, including document execution services. The Order does not make any findings of fact or conclusions of wrongdoing, nor did LPS admit any fault or liability. Under the Order, LPS agreed to further study the issues identified in the review and to enhance LPS’s compliance, internal audit, risk management and board oversight plans with respect to those businesses. LPS also agreed to engage an independent third party to conduct a risk assessment and review of LPS’s default management businesses and the document execution services it provided to mortgage servicers from January 1, 2008 through December 31, 2010.</w:t>
      </w:r>
    </w:p>
    <w:p>
      <w:pPr>
        <w:spacing w:after="0" w:line="7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document execution review by the independent third party has been on indefinite hold since June 30, 2013 while the banking agencies consider what, if any, additional review work they would like the independent third party to undertake. Accordingly, the document execution review has taken and will continue to take longer to complete than the Company originally anticipated. In addition, the LPS default operations that were subject to the Order were contributed to ServiceLink in connection with the LPS Acquisition and Reorganization. To the extent such review, once completed, requires additional remediation of mortgage documents or identifies any financial injury from the document execution services LPS provided, ServiceLink (as a result of the contribution of the underlying LPS business) has agreed to implement an appropriate plan to address the issues. The Order contains various deadlines to accomplish the undertakings set forth therein, including the preparation of a remediation plan following the completion of the document execution review. ServiceLink will continue to make periodic reports to the banking agencies on the progress with respect to each of the undertakings in the Order. Although the Order does not include any fine or other monetary penalty, the banking agencies reserved their right to impose civil monetary penalties at any time. Based on discussions with the banking agencies and actions taken by the banking agencies with respect to other companies, the Company believes the likelihood that the banking agencies will assess a civil monetary penalty is both probable and reasonably estimable, and ServiceLink Holdings, LLC has included an estimate of such loss in its accrual for loss contingencies. The banking agencies notified ServiceLink in December 2015 that they wish to discuss terminating the Order through a possible agreed civil monetary penalty amount in lieu of requiring any additional document execution review by the independent third party. At this time, the parties have not agreed on a possible civil monetary penalty amount. The Company does not believe an adjustment to the amount already accrued in loss contingencies is warranted based upon discussions thus far. The parties have entered into a tolling agreement to allow the parties to engage in these discussions. This matter is subject to a Cross-Indemnity Agreement dated December 22, 2014, between Black Knight Financial Services, LLC and ServiceLink Holdings, LLC.</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On December 16, 2013, LPS received notice that Merion Capital, L.P. and Merion Capital II, L.P. (together "Merion Capital") were asserting their appraisal right relative to their ownership of 5,682,276 shares of LPS stock (the “Appraisal Shares”) in connection with the acquisition of LPS by FNF on January 2, 2014. On February 6, 2014, Merion Capital filed an appraisal proceeding, captioned </w:t>
      </w:r>
      <w:r>
        <w:rPr>
          <w:rFonts w:ascii="Arial" w:cs="Arial" w:eastAsia="Arial" w:hAnsi="Arial"/>
          <w:sz w:val="17"/>
          <w:szCs w:val="17"/>
          <w:i w:val="1"/>
          <w:iCs w:val="1"/>
          <w:color w:val="auto"/>
        </w:rPr>
        <w:t>Merion Capital LP and Merion Capital II, LP v. Lender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Processing Services, Inc., </w:t>
      </w:r>
      <w:r>
        <w:rPr>
          <w:rFonts w:ascii="Arial" w:cs="Arial" w:eastAsia="Arial" w:hAnsi="Arial"/>
          <w:sz w:val="17"/>
          <w:szCs w:val="17"/>
          <w:color w:val="auto"/>
        </w:rPr>
        <w:t>C.A. No. 9320-VCL, in the Delaware Court of Chancery seeking a judicial determination of the "fair" value of Merion Capital's</w:t>
      </w:r>
      <w:r>
        <w:rPr>
          <w:rFonts w:ascii="Arial" w:cs="Arial" w:eastAsia="Arial" w:hAnsi="Arial"/>
          <w:sz w:val="17"/>
          <w:szCs w:val="17"/>
          <w:i w:val="1"/>
          <w:iCs w:val="1"/>
          <w:color w:val="auto"/>
        </w:rPr>
        <w:t xml:space="preserve"> </w:t>
      </w:r>
      <w:r>
        <w:rPr>
          <w:rFonts w:ascii="Arial" w:cs="Arial" w:eastAsia="Arial" w:hAnsi="Arial"/>
          <w:sz w:val="17"/>
          <w:szCs w:val="17"/>
          <w:color w:val="auto"/>
        </w:rPr>
        <w:t>5,682,276 shares of LPS common stock under Delaware law, together with statutory interest. We filed an answer to this suit on March 3, 2014. On September 18, 2014, we reached an agreement with Merion Capital to pay the merger consideration to Merion Capital and stop the accrual of additional statutory interest during the pendency of the appraisal proceeding, and FNF paid Merion Capital the merger consideration (cash and stock), which was previously held in escrow for Merion Capital, in respect of the Appraisal Shares, and Black Knight Financial Services, LLC paid interest of $9 million through the date of payment. Trial is currently scheduled for early May 2016. Merion’s expert has opined that the consideration should have been $50.46 per share, which was approximately 36 percent higher than the final consideration of $37.14, and therefore, they are owed an additional $75 million plus statutory interest, which is approximately $13 million as of March 31, 2016. The Company’s position is that the merger consideration paid was fair value, and no additional consideration is owed. Discovery is closed. We will continue to vigorously defend against the appraisal proceedings, and we do not believe the result will have a material adverse effect on our financial condition.</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34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10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(remaining)</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10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10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7"/>
        </w:trPr>
        <w:tc>
          <w:tcPr>
            <w:tcW w:w="10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operating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r>
      <w:tr>
        <w:trPr>
          <w:trHeight w:val="20"/>
        </w:trPr>
        <w:tc>
          <w:tcPr>
            <w:tcW w:w="10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Dividends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April 27, 2016, our Board of Directors declared cash dividends of $0.21 per share, payable on June 30, 2016, to FNF Group common shareholders of record as of June 16,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Segment Information</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Summarized financial information concerning our reportable segments is shown in the following tables. Prior period segment information has been restated to conform to the current segment presentation.</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fourth quarter of 2015, we determined that Pacific Union International, Inc. ("Pacific Union"), a luxury real estate broker based in California in which we acquired a controlling stake in December 2014, better aligned with the businesses within our FNF Group Corporate and Other segment. Accordingly, Pacific Union's Total assets of $49 million, Goodwill of $24 million, Other revenues of $22 million, Depreciation and amortization of $1 million and Loss from continuing operations of $1 million as of and for the three months ended March 31, 2015 which were previously included in the Title segment are now included in the FNF Group Corporate and Other segment in the below table.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FNF Group</w:t>
            </w:r>
          </w:p>
        </w:tc>
        <w:tc>
          <w:tcPr>
            <w:tcW w:w="10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Total FNF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FNFV</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Black Knight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Group</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952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952</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741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779</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293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293</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1,418</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1,693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1,447</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30</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1,719</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290</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329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2,048</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34</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130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143"/>
        </w:trPr>
        <w:tc>
          <w:tcPr>
            <w:tcW w:w="42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Earnings (loss) from continuing operations, before equity in earnings</w:t>
            </w: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80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82</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in earnings (losses) of unconsolidated affiliates</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83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8,668</w:t>
            </w:r>
          </w:p>
        </w:tc>
        <w:tc>
          <w:tcPr>
            <w:tcW w:w="12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3,645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220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12,533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1,410</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13,943</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4,579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4,766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FNF Group</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Total FNF</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color w:val="auto"/>
                <w:w w:val="94"/>
              </w:rPr>
              <w:t>FNFV</w:t>
            </w:r>
          </w:p>
        </w:tc>
        <w:tc>
          <w:tcPr>
            <w:tcW w:w="100" w:type="dxa"/>
            <w:vAlign w:val="bottom"/>
          </w:tcPr>
          <w:p>
            <w:pPr>
              <w:spacing w:after="0"/>
              <w:rPr>
                <w:sz w:val="12"/>
                <w:szCs w:val="12"/>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line="131" w:lineRule="exact"/>
              <w:rPr>
                <w:sz w:val="20"/>
                <w:szCs w:val="20"/>
                <w:color w:val="auto"/>
              </w:rPr>
            </w:pPr>
            <w:r>
              <w:rPr>
                <w:rFonts w:ascii="Arial" w:cs="Arial" w:eastAsia="Arial" w:hAnsi="Arial"/>
                <w:sz w:val="13"/>
                <w:szCs w:val="13"/>
                <w:color w:val="auto"/>
                <w:w w:val="89"/>
              </w:rPr>
              <w:t>Corporate</w:t>
            </w: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Black Knight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Group</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6"/>
              </w:rPr>
              <w:t>and Other</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858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858</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695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113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808</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364</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1,308</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1,553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477</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2,030</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1,338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227</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18</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1,583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364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478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2,061</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151</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 earnings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143"/>
        </w:trPr>
        <w:tc>
          <w:tcPr>
            <w:tcW w:w="42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Earnings (loss) from continuing operations, before equity in (loss)</w:t>
            </w: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83</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18</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8,282</w:t>
            </w:r>
          </w:p>
        </w:tc>
        <w:tc>
          <w:tcPr>
            <w:tcW w:w="12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3,599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73</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b w:val="1"/>
                <w:bCs w:val="1"/>
                <w:color w:val="auto"/>
              </w:rPr>
              <w:t>11,954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1,083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1,745</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13,699</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4,518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4,712</w:t>
            </w: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8"/>
          <w:szCs w:val="18"/>
          <w:color w:val="auto"/>
        </w:rPr>
        <w:t>The activities of the reportable segments include the following:</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Group</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This segment consists of the operations of our title insurance underwriters and related businesses. This segment provides core title insurance and escrow and other title related services including trust activities, trustee sales guarantees, recordings and</w:t>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reconveyances, and home warranty insurance. This segment also includes the transaction services business acquired from LPS, now combined with our ServiceLink business. Transaction services include other title related services used in the production and management of mortgage loans, including mortgage loans that experience default.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This segment consists of the operations of Black Knight, which, through leading software systems and information solutions, provides mission critical technology and data and analytics services that facilitate and automate many of the business processes across the life cycle of a mortgage.</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Group Corporate and Other</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FNF Group Corporate and Other segment consists of the operations of the parent holding company, certain other unallocated corporate overhead expenses, and other real estate and insurance related operations.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segment consists of the operations of ABRH, in which we have a 55% ownership interest. ABRH and its affiliates are the owners and operators of the O'Charley's, Ninety Nine Restaurants, Village Inn, Bakers Square, and Legendary Baking concepts. As of and for the three months ended March 31, 2015, this segment also included the results of J. Alexander's, Inc. ("J. Alexander's"), which was distributed to FNFV shareholders on September 28, 2015, and the Max &amp; Erma's concept, which was sold pursuant to an Asset Purchase Agreement on January 25, 2016.</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 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primarily consists of our share in the operations of certain equity investments, including Ceridian, as well as consolidated investments, including Digital Insurance, in which we own 96%, and other smaller operations which are not title related.</w:t>
      </w:r>
    </w:p>
    <w:p>
      <w:pPr>
        <w:spacing w:after="0" w:line="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H.</w:t>
      </w:r>
      <w:r>
        <w:rPr>
          <w:sz w:val="20"/>
          <w:szCs w:val="20"/>
          <w:color w:val="auto"/>
        </w:rPr>
        <w:tab/>
      </w:r>
      <w:r>
        <w:rPr>
          <w:rFonts w:ascii="Arial" w:cs="Arial" w:eastAsia="Arial" w:hAnsi="Arial"/>
          <w:sz w:val="16"/>
          <w:szCs w:val="16"/>
          <w:b w:val="1"/>
          <w:bCs w:val="1"/>
          <w:color w:val="auto"/>
        </w:rPr>
        <w:t>Supplemental Cash Flow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supplemental cash flow information is provided with respect to certain non-cash investing and financing activities.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000" w:type="dxa"/>
            <w:vAlign w:val="bottom"/>
          </w:tcPr>
          <w:p>
            <w:pPr>
              <w:spacing w:after="0"/>
              <w:rPr>
                <w:sz w:val="16"/>
                <w:szCs w:val="16"/>
                <w:color w:val="auto"/>
              </w:rPr>
            </w:pPr>
          </w:p>
        </w:tc>
        <w:tc>
          <w:tcPr>
            <w:tcW w:w="2380" w:type="dxa"/>
            <w:vAlign w:val="bottom"/>
            <w:gridSpan w:val="5"/>
          </w:tcPr>
          <w:p>
            <w:pPr>
              <w:jc w:val="right"/>
              <w:ind w:right="114"/>
              <w:spacing w:after="0"/>
              <w:rPr>
                <w:sz w:val="20"/>
                <w:szCs w:val="20"/>
                <w:color w:val="auto"/>
              </w:rPr>
            </w:pPr>
            <w:r>
              <w:rPr>
                <w:rFonts w:ascii="Arial" w:cs="Arial" w:eastAsia="Arial" w:hAnsi="Arial"/>
                <w:sz w:val="14"/>
                <w:szCs w:val="14"/>
                <w:b w:val="1"/>
                <w:bCs w:val="1"/>
                <w:color w:val="auto"/>
              </w:rPr>
              <w:t>Three months ended March 31,</w:t>
            </w:r>
          </w:p>
        </w:tc>
      </w:tr>
      <w:tr>
        <w:trPr>
          <w:trHeight w:val="276"/>
        </w:trPr>
        <w:tc>
          <w:tcPr>
            <w:tcW w:w="9000" w:type="dxa"/>
            <w:vAlign w:val="bottom"/>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780" w:type="dxa"/>
            <w:vAlign w:val="bottom"/>
          </w:tcPr>
          <w:p>
            <w:pPr>
              <w:jc w:val="right"/>
              <w:ind w:right="579"/>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9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189"/>
        </w:trPr>
        <w:tc>
          <w:tcPr>
            <w:tcW w:w="9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Change in treasury stock purchases payable in period</w:t>
            </w:r>
          </w:p>
        </w:tc>
        <w:tc>
          <w:tcPr>
            <w:tcW w:w="780" w:type="dxa"/>
            <w:vAlign w:val="bottom"/>
          </w:tcPr>
          <w:p>
            <w:pPr>
              <w:jc w:val="right"/>
              <w:ind w:right="579"/>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702"/>
        </w:trPr>
        <w:tc>
          <w:tcPr>
            <w:tcW w:w="9000" w:type="dxa"/>
            <w:vAlign w:val="bottom"/>
          </w:tcPr>
          <w:p>
            <w:pPr>
              <w:ind w:left="5600"/>
              <w:spacing w:after="0"/>
              <w:rPr>
                <w:sz w:val="20"/>
                <w:szCs w:val="20"/>
                <w:color w:val="auto"/>
              </w:rPr>
            </w:pPr>
            <w:r>
              <w:rPr>
                <w:rFonts w:ascii="Arial" w:cs="Arial" w:eastAsia="Arial" w:hAnsi="Arial"/>
                <w:sz w:val="18"/>
                <w:szCs w:val="18"/>
                <w:color w:val="auto"/>
              </w:rPr>
              <w:t>20</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and adverse changes in applicable laws or regulations or in their application by regulators; and other risks detailed in the “Statement Regarding Forward-Looking Information,” “Risk Factors” and other sections of our Annual Report on Form 10-K (our "Annual Report") for the year ended December 31, 2015 and other filings with the SEC.</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 for the year ended December 31,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under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Note A to the Condensed Consolidated Financial Statements included in Item 1 of Part I of this Report, which is incorporated by reference into</w:t>
      </w:r>
      <w:r>
        <w:rPr>
          <w:rFonts w:ascii="Arial" w:cs="Arial" w:eastAsia="Arial" w:hAnsi="Arial"/>
          <w:sz w:val="18"/>
          <w:szCs w:val="18"/>
          <w:i w:val="1"/>
          <w:iCs w:val="1"/>
          <w:color w:val="auto"/>
        </w:rPr>
        <w:t xml:space="preserve"> </w:t>
      </w:r>
      <w:r>
        <w:rPr>
          <w:rFonts w:ascii="Arial" w:cs="Arial" w:eastAsia="Arial" w:hAnsi="Arial"/>
          <w:sz w:val="18"/>
          <w:szCs w:val="18"/>
          <w:color w:val="auto"/>
        </w:rPr>
        <w:t>this Part I, Item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Title segment revenue is closely related to the level of real estate activity which includes sales, mortgage financing and mortgage refinancing. The levels of real estate activity are primarily affected by the average price of real estate sales, the availability of funds to finance purchases, mortgage interest rates and the strength of the United States economy, including employment levels. Declines in the level of real estate activity or the average price of real estate sales will adversely affect our title insurance revenues.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2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 funding supply;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strength of the United States economy, including employment levels.</w:t>
      </w:r>
    </w:p>
    <w:p>
      <w:pPr>
        <w:spacing w:after="0" w:line="7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From December 2008 through December 2015, the Federal Reserve held the federal funds rate at 0.0%-0.25%. In December 2015, the Federal Reserve raised the target federal funds rate to 0.25%-0.50%. As a result, mortgage interest rates were at historically low levels through the beginning of 2013. During the last half of 2013, however, interest rates rose to their highest level since 2011. Through 2014, mortgage interest rates declined moderately and in the fourth quarter of 2014 dropped below 4.00%. Mortgage interest rates have remained between 3.50% and 4.25% through the quarter ended March 31, 2016.</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April 18, 2016 the Mortgage Bankers Association ("MBA") estimated the size of the U.S. mortgage originations market as shown in the following table for 2015 - 2018 in their "Mortgage Finance Forecast" (in trillions):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7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0.7</w:t>
            </w:r>
          </w:p>
        </w:tc>
      </w:tr>
      <w:tr>
        <w:trPr>
          <w:trHeight w:val="27"/>
        </w:trPr>
        <w:tc>
          <w:tcPr>
            <w:tcW w:w="73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mortgage originations forecast</w:t>
            </w: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0"/>
        </w:trPr>
        <w:tc>
          <w:tcPr>
            <w:tcW w:w="7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extended period of low interest rates described above resulted in a greater proportion of refinance transactions to overall mortgage originations compared to historical norms. In 2015, the ratio of refinances to total originations increased to nearly 50% in anticipation of increased mortgage rates resulting from projected increases in the target federal funds rate weighed on the market. The MBA predicts the ratio will return to historical norms and the ratio of refinances will decrease through 2018. The MBA also predicts mortgage originations in 2017 through 2018 will decrease slightly compared to the 2015 period with a slight increase in purchase transactions expected to be offset by a decrease in refinance transactions. We expect the predicted change in mix, if it materializes, to have a positive effect on our earnings because purchase transactions involve the issuance of both a lender’s policy and an owner’s policy, resulting in higher fees, whereas refinance transactions only require a lender’s policy, resulting in lower fees.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Because commercial real estate transactions tend to be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For the past several years, including the year ended December 31, 2015, we have experienced an increase in fee per file of commercial transactions from the previous years. In 2015 and through the quarter ended March 31, 2016, we continued to see the volume and fee per file of commercial transactions trend higher, indicating strong commercial markets.</w:t>
      </w:r>
    </w:p>
    <w:p>
      <w:pPr>
        <w:spacing w:after="0" w:line="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to state-level regulation, segments of our FNF Group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including Black Knight. The CFPB has been given broad authority to regulate, among other areas, the mortgage and real estate markets in matters pertaining to consumers. This authority includes the enforcement of the Real Estate Settlement Procedures Act formerly placed with the Department of Housing and Urban Development. On July 9, 2012, the CFPB introduced a number of proposed rules related to the enforcement of the Real Estate Settlement Procedures Act and the Truth in Lending Act, including, among others, measures designed to (i) simplify financing documentation and (ii) require lenders to deliver to consumers a statement of final financing charges (and the related annual percentage rate) at least three business days prior to the closing. These rules became effective on January 10, 2014.</w:t>
      </w:r>
    </w:p>
    <w:p>
      <w:pPr>
        <w:spacing w:after="0" w:line="3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November 20, 2013, the CFPB issued additional rules regarding mortgage forms and other mortgage related disclosures with the intent to provide "easier-to-use" mortgage disclosure forms for consumers. The additional disclosure rules require participants in the mortgage market, including us, to make significant changes to the manner in which they create, process, and deliver certain disclosures to consumers in connection with mortgage loan applications. The additional disclosures are effective for mortgage loan applications made on or after October 3, 2015. The main provisions of the additional disclosures include amending Regulation Z (the Truth in Lending Act) and Regulation X (Real Estate Settlement Procedures Act) (collectively, the “TILA-RESPA Integrated Disclosure" or "TRID”) to consolidate existing loan disclosures under TILA and RESPA for closed-end credit transactions secured by real property. TRID requires (i) timely delivery of a loan estimate upon receipt of a consumer’s application and (ii) timely delivery of a closing disclosure prior to consummation. TRID also imposes certain restrictions, including the prohibition of imposing fees prior to provision of an estimate and the prohibition of providing estimates prior to a consumer’s submission of verifying documents. These changes could lead to lower mortgage volumes and/or delays in mortgage processing, particularly in the early stages of implementation. We do not believe the changes will have a significant effect on long term mortgage volumes and do not believe this had a material impact on our results from operations for the three months ending March 31, 2016.</w:t>
      </w:r>
    </w:p>
    <w:p>
      <w:pPr>
        <w:spacing w:after="0" w:line="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Readiness for and compliance with TRID required extensive planning; changes to systems, forms and processes; and heightened coordination among market participants. We believe that FNF, its agents or other market participants have generally been successful in their implementation efforts. It is our experience that mortgage lenders have become increasingly focused on the risk of non-compliance with these evolving regulations and the technologies and solutions that help them to comply with the increased regulatory oversight and burdens. Black Knight has developed solutions that target this need, which has resulted in additional revenue for Black Knight.</w:t>
      </w:r>
    </w:p>
    <w:p>
      <w:pPr>
        <w:spacing w:after="0" w:line="5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Historically, real estate transactions have produced seasonal revenue fluctuations in the real estate industry including title insurers. The first calendar quarter is typically the weakest quarter in terms of revenue due to the generally low volume of home sales during January and February. The third calendar quarter is typically the strongest quarter in terms of revenue, primarily due to a higher volume of home sales in the summer months. The fourth quarter is typically also strong due to the desire of commercial entities to complete transactions by year-end. We have noted short-term fluctuations through recent years in resale and refinance transactions as a result of changes in interest rates and the implementation and subsequent expiration of government programs designed to stimulate the real estate market. In 2015 and 2014, we saw seasonality trends return to historical patterns. During 2015, we experienced a moderate increase in existing home sales and a decline in total housing inventory. The trend has continued through the three months ended March 31, 2016.</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Underlying the mortgage loan life cycle is the technology and data and analytics support behind each process, which has become increasingly critical to industry participants due to the complexity of regulatory requirements. As the industry has grown in complexity, participants have responded by outsourcing to large scale specialty providers, automating manual processes and seeking end-to-end solutions that support the processes required to manage the entire mortgage loan life cycle.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Black Knight's various businesses are impacted differently by the level of mortgage originations, including refinancing transactions. Black Knight's mortgage servicing platform is generally less affected by varying levels of mortgage originations because it earns revenues based on the total number of mortgage loans it processes, which tend to stay more constant than the market for originations. Black Knight's origination technology and some of its data businesses are directly affected by the volume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of real estate transactions and mortgage originations, but many of its client contracts for origination technology contain minimum charges.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Black Knight's various businesses are also impacted by general economic conditions. For example, in the event that a difficult economy or other factors lead to a decline in levels of home ownership and a reduction in the number of mortgage loans outstanding and Black Knight is not able to counter the impact of those events with increased market share or higher fees, it could have a material adverse effect on our mortgage processing revenues. In contrast, we believe that a weaker economy tends to increase the volume of consumer mortgage defaults, which may increase the revenues in Black Knight's specialty servicing technology business that is used to service residential mortgage loans in default. Moreover, interest rates tend to decline in a weaker economy driving higher than normal refinance transactions that provide potential volume increases to Black Knight's origination technology offerings, most specifically the RealEC Exchange platform.</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revenues in future periods will continue to be subject to these and other factors that are beyond our control and, as a result, are likely to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19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417</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808</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2,061</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623</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466</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restaurant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w w:val="94"/>
              </w:rPr>
              <w:t>Earnings from continuing operations before income taxes and equity in earnings (losses) of unconsolidated affiliates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Equity in earnings (losses) of unconsolidated affiliates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decreased by $13 million in the three months ended March 31, 2016, compared to the corresponding period in 2015. The decrease consisted of a $136 million increase at FNF Group and a $149 million decrease at FNFV.</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earnings from continuing operations decreased by $16 million in the three months ended March 31, 2016, compared to the corresponding period in 2015. The decrease consisted of a $2 million decrease at FNF Group and $14 million decrease at FNFV.</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from the FNF Group segments and FNFV segments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operating expenses consist primarily of Personnel costs; Other operating expenses, which in our title business are incurred as orders are received and processed and at Black Knight for data processing and program design and development costs; Agent commissions, which are incurred as revenue is recognized; and Cost of restaurant revenue.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Agent commissions represent the portion of premiums retained by our third-party agents pursuant to the terms of their respective agency contracts.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 related products, postage and courier services, computer services, professional services, travel expenses, general insurance, and bad debt expense on our trade and notes receivable.</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from the FNF Group segments and FNFV segments is discussed in further detail at the segment level below.</w:t>
      </w:r>
    </w:p>
    <w:p>
      <w:pPr>
        <w:sectPr>
          <w:pgSz w:w="11900" w:h="16838" w:orient="portrait"/>
          <w:cols w:equalWidth="0" w:num="1">
            <w:col w:w="11420"/>
          </w:cols>
          <w:pgMar w:left="240" w:top="121" w:right="239" w:bottom="221" w:gutter="0" w:footer="0" w:header="0"/>
        </w:sectPr>
      </w:pPr>
    </w:p>
    <w:bookmarkStart w:id="26" w:name="page27"/>
    <w:bookmarkEnd w:id="26"/>
    <w:p>
      <w:pPr>
        <w:jc w:val="both"/>
        <w:ind w:firstLine="324"/>
        <w:spacing w:after="0" w:line="259" w:lineRule="auto"/>
        <w:rPr>
          <w:sz w:val="20"/>
          <w:szCs w:val="20"/>
          <w:color w:val="auto"/>
        </w:rPr>
      </w:pPr>
      <w:r>
        <w:rPr>
          <w:rFonts w:ascii="Arial" w:cs="Arial" w:eastAsia="Arial" w:hAnsi="Arial"/>
          <w:sz w:val="18"/>
          <w:szCs w:val="18"/>
          <w:color w:val="auto"/>
        </w:rPr>
        <w:t>Income tax expense was $49 million and $50 million in the three-month periods ended March 31, 2016 and 2015, respectively. Income tax expense as a percentage of earnings before income taxes was 37% and 33% for the three-month periods ended March 31, 2016 and 2015, respectively. Income taxes as a percentage of earnings before income taxes fluctuates depending on our estimate of ultimate income tax liability and changes in the characteristics of net earnings, such as the weighting of operating income versus investment income.</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Equity in earnings (losses) of unconsolidated affiliates was $2 million and $(1) million for the three-month periods ended March 31, 2016 and 2015, respectively. The equity in earnings (losses) in 2016 and 2015 consisted primarily of net losses related to our investment in Ceridian, offset by earnings at various other unconsolidated affiliates, which is described further at the segment level below.</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33"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Title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264"/>
        </w:trPr>
        <w:tc>
          <w:tcPr>
            <w:tcW w:w="9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r>
      <w:tr>
        <w:trPr>
          <w:trHeight w:val="190"/>
        </w:trPr>
        <w:tc>
          <w:tcPr>
            <w:tcW w:w="9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6"/>
                <w:szCs w:val="16"/>
                <w:color w:val="auto"/>
              </w:rPr>
            </w:pPr>
          </w:p>
        </w:tc>
      </w:tr>
      <w:tr>
        <w:trPr>
          <w:trHeight w:val="255"/>
        </w:trPr>
        <w:tc>
          <w:tcPr>
            <w:tcW w:w="9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title insurance premiums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r>
      <w:tr>
        <w:trPr>
          <w:trHeight w:val="243"/>
        </w:trPr>
        <w:tc>
          <w:tcPr>
            <w:tcW w:w="9160" w:type="dxa"/>
            <w:vAlign w:val="bottom"/>
          </w:tcPr>
          <w:p>
            <w:pPr>
              <w:ind w:left="280"/>
              <w:spacing w:after="0"/>
              <w:rPr>
                <w:sz w:val="20"/>
                <w:szCs w:val="20"/>
                <w:color w:val="auto"/>
              </w:rPr>
            </w:pPr>
            <w:r>
              <w:rPr>
                <w:rFonts w:ascii="Arial" w:cs="Arial" w:eastAsia="Arial" w:hAnsi="Arial"/>
                <w:sz w:val="18"/>
                <w:szCs w:val="18"/>
                <w:color w:val="auto"/>
              </w:rPr>
              <w:t>Agency title insurance premiums</w:t>
            </w: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441</w:t>
            </w:r>
          </w:p>
        </w:tc>
      </w:tr>
      <w:tr>
        <w:trPr>
          <w:trHeight w:val="27"/>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 related and other fees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r>
      <w:tr>
        <w:trPr>
          <w:trHeight w:val="243"/>
        </w:trPr>
        <w:tc>
          <w:tcPr>
            <w:tcW w:w="916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9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w:t>
            </w:r>
          </w:p>
        </w:tc>
      </w:tr>
      <w:tr>
        <w:trPr>
          <w:trHeight w:val="243"/>
        </w:trPr>
        <w:tc>
          <w:tcPr>
            <w:tcW w:w="9160" w:type="dxa"/>
            <w:vAlign w:val="bottom"/>
          </w:tcPr>
          <w:p>
            <w:pPr>
              <w:ind w:left="280"/>
              <w:spacing w:after="0"/>
              <w:rPr>
                <w:sz w:val="20"/>
                <w:szCs w:val="20"/>
                <w:color w:val="auto"/>
              </w:rPr>
            </w:pPr>
            <w:r>
              <w:rPr>
                <w:rFonts w:ascii="Arial" w:cs="Arial" w:eastAsia="Arial" w:hAnsi="Arial"/>
                <w:sz w:val="18"/>
                <w:szCs w:val="18"/>
                <w:color w:val="auto"/>
              </w:rPr>
              <w:t>Agent commissions</w:t>
            </w: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333</w:t>
            </w:r>
          </w:p>
        </w:tc>
      </w:tr>
      <w:tr>
        <w:trPr>
          <w:trHeight w:val="27"/>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r>
      <w:tr>
        <w:trPr>
          <w:trHeight w:val="243"/>
        </w:trPr>
        <w:tc>
          <w:tcPr>
            <w:tcW w:w="91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237"/>
        </w:trPr>
        <w:tc>
          <w:tcPr>
            <w:tcW w:w="916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1,218</w:t>
            </w:r>
          </w:p>
        </w:tc>
      </w:tr>
      <w:tr>
        <w:trPr>
          <w:trHeight w:val="27"/>
        </w:trPr>
        <w:tc>
          <w:tcPr>
            <w:tcW w:w="9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 and equity in earnings of unconsolidated affiliates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r>
      <w:tr>
        <w:trPr>
          <w:trHeight w:val="20"/>
        </w:trPr>
        <w:tc>
          <w:tcPr>
            <w:tcW w:w="9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0"/>
        </w:trPr>
        <w:tc>
          <w:tcPr>
            <w:tcW w:w="9160" w:type="dxa"/>
            <w:vAlign w:val="bottom"/>
          </w:tcPr>
          <w:p>
            <w:pPr>
              <w:ind w:left="40"/>
              <w:spacing w:after="0"/>
              <w:rPr>
                <w:sz w:val="20"/>
                <w:szCs w:val="20"/>
                <w:color w:val="auto"/>
              </w:rPr>
            </w:pPr>
            <w:r>
              <w:rPr>
                <w:rFonts w:ascii="Arial" w:cs="Arial" w:eastAsia="Arial" w:hAnsi="Arial"/>
                <w:sz w:val="18"/>
                <w:szCs w:val="18"/>
                <w:color w:val="auto"/>
              </w:rPr>
              <w:t>Orders opened by direct title operations (in thousands)</w:t>
            </w:r>
          </w:p>
        </w:tc>
        <w:tc>
          <w:tcPr>
            <w:tcW w:w="14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578</w:t>
            </w:r>
          </w:p>
        </w:tc>
      </w:tr>
      <w:tr>
        <w:trPr>
          <w:trHeight w:val="27"/>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Orders closed by direct title operations (in thousands)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Fee per file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1,833</w:t>
            </w: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revenues for the Title segment increased by $109 million, or 8%, in the three months ended March 31, 2016 from the corresponding period in 2015.</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6"/>
              </w:rPr>
              <w:t>Three months ended March 31,</w:t>
            </w:r>
          </w:p>
        </w:tc>
        <w:tc>
          <w:tcPr>
            <w:tcW w:w="980" w:type="dxa"/>
            <w:vAlign w:val="bottom"/>
            <w:tcBorders>
              <w:bottom w:val="single" w:sz="8" w:color="auto"/>
            </w:tcBorders>
          </w:tcPr>
          <w:p>
            <w:pPr>
              <w:spacing w:after="0"/>
              <w:rPr>
                <w:sz w:val="16"/>
                <w:szCs w:val="16"/>
                <w:color w:val="auto"/>
              </w:rPr>
            </w:pPr>
          </w:p>
        </w:tc>
      </w:tr>
      <w:tr>
        <w:trPr>
          <w:trHeight w:val="258"/>
        </w:trPr>
        <w:tc>
          <w:tcPr>
            <w:tcW w:w="7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 of</w:t>
            </w:r>
          </w:p>
        </w:tc>
      </w:tr>
      <w:tr>
        <w:trPr>
          <w:trHeight w:val="276"/>
        </w:trPr>
        <w:tc>
          <w:tcPr>
            <w:tcW w:w="7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1000" w:type="dxa"/>
            <w:vAlign w:val="bottom"/>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51</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Title premiums increased by 11% in the three months ended March 31, 2016 as compared to the corresponding period in 2015. The increase comprised of an increase in Title premiums from direct operations of $5 million, or 1%, and an increase in Title premiums from agency operations of $89 million, or 20% in the three months ended March 31, 2016.</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the percentages of open and closed title insurance orders generated by purchase and refinance transactions by our direct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780" w:type="dxa"/>
            <w:vAlign w:val="bottom"/>
          </w:tcPr>
          <w:p>
            <w:pPr>
              <w:spacing w:after="0"/>
              <w:rPr>
                <w:sz w:val="22"/>
                <w:szCs w:val="22"/>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7"/>
        </w:trPr>
        <w:tc>
          <w:tcPr>
            <w:tcW w:w="878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878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7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37"/>
        </w:trPr>
        <w:tc>
          <w:tcPr>
            <w:tcW w:w="878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7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80" w:type="dxa"/>
            <w:vAlign w:val="bottom"/>
            <w:vMerge w:val="continue"/>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780" w:type="dxa"/>
            <w:vAlign w:val="bottom"/>
          </w:tcPr>
          <w:p>
            <w:pPr>
              <w:spacing w:after="0"/>
              <w:rPr>
                <w:sz w:val="20"/>
                <w:szCs w:val="20"/>
                <w:color w:val="auto"/>
              </w:rPr>
            </w:pPr>
            <w:r>
              <w:rPr>
                <w:rFonts w:ascii="Arial" w:cs="Arial" w:eastAsia="Arial" w:hAnsi="Arial"/>
                <w:sz w:val="18"/>
                <w:szCs w:val="18"/>
                <w:color w:val="auto"/>
              </w:rPr>
              <w:t>(1)  Percentages exclude consideration of an immaterial number of non-purchase and non-refinance orders.</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Title premiums from direct operations increased in the three months ended March 31, 2016 as compared to the corresponding period in 2015 primarily due to a favorable change in the mix of closed orders from purchase and refinance transactions. A favorable increase in Closed title insurance orders from purchase transactions was largely offset by a decrease in Closed title insurance orders from refinance transactions in the three months ended March 31, 2016 as compared to the corresponding period in 2015. Closed order volumes were 322,000 in the three months ended March 31, 2016 compared with 345,000 in the three months ended March 31, 2015. This represented an overall decrease of 7%. Open title orders decreased consistently with closed orders over the three months ended March 31, 2016 as compared to 2015. The average fee per file in our direct operations was $2,032 in the three months ended March 31, 2016 compared to $1,833 in the three months ended March 31, 2015. The increase in average fee per file reflects the aforementioned change in mix of closed orders from purchase and refinance transactions.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increase in title premiums from agency operations is primarily the result of an increase in remitted agency premiums due to strength in agency driven real estate markets, including the Mid-Atlantic and Southern states.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Escrow, title related and other fees increased by $16 million, or 4%, in the three months ended March 31, 2016 from the corresponding period in 2015. Escrow fees, which are more closely related to our direct operations, increased by $9 million, or 6%, in the three months ended March 31, 2016 compared to the corresponding period in 2015. The increase is representative of the change in the mix of purchase to refinance orders previously discussed. Other fees in the Title segment, excluding escrow fees, increased by $7 million, or 2%, in the three months ended March 31, 2016 from the corresponding period in 2015. The increase in other fees is consistent with the increase in our direct premiums and is also driven primarily by increased revenue in our home warranty business partially offset by decreases at ServiceLink.</w:t>
      </w:r>
    </w:p>
    <w:p>
      <w:pPr>
        <w:spacing w:after="0" w:line="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Interest and investment income levels are primarily a function of securities markets, interest rates and the amount of cash available for investment. Interest and investment income decreased by $1 million in the three months ended March 31, 2016 compared to the corresponding period in 2015. The decrease is attributable to a decrease in bond holdings and yield, offset by increased dividends on equity holdings and interest on short term investments.</w:t>
      </w:r>
    </w:p>
    <w:p>
      <w:pPr>
        <w:spacing w:after="0" w:line="14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Personnel costs include base salaries, commissions, benefits, stock-based compensation and bonuses paid to employees, and are one of our most significant operating expenses. There was a $26 million, or 5% increase in the three-month period ended March 31, 2016 compared to the corresponding period in 2015. The increase is primarily due to higher commissions and bonuses associated with the higher direct title premium revenue and higher headcount associated with the increased direct title revenue in the three months ended March 31, 2016 from the 2015 period as well as due to increased costs associated with the implementation of TRID. Personnel costs as a percentage of total revenues from direct title premiums and escrow, title-related and other fees were 57% for the three-month period ended March 31, 2016 and 55% for the three-month period ended March 31, 2015. The increase in personnel costs as a percentage of revenue is consistent with the increase in headcount. Average employee count in the Title segment was 20,806 and 19,627 in the three-month periods ended March 31, 2016 and 2015, respectively.</w:t>
      </w:r>
    </w:p>
    <w:p>
      <w:pPr>
        <w:spacing w:after="0" w:line="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bad debt expense on our trade and notes receivable. Other operating expenses increased by $14 million, or 4% in the three months ended March 31, 2016 from the corresponding period in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2015. The increase in other operating expenses is consistent with the increase in revenue and remained consistent as a percentage of total revenue excluding agency premiums, interest and investment income, and realized gains and losses.</w:t>
      </w:r>
    </w:p>
    <w:p>
      <w:pPr>
        <w:spacing w:after="0" w:line="6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relationship of agent premiums and agent commissions, which have remained relatively consistent since 2015:</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6"/>
              </w:rPr>
              <w:t>Three months ended March 31,</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96"/>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Depreciation and amortization decreased by $2 million in the three months ended March 31, 2016 compared to the corresponding period in 2015.</w:t>
      </w:r>
    </w:p>
    <w:p>
      <w:pPr>
        <w:spacing w:after="0" w:line="1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Any significant adjustments to strengthen or release loss reserves resulting from the comparison with our actuarial analysis are made in addition to this loss provision rate.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Effective July 1, 2015, we revised our loss provision rate to 5.5% from 6% primarily due to favorable development on more recent policy year claims.</w:t>
      </w:r>
    </w:p>
    <w:p>
      <w:pPr>
        <w:spacing w:after="0" w:line="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claim loss provision for title insurance was $52 million and $51 million for the three-month periods ended March 31, 2016 and 2015, respectively, and reflects an average provision rate of 5.5% and 6% of title premiums, respectively. We continually monitor and evaluate our loss provision level, actual claims paid, and the loss reserve position each quarter.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 Knight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results of the FNF Group segment reflected in the three months ended March 31, 2016 and 2015 include the results of Black Knight and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from operations of Black Knight: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r>
      <w:tr>
        <w:trPr>
          <w:trHeight w:val="196"/>
        </w:trPr>
        <w:tc>
          <w:tcPr>
            <w:tcW w:w="7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40" w:type="dxa"/>
            <w:vAlign w:val="bottom"/>
            <w:gridSpan w:val="3"/>
          </w:tcPr>
          <w:p>
            <w:pPr>
              <w:jc w:val="right"/>
              <w:ind w:right="816"/>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Escrow, title related and other fees</w:t>
            </w:r>
          </w:p>
        </w:tc>
        <w:tc>
          <w:tcPr>
            <w:tcW w:w="1260" w:type="dxa"/>
            <w:vAlign w:val="bottom"/>
          </w:tcPr>
          <w:p>
            <w:pPr>
              <w:jc w:val="right"/>
              <w:ind w:right="10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77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126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7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26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77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1260" w:type="dxa"/>
            <w:vAlign w:val="bottom"/>
            <w:tcBorders>
              <w:top w:val="single" w:sz="8" w:color="auto"/>
              <w:bottom w:val="single" w:sz="8" w:color="auto"/>
            </w:tcBorders>
          </w:tcPr>
          <w:p>
            <w:pPr>
              <w:jc w:val="right"/>
              <w:ind w:right="105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r>
      <w:tr>
        <w:trPr>
          <w:trHeight w:val="20"/>
        </w:trPr>
        <w:tc>
          <w:tcPr>
            <w:tcW w:w="7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results of the Black Knight segment were positively affected by a $15 million increase in total revenues in the three-month period ended March 31, 2016 compared to the corresponding period in 2015. The increase in revenue was primarily driven by loan growth on Black Knight's Mortgage Servicing Platform, standard price increases, the implementation of new clients and the successful negotiation of a client contract buyout, offset by a decrease related to lower upfront revenues associated with data licensing deals.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Interest expense increased by $8 million, or 100%, in the three month period ended March 31, 2016 compared to the corresponding period in 2015. The increase is attributable to new third party debt issued subsequent to Black Knight's initial public offering in May 2015, offset slightly by decreased interest on its outstanding public debt resulting from paydowns of principal subsequent to the first quarter of 2015.</w:t>
      </w:r>
    </w:p>
    <w:p>
      <w:pPr>
        <w:spacing w:after="0" w:line="7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Earnings from continuing operations before income taxes increased by $1 million in the three months ended March 31, 2016 compared to the corresponding period in 2015. The increase is primarily attributable to the increased revenue, offset by increased interest expense, discussed above, as well as increased other operating expenses related to bonus accruals, public company costs and increased amortization related to deferred contract costs.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Group Corporate and Other</w:t>
      </w:r>
    </w:p>
    <w:p>
      <w:pPr>
        <w:spacing w:after="0" w:line="11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FNF Group Corporate and Other segment consists of the operations of the parent holding company, certain other unallocated corporate overhead expenses, and other smaller real estate and insurance related operations.</w:t>
      </w:r>
    </w:p>
    <w:p>
      <w:pPr>
        <w:spacing w:after="0" w:line="6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FNF Group Corporate and Other segment generated revenues of $30 million and $18 million for the three months ended March 31, 2016 and 2015, respectively. The revenue in all periods represents revenue generated by our other small real estate brokerage subsidiaries offset by the elimination of revenues between our Black Knight segment and our Title segment. The increase of $12 million, or 67%, was primarily attributable to revenue growth and acquisitions by Pacific Union.</w:t>
      </w:r>
    </w:p>
    <w:p>
      <w:pPr>
        <w:spacing w:after="0" w:line="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 operating expenses in the FNF Group Corporate and Other segment were $33 million and $18 million for the three months ended March 31, 2016 and 2015, respectively. Both periods reflect expenses at our other small real estate brokerage subsidiaries offset by the elimination of management fees and other intercompany fees between our Black Knight segment and our Title segment. The increase of $15 million, or 83%, is primarily attributable to the growth of Pacific Union.</w:t>
      </w:r>
    </w:p>
    <w:p>
      <w:pPr>
        <w:spacing w:after="0" w:line="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expense was $15 million and $21 million for the three months ended March 31, 2016 and 2015, respectively. The decrease is attributable to the repayment of the $1.1 billion FNF term loan in the second quarter of 2015.</w:t>
      </w:r>
    </w:p>
    <w:p>
      <w:pPr>
        <w:spacing w:after="0" w:line="6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segment generated pretax losses of $32 million and $30 million for the three months ended March 31, 2016 and 2015, respectively. The increased loss was primarily attributable to realized losses in the 2016 period related to investment impairments and increased personnel costs offset by the aforementioned decrease in interest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80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190"/>
        </w:trPr>
        <w:tc>
          <w:tcPr>
            <w:tcW w:w="8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restaurant revenue</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Expenses: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Cost of restaurant revenue</w:t>
            </w:r>
          </w:p>
        </w:tc>
        <w:tc>
          <w:tcPr>
            <w:tcW w:w="82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99"/>
              </w:rPr>
              <w:t>245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306</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37"/>
        </w:trPr>
        <w:tc>
          <w:tcPr>
            <w:tcW w:w="880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9"/>
              </w:rPr>
              <w:t>290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354</w:t>
            </w:r>
          </w:p>
        </w:tc>
      </w:tr>
      <w:tr>
        <w:trPr>
          <w:trHeight w:val="27"/>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revenues for the Restaurant group segment decreased $74 million, or 20%, in the three months ended March 31, 2016, from the corresponding period in 2015. The decrease was primarily attributable to the spin-off of J. Alexander's in September 2015. Cost of restaurant revenue decreased by $61 million, or 20%, which was consistent with the change in revenue.</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Earnings from continuing operations before income taxes decreased by $10 million in the three months ended March 31, 2016, from the corresponding period in 2015. The decrease is attributable to increased Other operating expenses and earnings from J. Alexander's which are not included in the current quarter.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FNFV Corporate and Other</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FNFV Corporate and Other segment includes our share in the operations of certain equity investments, including Ceridian, Digital Insurance, and other smaller operations which are not title related. This segment also includes our Investment Success Incentive Program ("ISIP") which is tied to monetization or liquidity events producing realized or realizable economic gains relating to our investments.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FNFV Corporate and Other segment generated revenues of $39 million and $114 million for the three months ended March 31, 2016 and 2015, respectively. The decrease of $75 million, or 66%, is primarily attributable to the sale of Cascade Timberlands in the 2015 period, offset by increased revenue resulting from acquisitions at Digital Insurance.</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operating expenses were $6 million and $78 million for the three months ended March 31, 2016 and 2015, respectively. The decrease of $72 million is primarily attributable to the sale of Cascade Timberlands in the 2015 period.</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Personnel costs were $25 million and $21 million for the three months ended March 31, 2016 and 2015, respectively. The change is primarily attributable to acquisitions at Digital Insurance.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generated pretax income of $1 million and $11 million for the three months ended March 31, 2016 and 2015, respectively. The decrease is primarily attributable to the aforementioned changes in revenues and expenses.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current cash requirements include personnel costs, operating expenses, claim payments, taxes, payments of interest and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on our debt, capital expenditures, business acquisitions, stock repurchases and dividends on our common stock. We paid dividends of $0.21 per share for the first quarter of 2016, or approximately $58 million to our FNF Group common shareholders. On April 27, 2016, our Board of Directors declared cash dividends of $0.21 per share, payable on June 30, 2016, to FNF Group common shareholders of record as of June 16, 2016.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2015, $2,049 million of our net assets were restricted from dividend payments without prior approval from the relevant departments of insurance. As of March 31, 2016, our title subsidiaries can pay or make ordinary distributions to us of approximately $329 million, in the aggregate. Our underwritten title companies and non-insurance subsidiaries collect revenue and pay operating expenses. However, they are not regulated to the same extent as our insurance subsidiaries.</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FNF Group's operations will be used for general corporate purposes including to reinvest in core operations, repay debt, pay dividends, repurchase stock, pursue other strategic initiatives and/or conserve cash.</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flows provided by operations for the three months ended March 31, 2016 and 2015 totaled $92 million and $41 million, respectively. The increase of $51 million is primarily due to a reduction in title claims paid and timing of cash receipts and payments.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$50 million and $43 million for the three-month periods ended March 31, 2016 and 2015, respectively, with the increase primarily related to property, plant and equipment additions in our title and restaurant segments.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For a description of our financing arrangements see Note D included in Item 1 of Part 1 of this Quarterly Report, which is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into this Item 2 of Part I.</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Historically, real estate transactions have produced seasonal revenue fluctuations in the real estate industry including title insurers.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calendar quarter is typically the weakest quarter in terms of revenue due to the generally low volume of home sales during January and February. The third calendar quarter is typically the strongest quarter in terms of revenue primarily due to a higher volume of home sales in the summer months. The fourth quarter is typically also strong due to the desire of commercial entities to complete transactions by year-end. We have noted short-term fluctuations through recent years in resale and refinance transactions as a result of changes in interest rates and the implementation and subsequent expiration of government programs designed to stimulate the real estate market. In 2015 and 2014, we saw seasonality trends return to historical patterns. During 2015, we experienced a moderate increase in existing home sales and a decline in total housing inventory.</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Restaurant Group segment, average weekly sales per restaurant are typically higher in the first and fourth quarters. Accordingly, we typically generate a disproportionate share of our earnings from operations in those quarters. Holidays, severe weather and other disruptive conditions may impact sales volumes seasonally in some operating regions.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There have been no significant changes to our long term contractual obligations since our Annual Report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filed on February 23, 2016, other than as described below.</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On March 16, 2016, pursuant to the terms of a certain “synthetic lease” agreement, dated as of June 29, 2004, as amended on June 27, 2011, as further described under </w:t>
      </w:r>
      <w:r>
        <w:rPr>
          <w:rFonts w:ascii="Arial" w:cs="Arial" w:eastAsia="Arial" w:hAnsi="Arial"/>
          <w:sz w:val="16"/>
          <w:szCs w:val="16"/>
          <w:i w:val="1"/>
          <w:iCs w:val="1"/>
          <w:color w:val="auto"/>
        </w:rPr>
        <w:t>Off-Balance Sheet Arrangements</w:t>
      </w:r>
      <w:r>
        <w:rPr>
          <w:rFonts w:ascii="Arial" w:cs="Arial" w:eastAsia="Arial" w:hAnsi="Arial"/>
          <w:sz w:val="16"/>
          <w:szCs w:val="16"/>
          <w:color w:val="auto"/>
        </w:rPr>
        <w:t xml:space="preserve"> in Item 2 of Part II of this Quarterly Report, we notified SunTrust Bank of our intention to exercise our option to purchase the land and various real property improvements associated with our corporate campus and headquarters in Jacksonville, Florida for $71 million. We completed the purchase on April 29, 2016. With the purchase, the lease previously associated with the property was terminated.</w:t>
      </w:r>
    </w:p>
    <w:p>
      <w:pPr>
        <w:spacing w:after="0" w:line="1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January 20, 2016, Black Knight entered into two interest rate swap agreements to hedge forecasted monthly interest rate payments on a total of $400 million of floating rate debt ($200 million notional value each) (the “Swap Agreements”). The Swap Agreements have been designated as cash flow hedging instruments. Under the terms of the Swap Agreements, Black Knight receives payments based on the 1-month LIBOR rate and pays a weighted average fixed rate of 1.01%. The effective term for the Swap Agreements is February 1, 2016 through January 31, 2019.</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D to the Condensed Consolidated Financial Statements included in Item 1 of Part I of this Quarterly Report for further discussion on our notes payable.</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Capital Stock Transactions</w:t>
      </w:r>
      <w:r>
        <w:rPr>
          <w:rFonts w:ascii="Arial" w:cs="Arial" w:eastAsia="Arial" w:hAnsi="Arial"/>
          <w:sz w:val="18"/>
          <w:szCs w:val="18"/>
          <w:color w:val="auto"/>
        </w:rPr>
        <w:t>. On October 28, 2014, our Board of Directors approved a three-year stock purchase program, effective November 6, 2014,</w:t>
      </w:r>
      <w:r>
        <w:rPr>
          <w:rFonts w:ascii="Arial" w:cs="Arial" w:eastAsia="Arial" w:hAnsi="Arial"/>
          <w:sz w:val="18"/>
          <w:szCs w:val="18"/>
          <w:i w:val="1"/>
          <w:iCs w:val="1"/>
          <w:color w:val="auto"/>
        </w:rPr>
        <w:t xml:space="preserve"> </w:t>
      </w:r>
      <w:r>
        <w:rPr>
          <w:rFonts w:ascii="Arial" w:cs="Arial" w:eastAsia="Arial" w:hAnsi="Arial"/>
          <w:sz w:val="18"/>
          <w:szCs w:val="18"/>
          <w:color w:val="auto"/>
        </w:rPr>
        <w:t>under which we could repurchase up to 10 million shares of our FNFV Group common stock through November 30, 2017. We exhausted all available repurchases under this program during February 2016. 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 We repurchased 3,201,518 shares under these programs during the three months ended March 31, 2016 for approximately $33 million, or an average of $10.31 per share. Subsequent to March 31, 2016 through market close on April 27, 2016, we purchased 250,000 additional shares for approximately $3 million, or an average of $10.56 per share. Since the original commencement of the program effective March 1, 2016 through market close on April 27, 2016, we have repurchased a total of 1,755,000 shares for $19 million, or an average of $10.76 per share, and there are 13,245,000 shares available to be repurchased under this program.</w:t>
      </w:r>
    </w:p>
    <w:p>
      <w:pPr>
        <w:spacing w:after="0" w:line="19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July 20, 2015, our Board of Directors approved a new three-year stock repurchase program under which we can purchase up to 25 million of our FNF Group common stock through July 30, 2018. We may make repurchases from time to time in the open market, in block purchases or in privately negotiated transactions, depending on market conditions and other factors. We repurchased 1,900,000 shares of FNF Group common stock during the three months ended March 31, 2016 for approximately $62 million, or an average of $32.71 per share. Subsequent to March 31, 2016 through market close on April 27, 2016, we purchased 250,000 additional shares for $8 million, or an average of $33.58 per share. Since the original commencement of this program through</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market close on April 27, 2016, we have repurchased a total of 6,725,000 shares of FNF Group common stock for $236 million, or an average of $35.13 per share, and there are 18,275,000 shares available to be repurchased under the program.</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Off-Balance Sheet Arrangements. </w:t>
      </w:r>
      <w:r>
        <w:rPr>
          <w:rFonts w:ascii="Arial" w:cs="Arial" w:eastAsia="Arial" w:hAnsi="Arial"/>
          <w:sz w:val="16"/>
          <w:szCs w:val="16"/>
          <w:color w:val="auto"/>
        </w:rPr>
        <w:t>We do not engage in off-balance sheet activities other than facility and equipment leasing arrangements. On June 29,</w:t>
      </w:r>
      <w:r>
        <w:rPr>
          <w:rFonts w:ascii="Arial" w:cs="Arial" w:eastAsia="Arial" w:hAnsi="Arial"/>
          <w:sz w:val="16"/>
          <w:szCs w:val="16"/>
          <w:i w:val="1"/>
          <w:iCs w:val="1"/>
          <w:color w:val="auto"/>
        </w:rPr>
        <w:t xml:space="preserve"> </w:t>
      </w:r>
      <w:r>
        <w:rPr>
          <w:rFonts w:ascii="Arial" w:cs="Arial" w:eastAsia="Arial" w:hAnsi="Arial"/>
          <w:sz w:val="16"/>
          <w:szCs w:val="16"/>
          <w:color w:val="auto"/>
        </w:rPr>
        <w:t>2004 we entered into an off-balance sheet financing arrangement (commonly referred to as a “synthetic lease”). The owner/lessor in this arrangement acquired land and various real property improvements associated with new construction of an office building in Jacksonville, Florida, at our corporate campus and headquarters. The lessor financed the acquisition of the facilities through funding provided by third-party financial institutions. On June 27, 2011, we renewed and amended the synthetic lease for the facilities. The amended synthetic lease provides for a five year term ending June 27, 2016 and had an outstanding balance as of March 31, 2016 of $71 million. The amended lease includes guarantees by us of up to 83% of the outstanding lease balance, and options to purchase the facilities at the outstanding lease balance. The guarantee becomes effective if we decline to purchase the facilities or renew the lease at the end of its term. On March 15, 2016, we notified the lessor of our intention to exercise our option to purchase the property on April 29, 2016.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Condensed Consolidated Statements of Earnings. We do not believe the lessor is a variable interest entity, as defined in the FASB standard on consolidation of variable interest entities. We completed the purchase on April 29, 2016. With the purchase, the lease previously associated with the property was terminated.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have been no material changes to our critical accounting policies described in our Annual Report for our fiscal year ended December 31, 2015.</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2016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discussion of legal proceedings in Note E to the Condensed Consolidated Financial Statements included in Item 1 of Part I of this Report, which is incorporated by reference into this Item 1 of Part II.</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repurchases of equity securities by FNF during the three months ended March 31, 2016:</w:t>
      </w:r>
    </w:p>
    <w:p>
      <w:pPr>
        <w:spacing w:after="0" w:line="25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Total Number of Shares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440" w:type="dxa"/>
            <w:vAlign w:val="bottom"/>
            <w:vMerge w:val="restart"/>
          </w:tcPr>
          <w:p>
            <w:pPr>
              <w:jc w:val="center"/>
              <w:ind w:left="1588"/>
              <w:spacing w:after="0"/>
              <w:rPr>
                <w:sz w:val="20"/>
                <w:szCs w:val="20"/>
                <w:color w:val="auto"/>
              </w:rPr>
            </w:pPr>
            <w:r>
              <w:rPr>
                <w:rFonts w:ascii="Arial" w:cs="Arial" w:eastAsia="Arial" w:hAnsi="Arial"/>
                <w:sz w:val="14"/>
                <w:szCs w:val="14"/>
                <w:b w:val="1"/>
                <w:bCs w:val="1"/>
                <w:color w:val="auto"/>
                <w:w w:val="92"/>
              </w:rPr>
              <w:t>Total Number of Shares</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Average Price Paid per</w:t>
            </w:r>
          </w:p>
        </w:tc>
        <w:tc>
          <w:tcPr>
            <w:tcW w:w="16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0" w:type="dxa"/>
            <w:vAlign w:val="bottom"/>
          </w:tcPr>
          <w:p>
            <w:pPr>
              <w:spacing w:after="0"/>
              <w:rPr>
                <w:sz w:val="1"/>
                <w:szCs w:val="1"/>
                <w:color w:val="auto"/>
              </w:rPr>
            </w:pPr>
          </w:p>
        </w:tc>
      </w:tr>
      <w:tr>
        <w:trPr>
          <w:trHeight w:val="149"/>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44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6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0" w:type="dxa"/>
            <w:vAlign w:val="bottom"/>
          </w:tcPr>
          <w:p>
            <w:pPr>
              <w:spacing w:after="0"/>
              <w:rPr>
                <w:sz w:val="1"/>
                <w:szCs w:val="1"/>
                <w:color w:val="auto"/>
              </w:rPr>
            </w:pPr>
          </w:p>
        </w:tc>
      </w:tr>
      <w:tr>
        <w:trPr>
          <w:trHeight w:val="186"/>
        </w:trPr>
        <w:tc>
          <w:tcPr>
            <w:tcW w:w="2240" w:type="dxa"/>
            <w:vAlign w:val="bottom"/>
            <w:vMerge w:val="continue"/>
          </w:tcPr>
          <w:p>
            <w:pPr>
              <w:spacing w:after="0"/>
              <w:rPr>
                <w:sz w:val="16"/>
                <w:szCs w:val="16"/>
                <w:color w:val="auto"/>
              </w:rPr>
            </w:pPr>
          </w:p>
        </w:tc>
        <w:tc>
          <w:tcPr>
            <w:tcW w:w="3440" w:type="dxa"/>
            <w:vAlign w:val="bottom"/>
          </w:tcPr>
          <w:p>
            <w:pPr>
              <w:jc w:val="center"/>
              <w:ind w:left="1608"/>
              <w:spacing w:after="0"/>
              <w:rPr>
                <w:sz w:val="20"/>
                <w:szCs w:val="20"/>
                <w:color w:val="auto"/>
              </w:rPr>
            </w:pPr>
            <w:r>
              <w:rPr>
                <w:rFonts w:ascii="Arial" w:cs="Arial" w:eastAsia="Arial" w:hAnsi="Arial"/>
                <w:sz w:val="14"/>
                <w:szCs w:val="14"/>
                <w:b w:val="1"/>
                <w:bCs w:val="1"/>
                <w:color w:val="auto"/>
                <w:w w:val="89"/>
              </w:rPr>
              <w:t>Purchased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0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60"/>
        <w:spacing w:after="0" w:line="258" w:lineRule="auto"/>
        <w:rPr>
          <w:sz w:val="20"/>
          <w:szCs w:val="20"/>
          <w:color w:val="auto"/>
        </w:rPr>
      </w:pPr>
      <w:r>
        <w:rPr>
          <w:rFonts w:ascii="Arial" w:cs="Arial" w:eastAsia="Arial" w:hAnsi="Arial"/>
          <w:sz w:val="13"/>
          <w:szCs w:val="13"/>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9260" w:space="240"/>
            <w:col w:w="1920"/>
          </w:cols>
          <w:pgMar w:left="240" w:top="121" w:right="239" w:bottom="1440" w:gutter="0" w:footer="0" w:header="0"/>
          <w:type w:val="continuous"/>
        </w:sectPr>
      </w:pPr>
    </w:p>
    <w:tbl>
      <w:tblPr>
        <w:tblLayout w:type="fixed"/>
        <w:tblInd w:w="260" w:type="dxa"/>
        <w:tblCellMar>
          <w:top w:w="0" w:type="dxa"/>
          <w:left w:w="0" w:type="dxa"/>
          <w:bottom w:w="0" w:type="dxa"/>
          <w:right w:w="0" w:type="dxa"/>
        </w:tblCellMar>
      </w:tblPr>
      <w:tr>
        <w:trPr>
          <w:trHeight w:val="245"/>
        </w:trPr>
        <w:tc>
          <w:tcPr>
            <w:tcW w:w="3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1/1/2016 - 1/31/2016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20,175,000</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2/1/2016 - 2/29/2016</w:t>
            </w:r>
          </w:p>
        </w:tc>
        <w:tc>
          <w:tcPr>
            <w:tcW w:w="1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550,000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19,625,000</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3/1/2016 - 3/31/2016</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1,100,000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18,525,000</w:t>
            </w:r>
          </w:p>
        </w:tc>
      </w:tr>
      <w:tr>
        <w:trPr>
          <w:trHeight w:val="237"/>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1,900,000</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1,900,000</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6" w:lineRule="exact"/>
        <w:rPr>
          <w:sz w:val="20"/>
          <w:szCs w:val="20"/>
          <w:color w:val="auto"/>
        </w:rPr>
      </w:pPr>
    </w:p>
    <w:p>
      <w:pPr>
        <w:ind w:left="980" w:right="2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July 20, 2015, our Board of Directors approved a three-year stock repurchase program. Under the stock repurchase program, we may repurchase up to 25 million shares of our common stock through July 30, 2018.</w:t>
      </w:r>
    </w:p>
    <w:p>
      <w:pPr>
        <w:spacing w:after="0" w:line="35"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-455930</wp:posOffset>
            </wp:positionV>
            <wp:extent cx="3215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repurchases of equity securities by FNFV during the three months ended March 31, 2016:</w:t>
      </w:r>
    </w:p>
    <w:p>
      <w:pPr>
        <w:spacing w:after="0" w:line="231"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Number of Shares</w:t>
            </w:r>
          </w:p>
        </w:tc>
        <w:tc>
          <w:tcPr>
            <w:tcW w:w="17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 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(2)</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1/1/2016 - 1/31/2016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375,000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7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1,321,518</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2/1/2016 - 2/29/2016</w:t>
            </w:r>
          </w:p>
        </w:tc>
        <w:tc>
          <w:tcPr>
            <w:tcW w:w="12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1,321,518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1,321,518</w:t>
            </w:r>
          </w:p>
        </w:tc>
        <w:tc>
          <w:tcPr>
            <w:tcW w:w="1700" w:type="dxa"/>
            <w:vAlign w:val="bottom"/>
            <w:gridSpan w:val="2"/>
          </w:tcPr>
          <w:p>
            <w:pPr>
              <w:jc w:val="right"/>
              <w:ind w:right="8"/>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3/1/2016 - 3/31/2016</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1,505,000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1,505,000</w:t>
            </w:r>
          </w:p>
        </w:tc>
        <w:tc>
          <w:tcPr>
            <w:tcW w:w="17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13,495,000</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3,201,518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3,201,518</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980" w:hanging="648"/>
        <w:spacing w:after="0" w:line="30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October 28, 2014, our Board of Directors approved a three-year stock purchase program, effective November 6, 2014, under which we could repurchase up to 10 million shares of our FNFV Group common stock through November 30, 2017. We exhausted all available repurchases under this program during February 2016. On February 18, 2016, our Board of Directors approved a new FNFV Group three-year stock repurchase program, effective March 1, 2016, under which we may repurchase up to 15 million shares of FNFV Group common stock.</w:t>
      </w:r>
    </w:p>
    <w:p>
      <w:pPr>
        <w:spacing w:after="0" w:line="19" w:lineRule="exact"/>
        <w:rPr>
          <w:rFonts w:ascii="Arial" w:cs="Arial" w:eastAsia="Arial" w:hAnsi="Arial"/>
          <w:sz w:val="16"/>
          <w:szCs w:val="16"/>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-730885</wp:posOffset>
            </wp:positionV>
            <wp:extent cx="3215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9440" w:type="dxa"/>
            <w:vAlign w:val="bottom"/>
          </w:tcPr>
          <w:p>
            <w:pPr>
              <w:spacing w:after="0"/>
              <w:rPr>
                <w:sz w:val="17"/>
                <w:szCs w:val="17"/>
                <w:color w:val="auto"/>
              </w:rPr>
            </w:pPr>
          </w:p>
        </w:tc>
      </w:tr>
      <w:tr>
        <w:trPr>
          <w:trHeight w:val="696"/>
        </w:trPr>
        <w:tc>
          <w:tcPr>
            <w:tcW w:w="13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 Exhibits</w:t>
            </w:r>
          </w:p>
        </w:tc>
        <w:tc>
          <w:tcPr>
            <w:tcW w:w="600" w:type="dxa"/>
            <w:vAlign w:val="bottom"/>
          </w:tcPr>
          <w:p>
            <w:pPr>
              <w:spacing w:after="0"/>
              <w:rPr>
                <w:sz w:val="24"/>
                <w:szCs w:val="24"/>
                <w:color w:val="auto"/>
              </w:rPr>
            </w:pPr>
          </w:p>
        </w:tc>
        <w:tc>
          <w:tcPr>
            <w:tcW w:w="9440" w:type="dxa"/>
            <w:vAlign w:val="bottom"/>
          </w:tcPr>
          <w:p>
            <w:pPr>
              <w:spacing w:after="0"/>
              <w:rPr>
                <w:sz w:val="24"/>
                <w:szCs w:val="24"/>
                <w:color w:val="auto"/>
              </w:rPr>
            </w:pPr>
          </w:p>
        </w:tc>
      </w:tr>
      <w:tr>
        <w:trPr>
          <w:trHeight w:val="324"/>
        </w:trPr>
        <w:tc>
          <w:tcPr>
            <w:tcW w:w="1960" w:type="dxa"/>
            <w:vAlign w:val="bottom"/>
            <w:gridSpan w:val="2"/>
          </w:tcPr>
          <w:p>
            <w:pPr>
              <w:ind w:left="240"/>
              <w:spacing w:after="0"/>
              <w:rPr>
                <w:sz w:val="20"/>
                <w:szCs w:val="20"/>
                <w:color w:val="auto"/>
              </w:rPr>
            </w:pPr>
            <w:r>
              <w:rPr>
                <w:rFonts w:ascii="Arial" w:cs="Arial" w:eastAsia="Arial" w:hAnsi="Arial"/>
                <w:sz w:val="18"/>
                <w:szCs w:val="18"/>
                <w:color w:val="auto"/>
              </w:rPr>
              <w:t>(a) Exhibits:</w:t>
            </w:r>
          </w:p>
        </w:tc>
        <w:tc>
          <w:tcPr>
            <w:tcW w:w="9440" w:type="dxa"/>
            <w:vAlign w:val="bottom"/>
          </w:tcPr>
          <w:p>
            <w:pPr>
              <w:spacing w:after="0"/>
              <w:rPr>
                <w:sz w:val="24"/>
                <w:szCs w:val="24"/>
                <w:color w:val="auto"/>
              </w:rPr>
            </w:pPr>
          </w:p>
        </w:tc>
      </w:tr>
      <w:tr>
        <w:trPr>
          <w:trHeight w:val="594"/>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31.1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31.2</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32.1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2"/>
              </w:rPr>
              <w:t>Certification by Chief Executive Officer of Periodic Financial Reports pursuant to Section 906 of the Sarbanes-Oxley Act</w:t>
            </w:r>
          </w:p>
        </w:tc>
      </w:tr>
      <w:tr>
        <w:trPr>
          <w:trHeight w:val="230"/>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of 2002, 18 U.S.C. Section 1350.</w:t>
            </w:r>
          </w:p>
        </w:tc>
      </w:tr>
      <w:tr>
        <w:trPr>
          <w:trHeight w:val="526"/>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32.2</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3"/>
              </w:rPr>
              <w:t>Certification by Chief Financial Officer of Periodic Financial Reports pursuant to Section 906 of the Sarbanes-Oxley Act</w:t>
            </w:r>
          </w:p>
        </w:tc>
      </w:tr>
      <w:tr>
        <w:trPr>
          <w:trHeight w:val="230"/>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of 2002, 18 U.S.C. Section 1350.</w:t>
            </w:r>
          </w:p>
        </w:tc>
      </w:tr>
      <w:tr>
        <w:trPr>
          <w:trHeight w:val="446"/>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99.1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Unaudited Attributed Financial Information for Fidelity National Financial Group Tracking Stock</w:t>
            </w:r>
          </w:p>
        </w:tc>
      </w:tr>
      <w:tr>
        <w:trPr>
          <w:trHeight w:val="432"/>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99.2</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Unaudited Attributed Financial Information for Fidelity National Financial Ventures Group Tracking Stock</w:t>
            </w:r>
          </w:p>
        </w:tc>
      </w:tr>
      <w:tr>
        <w:trPr>
          <w:trHeight w:val="445"/>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6"/>
              </w:rPr>
              <w:t>101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6"/>
              </w:rPr>
              <w:t>The following materials from Fidelity National Financial, Inc.'s Quarterly Report on Form 10-Q for the quarter ended</w:t>
            </w:r>
          </w:p>
        </w:tc>
      </w:tr>
      <w:tr>
        <w:trPr>
          <w:trHeight w:val="216"/>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1"/>
              </w:rPr>
              <w:t>March 31, 2016, formatted in Extensible Business Reporting Language (XBRL): (i) the Condensed Consolidated Balance</w:t>
            </w:r>
          </w:p>
        </w:tc>
      </w:tr>
      <w:tr>
        <w:trPr>
          <w:trHeight w:val="216"/>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7"/>
              </w:rPr>
              <w:t>Sheets, (ii) the Condensed Consolidated Statements of Earnings, (iii) the Condensed Consolidated Statements of</w:t>
            </w:r>
          </w:p>
        </w:tc>
      </w:tr>
      <w:tr>
        <w:trPr>
          <w:trHeight w:val="216"/>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6"/>
              </w:rPr>
              <w:t>Comprehensive Earnings, (iv) the Condensed Consolidated Statements of Stockholders' Equity, (v) the Condensed</w:t>
            </w:r>
          </w:p>
        </w:tc>
      </w:tr>
      <w:tr>
        <w:trPr>
          <w:trHeight w:val="230"/>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Consolidated Statements of Cash Flows, and (vi) the Notes to the Consolidated Financial Statements.</w:t>
            </w:r>
          </w:p>
        </w:tc>
      </w:tr>
      <w:tr>
        <w:trPr>
          <w:trHeight w:val="702"/>
        </w:trPr>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40" w:type="dxa"/>
            <w:vAlign w:val="bottom"/>
          </w:tcPr>
          <w:p>
            <w:pPr>
              <w:ind w:left="366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00"/>
          </w:cols>
          <w:pgMar w:left="240" w:top="108"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Date: May 2, 2016</w:t>
            </w:r>
          </w:p>
        </w:tc>
        <w:tc>
          <w:tcPr>
            <w:tcW w:w="6520" w:type="dxa"/>
            <w:vAlign w:val="bottom"/>
            <w:gridSpan w:val="2"/>
          </w:tcPr>
          <w:p>
            <w:pPr>
              <w:ind w:left="1820"/>
              <w:spacing w:after="0"/>
              <w:rPr>
                <w:sz w:val="20"/>
                <w:szCs w:val="20"/>
                <w:color w:val="auto"/>
              </w:rPr>
            </w:pPr>
            <w:r>
              <w:rPr>
                <w:rFonts w:ascii="Arial" w:cs="Arial" w:eastAsia="Arial" w:hAnsi="Arial"/>
                <w:sz w:val="18"/>
                <w:szCs w:val="18"/>
                <w:color w:val="auto"/>
              </w:rPr>
              <w:t>FIDELITY NATIONAL FINANCIAL, INC.</w:t>
            </w:r>
          </w:p>
        </w:tc>
      </w:tr>
      <w:tr>
        <w:trPr>
          <w:trHeight w:val="230"/>
        </w:trPr>
        <w:tc>
          <w:tcPr>
            <w:tcW w:w="3180" w:type="dxa"/>
            <w:vAlign w:val="bottom"/>
          </w:tcPr>
          <w:p>
            <w:pPr>
              <w:spacing w:after="0"/>
              <w:rPr>
                <w:sz w:val="20"/>
                <w:szCs w:val="20"/>
                <w:color w:val="auto"/>
              </w:rPr>
            </w:pPr>
          </w:p>
        </w:tc>
        <w:tc>
          <w:tcPr>
            <w:tcW w:w="6520" w:type="dxa"/>
            <w:vAlign w:val="bottom"/>
            <w:gridSpan w:val="2"/>
          </w:tcPr>
          <w:p>
            <w:pPr>
              <w:ind w:left="1820"/>
              <w:spacing w:after="0"/>
              <w:rPr>
                <w:sz w:val="20"/>
                <w:szCs w:val="20"/>
                <w:color w:val="auto"/>
              </w:rPr>
            </w:pPr>
            <w:r>
              <w:rPr>
                <w:rFonts w:ascii="Arial" w:cs="Arial" w:eastAsia="Arial" w:hAnsi="Arial"/>
                <w:sz w:val="18"/>
                <w:szCs w:val="18"/>
                <w:color w:val="auto"/>
              </w:rPr>
              <w:t>(registrant)</w:t>
            </w:r>
          </w:p>
        </w:tc>
      </w:tr>
      <w:tr>
        <w:trPr>
          <w:trHeight w:val="486"/>
        </w:trPr>
        <w:tc>
          <w:tcPr>
            <w:tcW w:w="3180" w:type="dxa"/>
            <w:vAlign w:val="bottom"/>
          </w:tcPr>
          <w:p>
            <w:pPr>
              <w:spacing w:after="0"/>
              <w:rPr>
                <w:sz w:val="24"/>
                <w:szCs w:val="24"/>
                <w:color w:val="auto"/>
              </w:rPr>
            </w:pPr>
          </w:p>
        </w:tc>
        <w:tc>
          <w:tcPr>
            <w:tcW w:w="6520" w:type="dxa"/>
            <w:vAlign w:val="bottom"/>
            <w:gridSpan w:val="2"/>
          </w:tcPr>
          <w:p>
            <w:pPr>
              <w:ind w:left="1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r>
        <w:trPr>
          <w:trHeight w:val="27"/>
        </w:trPr>
        <w:tc>
          <w:tcPr>
            <w:tcW w:w="3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Anthony J. Park</w:t>
            </w:r>
          </w:p>
        </w:tc>
      </w:tr>
      <w:tr>
        <w:trPr>
          <w:trHeight w:val="256"/>
        </w:trPr>
        <w:tc>
          <w:tcPr>
            <w:tcW w:w="31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3180" w:type="dxa"/>
            <w:vAlign w:val="bottom"/>
          </w:tcPr>
          <w:p>
            <w:pPr>
              <w:spacing w:after="0"/>
              <w:rPr>
                <w:sz w:val="24"/>
                <w:szCs w:val="24"/>
                <w:color w:val="auto"/>
              </w:rPr>
            </w:pP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50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252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8"/>
              </w:rPr>
              <w:t>Exhibit</w:t>
            </w:r>
          </w:p>
        </w:tc>
        <w:tc>
          <w:tcPr>
            <w:tcW w:w="8900" w:type="dxa"/>
            <w:vAlign w:val="bottom"/>
          </w:tcPr>
          <w:p>
            <w:pPr>
              <w:spacing w:after="0"/>
              <w:rPr>
                <w:sz w:val="24"/>
                <w:szCs w:val="24"/>
                <w:color w:val="auto"/>
              </w:rPr>
            </w:pPr>
          </w:p>
        </w:tc>
      </w:tr>
      <w:tr>
        <w:trPr>
          <w:trHeight w:val="209"/>
        </w:trPr>
        <w:tc>
          <w:tcPr>
            <w:tcW w:w="252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7"/>
              </w:rPr>
              <w:t>No.</w:t>
            </w:r>
          </w:p>
        </w:tc>
        <w:tc>
          <w:tcPr>
            <w:tcW w:w="8900" w:type="dxa"/>
            <w:vAlign w:val="bottom"/>
          </w:tcPr>
          <w:p>
            <w:pPr>
              <w:ind w:left="4100"/>
              <w:spacing w:after="0"/>
              <w:rPr>
                <w:sz w:val="20"/>
                <w:szCs w:val="20"/>
                <w:color w:val="auto"/>
              </w:rPr>
            </w:pPr>
            <w:r>
              <w:rPr>
                <w:rFonts w:ascii="Arial" w:cs="Arial" w:eastAsia="Arial" w:hAnsi="Arial"/>
                <w:sz w:val="14"/>
                <w:szCs w:val="14"/>
                <w:b w:val="1"/>
                <w:bCs w:val="1"/>
                <w:color w:val="auto"/>
              </w:rPr>
              <w:t>Description</w:t>
            </w:r>
          </w:p>
        </w:tc>
      </w:tr>
      <w:tr>
        <w:trPr>
          <w:trHeight w:val="418"/>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31.1</w:t>
            </w:r>
          </w:p>
        </w:tc>
        <w:tc>
          <w:tcPr>
            <w:tcW w:w="1480" w:type="dxa"/>
            <w:vAlign w:val="bottom"/>
          </w:tcPr>
          <w:p>
            <w:pPr>
              <w:spacing w:after="0"/>
              <w:rPr>
                <w:sz w:val="24"/>
                <w:szCs w:val="24"/>
                <w:color w:val="auto"/>
              </w:rPr>
            </w:pPr>
          </w:p>
        </w:tc>
        <w:tc>
          <w:tcPr>
            <w:tcW w:w="8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3"/>
              </w:rPr>
              <w:t>Certification by Chief Executive Officer of Periodic Financial Reports pursuant to Section 906 of the Sarbanes-Oxley Act</w:t>
            </w:r>
          </w:p>
        </w:tc>
      </w:tr>
      <w:tr>
        <w:trPr>
          <w:trHeight w:val="230"/>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of 2002, 18 U.S.C. Section 1350.</w:t>
            </w:r>
          </w:p>
        </w:tc>
      </w:tr>
      <w:tr>
        <w:trPr>
          <w:trHeight w:val="52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3"/>
              </w:rPr>
              <w:t>Certification by Chief Financial Officer of Periodic Financial Reports pursuant to Section 906 of the Sarbanes-Oxley Act</w:t>
            </w:r>
          </w:p>
        </w:tc>
      </w:tr>
      <w:tr>
        <w:trPr>
          <w:trHeight w:val="230"/>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of 2002, 18 U.S.C. Section 1350.</w:t>
            </w:r>
          </w:p>
        </w:tc>
      </w:tr>
      <w:tr>
        <w:trPr>
          <w:trHeight w:val="44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Unaudited Attributed Financial Information for Fidelity National Financial Group Tracking Stock</w:t>
            </w:r>
          </w:p>
        </w:tc>
      </w:tr>
      <w:tr>
        <w:trPr>
          <w:trHeight w:val="48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Unaudited Attributed Financial Information for Fidelity National Financial Ventures Group Tracking Stock</w:t>
            </w:r>
          </w:p>
        </w:tc>
      </w:tr>
      <w:tr>
        <w:trPr>
          <w:trHeight w:val="472"/>
        </w:trPr>
        <w:tc>
          <w:tcPr>
            <w:tcW w:w="104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6"/>
              </w:rPr>
              <w:t>The following materials from Fidelity National Financial, Inc.'s Quarterly Report on Form 10-Q for the quarter ended</w:t>
            </w:r>
          </w:p>
        </w:tc>
      </w:tr>
      <w:tr>
        <w:trPr>
          <w:trHeight w:val="230"/>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2"/>
              </w:rPr>
              <w:t>March 31, 2016, formatted in Extensible Business Reporting Language (XBRL): (i) the Condensed Consolidated Balance</w:t>
            </w:r>
          </w:p>
        </w:tc>
      </w:tr>
    </w:tbl>
    <w:p>
      <w:pPr>
        <w:jc w:val="both"/>
        <w:ind w:left="2540" w:right="40"/>
        <w:spacing w:after="0" w:line="277" w:lineRule="auto"/>
        <w:rPr>
          <w:sz w:val="20"/>
          <w:szCs w:val="20"/>
          <w:color w:val="auto"/>
        </w:rPr>
      </w:pPr>
      <w:r>
        <w:rPr>
          <w:rFonts w:ascii="Arial" w:cs="Arial" w:eastAsia="Arial" w:hAnsi="Arial"/>
          <w:sz w:val="17"/>
          <w:szCs w:val="17"/>
          <w:color w:val="auto"/>
        </w:rPr>
        <w:t>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 2016</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 2016</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May 2, 2016</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May 2, 2016</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Group Tracking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our assets, liabilities, revenues, expenses and cash flows that are attributed to our FNF core business, known as FNF Group (“we,” or “our,”). The financial information in this Exhibit should be read in conjunction with our unaudited condensed consolidated financial statements for the period ended March 31, 2016 included in this Quarterly Report on Form 10-Q.</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Group is comprised of three operating segments as follows: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segment consists of the operations of our title insurance underwriters and related businesses. This segment provides core title insurance and escrow and other title related services including trust activities, trustee sales guarantees, recordings and reconveyances, and home warranty insurance. This segment also includes our transaction services business, which includes other title-related services used in the production and management of mortgage loans, including mortgage loans that experience default.</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This segment consists of the operations of Black Knight, which, through leading software systems and information solutions, provides mission critical technology and data and analytics services that facilitate and automate many of the business processes across the life cycle of a mortgage.</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Group 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consists of the operations of the parent holding company, certain other unallocated corporate overhead expenses, and other real estate and insurance-related operations.</w:t>
      </w:r>
    </w:p>
    <w:p>
      <w:pPr>
        <w:spacing w:after="0" w:line="2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are reflected in the attributed financial information of the FNF Group and the FNFV Group (see Exhibit 99.2). In general, corporate overhead is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allocate in a similar manner a portion of costs of administrative shared services, such as information technology services. Where determinations based on use alone are not practical, we use other methods and criteria that we believe are equitable and that provide a reasonable estimate of the cost attributable to each group.</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Notwithstanding the following attribution of assets, liabilities, revenue, expenses and cash flows to FNF Group, Fidelity National Financial, Inc.'s ("FNF, Inc.") tracking stock structure does not affect the ownership or the respective legal title to FNF Inc.'s assets or responsibility for FNF, Inc.'s liabilities. FNF, Inc. and its subsidiaries are each responsible for their respective liabilities. Holders of FNF Group common stock are subject to risks associated with an investment in FNF, Inc. and all of its businesses, assets and liabilities.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Risks Relating to the Ownership of Our FNFV Group Common Stock due to our Tracking Stock Capitalization" in our Annual Report on Form 10-K for the year ended December 31, 2015 for further discussion of risks associated with our tracking stock structure.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FIDELITY NATIONAL FINANCIAL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r>
      <w:tr>
        <w:trPr>
          <w:trHeight w:val="244"/>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4"/>
          </w:tcPr>
          <w:p>
            <w:pPr>
              <w:jc w:val="right"/>
              <w:ind w:right="968"/>
              <w:spacing w:after="0"/>
              <w:rPr>
                <w:sz w:val="20"/>
                <w:szCs w:val="20"/>
                <w:color w:val="auto"/>
              </w:rPr>
            </w:pPr>
            <w:r>
              <w:rPr>
                <w:rFonts w:ascii="Arial" w:cs="Arial" w:eastAsia="Arial" w:hAnsi="Arial"/>
                <w:sz w:val="14"/>
                <w:szCs w:val="14"/>
                <w:b w:val="1"/>
                <w:bCs w:val="1"/>
                <w:color w:val="auto"/>
              </w:rPr>
              <w:t>(Unaudited)</w:t>
            </w:r>
          </w:p>
        </w:tc>
      </w:tr>
      <w:tr>
        <w:trPr>
          <w:trHeight w:val="276"/>
        </w:trPr>
        <w:tc>
          <w:tcPr>
            <w:tcW w:w="8580" w:type="dxa"/>
            <w:vAlign w:val="bottom"/>
          </w:tcPr>
          <w:p>
            <w:pPr>
              <w:ind w:left="472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157"/>
        </w:trPr>
        <w:tc>
          <w:tcPr>
            <w:tcW w:w="8580" w:type="dxa"/>
            <w:vAlign w:val="bottom"/>
          </w:tcPr>
          <w:p>
            <w:pPr>
              <w:ind w:left="180"/>
              <w:spacing w:after="0" w:line="157" w:lineRule="exact"/>
              <w:rPr>
                <w:sz w:val="20"/>
                <w:szCs w:val="20"/>
                <w:color w:val="auto"/>
              </w:rPr>
            </w:pPr>
            <w:r>
              <w:rPr>
                <w:rFonts w:ascii="Arial" w:cs="Arial" w:eastAsia="Arial" w:hAnsi="Arial"/>
                <w:sz w:val="14"/>
                <w:szCs w:val="14"/>
                <w:color w:val="auto"/>
                <w:w w:val="94"/>
              </w:rPr>
              <w:t>Fixed maturity securities available for sale, at fair value, at March 31, 2016 and December 31, 2015 includes pledged fixed maturity securities of</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8"/>
        </w:trPr>
        <w:tc>
          <w:tcPr>
            <w:tcW w:w="8580" w:type="dxa"/>
            <w:vAlign w:val="bottom"/>
          </w:tcPr>
          <w:p>
            <w:pPr>
              <w:ind w:left="180"/>
              <w:spacing w:after="0"/>
              <w:rPr>
                <w:sz w:val="20"/>
                <w:szCs w:val="20"/>
                <w:color w:val="auto"/>
              </w:rPr>
            </w:pPr>
            <w:r>
              <w:rPr>
                <w:rFonts w:ascii="Arial" w:cs="Arial" w:eastAsia="Arial" w:hAnsi="Arial"/>
                <w:sz w:val="14"/>
                <w:szCs w:val="14"/>
                <w:color w:val="auto"/>
              </w:rPr>
              <w:t>$328 and $342, respectively, related to secured trust deposits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2,619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2,558</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available for sale, at fair value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Equity securities available for sale, at fair value</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309</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in unconsolidated affiliates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Other long-term investments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78</w:t>
            </w:r>
          </w:p>
        </w:tc>
      </w:tr>
      <w:tr>
        <w:trPr>
          <w:trHeight w:val="163"/>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Short-term investments, at March 31, 2016 and December 31, 2015 includes short term investments of $172 and $266, respectively, related to</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8"/>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trust deposits</w:t>
            </w: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790</w:t>
            </w: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investments</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3,911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4,149</w:t>
            </w:r>
          </w:p>
        </w:tc>
      </w:tr>
      <w:tr>
        <w:trPr>
          <w:trHeight w:val="163"/>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Cash and cash equivalents, at March 31, 2016 and December 31, 2015 includes $355 and $108, respectively, of pledged cash related to secured</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w:t>
            </w:r>
          </w:p>
        </w:tc>
      </w:tr>
      <w:tr>
        <w:trPr>
          <w:trHeight w:val="19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trust deposits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Trade and notes receivables, net of allowance of $25 and $32 at March 31, 2016 and December 31, 2015, respectively</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453</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from affiliates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4,579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4,572</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Capitalized software, net</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543</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intangible assets, net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802</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Title plant</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395</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r>
      <w:tr>
        <w:trPr>
          <w:trHeight w:val="243"/>
        </w:trPr>
        <w:tc>
          <w:tcPr>
            <w:tcW w:w="8580" w:type="dxa"/>
            <w:vAlign w:val="bottom"/>
          </w:tcPr>
          <w:p>
            <w:pPr>
              <w:ind w:left="60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12,533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12,502</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02"/>
        </w:trPr>
        <w:tc>
          <w:tcPr>
            <w:tcW w:w="8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70"/>
        </w:trPr>
        <w:tc>
          <w:tcPr>
            <w:tcW w:w="8580" w:type="dxa"/>
            <w:vAlign w:val="bottom"/>
            <w:shd w:val="clear" w:color="auto" w:fill="CCEEFF"/>
          </w:tcPr>
          <w:p>
            <w:pPr>
              <w:ind w:left="4060"/>
              <w:spacing w:after="0"/>
              <w:rPr>
                <w:sz w:val="20"/>
                <w:szCs w:val="20"/>
                <w:color w:val="auto"/>
              </w:rPr>
            </w:pPr>
            <w:r>
              <w:rPr>
                <w:rFonts w:ascii="Arial" w:cs="Arial" w:eastAsia="Arial" w:hAnsi="Arial"/>
                <w:sz w:val="14"/>
                <w:szCs w:val="14"/>
                <w:b w:val="1"/>
                <w:bCs w:val="1"/>
                <w:color w:val="auto"/>
              </w:rPr>
              <w:t>LIABILITIES AND EQUITY</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878</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Reserve for title claim losses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1,583</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trust deposits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Notes payable</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2,593</w:t>
            </w: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liability</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669</w:t>
            </w: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6,681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6,653</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Redeemable non-controlling interest by 21% minority holder of ServiceLink Holdings, LLC</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344</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157"/>
        </w:trPr>
        <w:tc>
          <w:tcPr>
            <w:tcW w:w="8580" w:type="dxa"/>
            <w:vAlign w:val="bottom"/>
          </w:tcPr>
          <w:p>
            <w:pPr>
              <w:ind w:left="280"/>
              <w:spacing w:after="0" w:line="157" w:lineRule="exact"/>
              <w:rPr>
                <w:sz w:val="20"/>
                <w:szCs w:val="20"/>
                <w:color w:val="auto"/>
              </w:rPr>
            </w:pPr>
            <w:r>
              <w:rPr>
                <w:rFonts w:ascii="Arial" w:cs="Arial" w:eastAsia="Arial" w:hAnsi="Arial"/>
                <w:sz w:val="14"/>
                <w:szCs w:val="14"/>
                <w:color w:val="auto"/>
                <w:w w:val="95"/>
              </w:rPr>
              <w:t>FNF Group common stock, $0.0001 par value; authorized 487,000,000 shares as of March 31, 2016 and December 31, 2015; outstanding of</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9"/>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w w:val="94"/>
              </w:rPr>
              <w:t>274,338,136 and 275,781,160 as of March 31, 2016 and December 31, 2015, respectively, and issued of 282,851,946 and 282,394,970 as of</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4"/>
                <w:szCs w:val="14"/>
                <w:color w:val="auto"/>
              </w:rPr>
              <w:t>March 31, 2016 and December 31, 2015, respectively</w:t>
            </w:r>
          </w:p>
        </w:tc>
        <w:tc>
          <w:tcPr>
            <w:tcW w:w="2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3,639</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1,377</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earnings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treasury stock, 8,513,810 and 6,613,810 shares as of March 31, 2016 and December 31, 2015, respectively</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r>
      <w:tr>
        <w:trPr>
          <w:trHeight w:val="25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Fidelity National Financial Group shareholders’ equity</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4,785</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w:t>
            </w:r>
          </w:p>
        </w:tc>
      </w:tr>
      <w:tr>
        <w:trPr>
          <w:trHeight w:val="250"/>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5,508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5,505</w:t>
            </w:r>
          </w:p>
        </w:tc>
      </w:tr>
      <w:tr>
        <w:trPr>
          <w:trHeight w:val="243"/>
        </w:trPr>
        <w:tc>
          <w:tcPr>
            <w:tcW w:w="8580" w:type="dxa"/>
            <w:vAlign w:val="bottom"/>
          </w:tcPr>
          <w:p>
            <w:pPr>
              <w:ind w:left="600"/>
              <w:spacing w:after="0"/>
              <w:rPr>
                <w:sz w:val="20"/>
                <w:szCs w:val="20"/>
                <w:color w:val="auto"/>
              </w:rPr>
            </w:pPr>
            <w:r>
              <w:rPr>
                <w:rFonts w:ascii="Arial" w:cs="Arial" w:eastAsia="Arial" w:hAnsi="Arial"/>
                <w:sz w:val="14"/>
                <w:szCs w:val="14"/>
                <w:color w:val="auto"/>
              </w:rPr>
              <w:t>Total liabilities, redeemable noncontrolling interest and equity</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12,533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12,502</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FIDELITY NATIONAL FINANCIAL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Earnings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38" w:lineRule="exact"/>
        <w:rPr>
          <w:sz w:val="20"/>
          <w:szCs w:val="20"/>
          <w:color w:val="auto"/>
        </w:rPr>
      </w:pPr>
    </w:p>
    <w:p>
      <w:pPr>
        <w:jc w:val="center"/>
        <w:ind w:left="9280"/>
        <w:spacing w:after="0"/>
        <w:rPr>
          <w:sz w:val="20"/>
          <w:szCs w:val="20"/>
          <w:color w:val="auto"/>
        </w:rPr>
      </w:pPr>
      <w:r>
        <w:rPr>
          <w:rFonts w:ascii="Arial" w:cs="Arial" w:eastAsia="Arial" w:hAnsi="Arial"/>
          <w:sz w:val="16"/>
          <w:szCs w:val="16"/>
          <w:b w:val="1"/>
          <w:bCs w:val="1"/>
          <w:color w:val="auto"/>
        </w:rPr>
        <w:t>Three months ended March</w:t>
      </w:r>
    </w:p>
    <w:p>
      <w:pPr>
        <w:spacing w:after="0" w:line="26" w:lineRule="exact"/>
        <w:rPr>
          <w:sz w:val="20"/>
          <w:szCs w:val="20"/>
          <w:color w:val="auto"/>
        </w:rPr>
      </w:pPr>
    </w:p>
    <w:p>
      <w:pPr>
        <w:jc w:val="center"/>
        <w:ind w:left="928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Direct title insurance premiums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Agency title insurance premiums</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 related and other fees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Interest and investment income</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Realized gains and losses, net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926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1,583</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Agent 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7"/>
        </w:trPr>
        <w:tc>
          <w:tcPr>
            <w:tcW w:w="9260" w:type="dxa"/>
            <w:vAlign w:val="bottom"/>
          </w:tcPr>
          <w:p>
            <w:pPr>
              <w:ind w:left="280"/>
              <w:spacing w:after="0"/>
              <w:rPr>
                <w:sz w:val="20"/>
                <w:szCs w:val="20"/>
                <w:color w:val="auto"/>
              </w:rPr>
            </w:pPr>
            <w:r>
              <w:rPr>
                <w:rFonts w:ascii="Arial" w:cs="Arial" w:eastAsia="Arial" w:hAnsi="Arial"/>
                <w:sz w:val="16"/>
                <w:szCs w:val="16"/>
                <w:color w:val="auto"/>
              </w:rPr>
              <w:t>Claim loss expense</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9260" w:type="dxa"/>
            <w:vAlign w:val="bottom"/>
          </w:tcPr>
          <w:p>
            <w:pPr>
              <w:ind w:left="500"/>
              <w:spacing w:after="0"/>
              <w:rPr>
                <w:sz w:val="20"/>
                <w:szCs w:val="20"/>
                <w:color w:val="auto"/>
              </w:rPr>
            </w:pPr>
            <w:r>
              <w:rPr>
                <w:rFonts w:ascii="Arial" w:cs="Arial" w:eastAsia="Arial" w:hAnsi="Arial"/>
                <w:sz w:val="16"/>
                <w:szCs w:val="16"/>
                <w:color w:val="auto"/>
              </w:rPr>
              <w:t>Total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1,453</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 and equity in losses of unconsolidated affiliates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equity in earnings of unconsolidated affiliates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Less: Net earnings (loss) attributable to non-controlling interests</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i w:val="1"/>
                <w:iCs w:val="1"/>
                <w:color w:val="auto"/>
              </w:rPr>
              <w:t>Basic</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2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FIDELITY NATIONAL FINANCIAL GROUP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p>
      <w:pPr>
        <w:jc w:val="center"/>
        <w:ind w:left="94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480"/>
        <w:spacing w:after="0"/>
        <w:rPr>
          <w:sz w:val="20"/>
          <w:szCs w:val="20"/>
          <w:color w:val="auto"/>
        </w:rPr>
      </w:pPr>
      <w:r>
        <w:rPr>
          <w:rFonts w:ascii="Arial" w:cs="Arial" w:eastAsia="Arial" w:hAnsi="Arial"/>
          <w:sz w:val="16"/>
          <w:szCs w:val="16"/>
          <w:b w:val="1"/>
          <w:bCs w:val="1"/>
          <w:color w:val="auto"/>
        </w:rPr>
        <w:t>March 31,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2015</w:t>
            </w:r>
          </w:p>
        </w:tc>
      </w:tr>
      <w:tr>
        <w:trPr>
          <w:trHeight w:val="33"/>
        </w:trPr>
        <w:tc>
          <w:tcPr>
            <w:tcW w:w="9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r>
      <w:tr>
        <w:trPr>
          <w:trHeight w:val="217"/>
        </w:trPr>
        <w:tc>
          <w:tcPr>
            <w:tcW w:w="9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(Unaudited)</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85</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83</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Equity in earnings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Impairment of assets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Stock-based compensation cost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in pledged cash, pledged investments, and secured trust deposits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decrease (increase) in trade receivables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in 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(decrease) in reserve for title claim losses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change in amount due to affiliates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Proceeds from sales of investment securities available for sale</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173</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calls and maturities of investment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Proceeds from sale of other assets</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Additions to property and equipment and capitalized software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Purchases of investment securities available for sale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proceeds from (purchases of) short-term investment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Purchases of other long-term investments</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Contributions to investments in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Distributions from investments in unconsolidated affiliates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other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Acquisition of BPG Holdings, LLC, net of cash acquired</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acquisitions/disposals of businesses, net of cash acquired</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Debt service payments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Additional investment in 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Dividends paid</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Exercise of stock options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11</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Payment of contingent consideration for prior period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Purchases of treasury stock</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 excluding pledged cash related to secured trust deposits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excluding pledged cash related to secured trust deposits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w:t>
            </w:r>
          </w:p>
        </w:tc>
      </w:tr>
      <w:tr>
        <w:trPr>
          <w:trHeight w:val="231"/>
        </w:trPr>
        <w:tc>
          <w:tcPr>
            <w:tcW w:w="9440" w:type="dxa"/>
            <w:vAlign w:val="bottom"/>
          </w:tcPr>
          <w:p>
            <w:pPr>
              <w:ind w:left="20"/>
              <w:spacing w:after="0"/>
              <w:rPr>
                <w:sz w:val="20"/>
                <w:szCs w:val="20"/>
                <w:color w:val="auto"/>
              </w:rPr>
            </w:pPr>
            <w:r>
              <w:rPr>
                <w:rFonts w:ascii="Arial" w:cs="Arial" w:eastAsia="Arial" w:hAnsi="Arial"/>
                <w:sz w:val="16"/>
                <w:szCs w:val="16"/>
                <w:color w:val="auto"/>
              </w:rPr>
              <w:t>Cash and cash equivalents, excluding pledged cash related to secured trust deposits at end of period</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12700</wp:posOffset>
            </wp:positionV>
            <wp:extent cx="12179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-130175</wp:posOffset>
            </wp:positionV>
            <wp:extent cx="12179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ectPr>
          <w:pgSz w:w="11900" w:h="16838" w:orient="portrait"/>
          <w:cols w:equalWidth="0" w:num="1">
            <w:col w:w="11360"/>
          </w:cols>
          <w:pgMar w:left="280" w:top="364" w:right="259" w:bottom="1440" w:gutter="0" w:footer="0" w:header="0"/>
        </w:sect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80" w:top="364" w:right="25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Group Tracking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right"/>
        <w:ind w:right="9040"/>
        <w:spacing w:after="0"/>
        <w:tabs>
          <w:tab w:leader="none" w:pos="106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03" w:lineRule="exact"/>
        <w:rPr>
          <w:sz w:val="20"/>
          <w:szCs w:val="20"/>
          <w:color w:val="auto"/>
        </w:rPr>
      </w:pPr>
    </w:p>
    <w:p>
      <w:pPr>
        <w:jc w:val="right"/>
        <w:ind w:right="9060"/>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1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FNF Group is a leading provider of (i) title insurance, escrow and other title related services, including trust activities, trustee sales guarantees, recordings and reconveyances and home warranty insurance and (ii) technology and transaction services to the real estate and mortgage industries. FNF is the nation’s largest title insurance company operating through its title insurance underwriters - Fidelity National Title Insurance Company, Chicago Title Insurance Company, Commonwealth Land Title Insurance Company, Alamo Title Insurance and National Title Insurance of New York Inc. - that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also provides industry-leading mortgage technology solutions, including MSP®, the leading residential mortgage servicing technology platform in the U.S., through its majority-owned subsidiary, Black Knight Financial Services, Inc. ("Black Knight").</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March 16, 2016 we notified SunTrust Bank of our intention to exercise our option to purchase the land and various real property improvements associated with our corporate campus and headquarters in Jacksonville, Florida for $71 million. We completed the purchase on April 29, 2016.</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EPS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Ventures Group Tracking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our assets, liabilities, revenue, expenses and cash flows that are attributed to our Fidelity National Financial Ventures business (“we,” “our,” "FNFV Group," or “FNFV”). The financial information in this Exhibit should be read in conjunction with our unaudited condensed consolidated financial statements for the period ended March 31, 2016 included in this Quarterly Report on Form 10-Q.</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FNFV Group common stock is intended to reflect the separate performance of our FNFV Group. We own majority and minority equity investment stakes in a number of entities, including American Blue Ribbon Holdings, LLC ("ABRH"), Ceridian HCM, Inc. ("Ceridian") and Digital Insurance, Inc. ("Digital Insurance").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FNFV Group is comprised of two operating segments as follows:</w:t>
      </w:r>
    </w:p>
    <w:p>
      <w:pPr>
        <w:spacing w:after="0" w:line="117" w:lineRule="exact"/>
        <w:rPr>
          <w:sz w:val="20"/>
          <w:szCs w:val="20"/>
          <w:color w:val="auto"/>
        </w:rPr>
      </w:pPr>
    </w:p>
    <w:p>
      <w:pPr>
        <w:jc w:val="both"/>
        <w:ind w:left="660" w:hanging="409"/>
        <w:spacing w:after="0" w:line="302" w:lineRule="auto"/>
        <w:tabs>
          <w:tab w:leader="none" w:pos="66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Restaurant Group. </w:t>
      </w:r>
      <w:r>
        <w:rPr>
          <w:rFonts w:ascii="Arial" w:cs="Arial" w:eastAsia="Arial" w:hAnsi="Arial"/>
          <w:sz w:val="16"/>
          <w:szCs w:val="16"/>
          <w:color w:val="auto"/>
        </w:rPr>
        <w:t>This segment consists of the operations of ABRH, in which we have a 55% ownership interest. ABRH and its affiliates are the</w:t>
      </w:r>
      <w:r>
        <w:rPr>
          <w:rFonts w:ascii="Arial" w:cs="Arial" w:eastAsia="Arial" w:hAnsi="Arial"/>
          <w:sz w:val="16"/>
          <w:szCs w:val="16"/>
          <w:i w:val="1"/>
          <w:iCs w:val="1"/>
          <w:color w:val="auto"/>
        </w:rPr>
        <w:t xml:space="preserve"> </w:t>
      </w:r>
      <w:r>
        <w:rPr>
          <w:rFonts w:ascii="Arial" w:cs="Arial" w:eastAsia="Arial" w:hAnsi="Arial"/>
          <w:sz w:val="16"/>
          <w:szCs w:val="16"/>
          <w:color w:val="auto"/>
        </w:rPr>
        <w:t>owners and operators of the O'Charley's, Ninety Nine Restaurants, Village Inn, Bakers Square, and Legendary Baking concepts. As of and for the three months ended March 31, 2015, this segment also included the results of J. Alexander's, Inc. ("J. Alexander's"), which was distributed to FNFV shareholders on September 28, 2015, and the Max &amp; Erma's concept, which was sold pursuant to an Asset Purchase Agreement on January 25, 2016.</w:t>
      </w:r>
    </w:p>
    <w:p>
      <w:pPr>
        <w:spacing w:after="0" w:line="100" w:lineRule="exact"/>
        <w:rPr>
          <w:rFonts w:ascii="Arial" w:cs="Arial" w:eastAsia="Arial" w:hAnsi="Arial"/>
          <w:sz w:val="16"/>
          <w:szCs w:val="16"/>
          <w:i w:val="1"/>
          <w:iCs w:val="1"/>
          <w:color w:val="auto"/>
        </w:rPr>
      </w:pPr>
    </w:p>
    <w:p>
      <w:pPr>
        <w:ind w:left="660" w:right="20" w:hanging="409"/>
        <w:spacing w:after="0" w:line="308" w:lineRule="auto"/>
        <w:tabs>
          <w:tab w:leader="none" w:pos="66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primarily consists of our share in the operations of certain equity investments, including Ceridian,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consolidated investments, including Digital Insurance, in which we own 96%, and other smaller operations which are not title related.</w:t>
      </w:r>
    </w:p>
    <w:p>
      <w:pPr>
        <w:spacing w:after="0" w:line="20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are reflected in the attributed financial information of the FNF Group (see Exhibit 99.1) and the FNFV Group. In general, corporate overhead is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allocate in a similar manner a portion of costs of administrative shared services, such as information technology services. Where determinations based on use alone are not practical, we use other methods and criteria that we believe are equitable and that provide a reasonable estimate of the cost attributable to each group.</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Notwithstanding the following attribution of assets, liabilities, revenue, expenses and cash flows to FNFV, Fidelity National Financial, Inc.'s ("FNF, Inc.") tracking stock structure does not affect the ownership or the respective legal title to FNF, Inc.'s assets or responsibility for FNF, Inc.'s liabilities. FNF, Inc. and its subsidiaries are each responsible for their respective liabilities. Holders of FNFV Group common stock are subject to risks associated with an investment in FNF, Inc. and all of its businesses, assets and liabilities. The issuance of FNFV Group common stock does not affect the rights of FNF, Inc.'s creditors or creditors of its subsidiaries.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Risks Relating to the Ownership of Our FNFV Group Common Stock due to our Tracking Stock Capitalization" in our Annual Report on Form 10-K for the year ended December 31, 2015 for further discussion of risks associated with our tracking stock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70"/>
        </w:trPr>
        <w:tc>
          <w:tcPr>
            <w:tcW w:w="8580" w:type="dxa"/>
            <w:vAlign w:val="bottom"/>
          </w:tcPr>
          <w:p>
            <w:pPr>
              <w:ind w:left="468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Fixed maturity securities available for sale,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securities available for sale,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investments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software,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Deferred tax asset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94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Accounts payable and other accrued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Due to affiliates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Equity:</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FNFV Group common stock, $0.0001 par value; authorized 113,000,000 shares as of March 31, 2016 and December 31, 2015;</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outstanding of 69,016,364 and 72,217,882 as of March 31, 2016 and December 31, 2015, respectively, and issued of 80,581,466</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 of both March 31, 2016 and December 31, 2015</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treasury stock, 11,565,102 and 8,363,584 shares as of March 31, 2016 and December 31, 2015, respectively</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Fidelity National Financial Ventures shareholders’ equity</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equity</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1,083</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FNFV</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264"/>
        </w:trPr>
        <w:tc>
          <w:tcPr>
            <w:tcW w:w="9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4"/>
        </w:trPr>
        <w:tc>
          <w:tcPr>
            <w:tcW w:w="9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76"/>
        </w:trPr>
        <w:tc>
          <w:tcPr>
            <w:tcW w:w="9360" w:type="dxa"/>
            <w:vAlign w:val="bottom"/>
          </w:tcPr>
          <w:p>
            <w:pPr>
              <w:ind w:left="40"/>
              <w:spacing w:after="0"/>
              <w:rPr>
                <w:sz w:val="20"/>
                <w:szCs w:val="20"/>
                <w:color w:val="auto"/>
              </w:rPr>
            </w:pPr>
            <w:r>
              <w:rPr>
                <w:rFonts w:ascii="Arial" w:cs="Arial" w:eastAsia="Arial" w:hAnsi="Arial"/>
                <w:sz w:val="14"/>
                <w:szCs w:val="14"/>
                <w:color w:val="auto"/>
              </w:rPr>
              <w:t>Revenues: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Interest and investment income</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Realized gains and losses, net</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Pr>
          <w:p>
            <w:pPr>
              <w:ind w:left="500"/>
              <w:spacing w:after="0"/>
              <w:rPr>
                <w:sz w:val="20"/>
                <w:szCs w:val="20"/>
                <w:color w:val="auto"/>
              </w:rPr>
            </w:pPr>
            <w:r>
              <w:rPr>
                <w:rFonts w:ascii="Arial" w:cs="Arial" w:eastAsia="Arial" w:hAnsi="Arial"/>
                <w:sz w:val="14"/>
                <w:szCs w:val="14"/>
                <w:color w:val="auto"/>
              </w:rPr>
              <w:t>Total revenues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Personnel costs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operating expenses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Cost of restaurant revenue</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93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328</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264"/>
        </w:trPr>
        <w:tc>
          <w:tcPr>
            <w:tcW w:w="936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income taxes and equity in losses of unconsolidated affiliates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936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equity in losses of unconsolidated affiliates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of unconsolidated affiliates</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936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earnings attributable to non-controlling interests</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96"/>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attributable to FNFV Group common shareholders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Per Share</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Basic</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earnings per share from continuing operations attributable to FNFV Group common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36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FNFV Group common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FNFV Group common stock, basic basis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56"/>
        </w:trPr>
        <w:tc>
          <w:tcPr>
            <w:tcW w:w="9360" w:type="dxa"/>
            <w:vAlign w:val="bottom"/>
          </w:tcPr>
          <w:p>
            <w:pPr>
              <w:ind w:left="40"/>
              <w:spacing w:after="0"/>
              <w:rPr>
                <w:sz w:val="20"/>
                <w:szCs w:val="20"/>
                <w:color w:val="auto"/>
              </w:rPr>
            </w:pPr>
            <w:r>
              <w:rPr>
                <w:rFonts w:ascii="Arial" w:cs="Arial" w:eastAsia="Arial" w:hAnsi="Arial"/>
                <w:sz w:val="14"/>
                <w:szCs w:val="14"/>
                <w:color w:val="auto"/>
              </w:rPr>
              <w:t>Weighted average shares outstanding FNFV Group common stock, diluted basis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30"/>
        </w:trPr>
        <w:tc>
          <w:tcPr>
            <w:tcW w:w="9360" w:type="dxa"/>
            <w:vAlign w:val="bottom"/>
          </w:tcPr>
          <w:p>
            <w:pPr>
              <w:ind w:left="3280"/>
              <w:spacing w:after="0"/>
              <w:rPr>
                <w:sz w:val="20"/>
                <w:szCs w:val="20"/>
                <w:color w:val="auto"/>
              </w:rPr>
            </w:pPr>
            <w:r>
              <w:rPr>
                <w:rFonts w:ascii="Arial" w:cs="Arial" w:eastAsia="Arial" w:hAnsi="Arial"/>
                <w:sz w:val="18"/>
                <w:szCs w:val="18"/>
                <w:color w:val="auto"/>
              </w:rPr>
              <w:t>See Notes to Unaudited Attributed Financial Information for FNFV</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360" w:type="dxa"/>
            <w:vAlign w:val="bottom"/>
          </w:tcPr>
          <w:p>
            <w:pPr>
              <w:ind w:left="56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0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Three months ended March</w:t>
            </w:r>
          </w:p>
        </w:tc>
        <w:tc>
          <w:tcPr>
            <w:tcW w:w="0" w:type="dxa"/>
            <w:vAlign w:val="bottom"/>
          </w:tcPr>
          <w:p>
            <w:pPr>
              <w:spacing w:after="0"/>
              <w:rPr>
                <w:sz w:val="1"/>
                <w:szCs w:val="1"/>
                <w:color w:val="auto"/>
              </w:rPr>
            </w:pPr>
          </w:p>
        </w:tc>
      </w:tr>
      <w:tr>
        <w:trPr>
          <w:trHeight w:val="210"/>
        </w:trPr>
        <w:tc>
          <w:tcPr>
            <w:tcW w:w="9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gridSpan w:val="2"/>
          </w:tcPr>
          <w:p>
            <w:pPr>
              <w:jc w:val="center"/>
              <w:ind w:left="139"/>
              <w:spacing w:after="0"/>
              <w:rPr>
                <w:sz w:val="20"/>
                <w:szCs w:val="20"/>
                <w:color w:val="auto"/>
              </w:rPr>
            </w:pPr>
            <w:r>
              <w:rPr>
                <w:rFonts w:ascii="Arial" w:cs="Arial" w:eastAsia="Arial" w:hAnsi="Arial"/>
                <w:sz w:val="16"/>
                <w:szCs w:val="16"/>
                <w:b w:val="1"/>
                <w:bCs w:val="1"/>
                <w:color w:val="auto"/>
                <w:w w:val="89"/>
              </w:rPr>
              <w:t>31,</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360" w:type="dxa"/>
            <w:vAlign w:val="bottom"/>
          </w:tcPr>
          <w:p>
            <w:pPr>
              <w:spacing w:after="0"/>
              <w:rPr>
                <w:sz w:val="18"/>
                <w:szCs w:val="18"/>
                <w:color w:val="auto"/>
              </w:rPr>
            </w:pPr>
          </w:p>
        </w:tc>
        <w:tc>
          <w:tcPr>
            <w:tcW w:w="20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earnings</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Equity in losses of unconsolidated affiliates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Loss on sales of investments and other assets, net</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Gain on sale of Cascade Timberlands</w:t>
            </w: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Stock-based compensation cost</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decrease in trade receivables</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prepaid expenses and other assets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amount due to affiliates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change in income taxes</w:t>
            </w:r>
          </w:p>
        </w:tc>
        <w:tc>
          <w:tcPr>
            <w:tcW w:w="7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the sale of cost method and other investments</w:t>
            </w: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Additions to property and equipment and capitalized software</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Contributions to investments in unconsolidated affiliates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proceeds from short-term investment securities</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82"/>
              </w:rPr>
              <w:t>137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investment securities available for sale</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Distributions from investments in unconsolidated affiliates</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Cascade Timberlands</w:t>
            </w: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Other acquisitions/disposals of businesses, net of cash acquired</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Debt service payments</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treasury stock</w:t>
            </w:r>
          </w:p>
        </w:tc>
        <w:tc>
          <w:tcPr>
            <w:tcW w:w="7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(28)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7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7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3280"/>
              <w:spacing w:after="0"/>
              <w:rPr>
                <w:sz w:val="20"/>
                <w:szCs w:val="20"/>
                <w:color w:val="auto"/>
              </w:rPr>
            </w:pPr>
            <w:r>
              <w:rPr>
                <w:rFonts w:ascii="Arial" w:cs="Arial" w:eastAsia="Arial" w:hAnsi="Arial"/>
                <w:sz w:val="18"/>
                <w:szCs w:val="18"/>
                <w:color w:val="auto"/>
              </w:rPr>
              <w:t>See Notes to Unaudited Attributed Financial Information for FNFV</w:t>
            </w: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3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9360" w:type="dxa"/>
            <w:vAlign w:val="bottom"/>
          </w:tcPr>
          <w:p>
            <w:pPr>
              <w:ind w:left="566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right"/>
        <w:ind w:right="9040"/>
        <w:spacing w:after="0"/>
        <w:tabs>
          <w:tab w:leader="none" w:pos="106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03" w:lineRule="exact"/>
        <w:rPr>
          <w:sz w:val="20"/>
          <w:szCs w:val="20"/>
          <w:color w:val="auto"/>
        </w:rPr>
      </w:pPr>
    </w:p>
    <w:p>
      <w:pPr>
        <w:jc w:val="right"/>
        <w:ind w:right="9060"/>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18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Through our FNFV group, we own majority and minority equity investment stakes in a number of entities, including American Blue Ribbon Holdings, LLC ("ABRH"), Ceridian HCM, Inc. and Fleetcor Technologies, Inc. (collectively "Ceridian") and Digital Insurance, Inc. ("Digital Insurance").</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30, 2016, Ceridian HCM Holding, Inc., a wholly-owned subsidiary of Ceridian, completed its offering (the "Offering") of senior convertible preferred shares for an aggregate of $150 million. As part of the Offering, FNF purchased an amount equal to its pro rata ownership in Ceridian for $47 million. FNF's ownership percentage in Ceridian did not change as a result of the transaction.</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EPS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6"/>
          <w:szCs w:val="16"/>
          <w:b w:val="1"/>
          <w:bCs w:val="1"/>
          <w:color w:val="auto"/>
        </w:rPr>
        <w:t>Investments in Consolidated and Unconsolidated Affiliates</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provides information about our investments in consolidated and unconsolidated affiliates attributable to FNFV, including non-GAAP adjustments: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53"/>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100" w:type="dxa"/>
            <w:vAlign w:val="bottom"/>
          </w:tcPr>
          <w:p>
            <w:pPr>
              <w:jc w:val="right"/>
              <w:ind w:right="15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r>
      <w:tr>
        <w:trPr>
          <w:trHeight w:val="270"/>
        </w:trPr>
        <w:tc>
          <w:tcPr>
            <w:tcW w:w="8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Majority Owned Subsidiaries consolidated into the results of FNFV:</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160"/>
              <w:spacing w:after="0"/>
              <w:rPr>
                <w:sz w:val="20"/>
                <w:szCs w:val="20"/>
                <w:color w:val="auto"/>
              </w:rPr>
            </w:pPr>
            <w:r>
              <w:rPr>
                <w:rFonts w:ascii="Arial" w:cs="Arial" w:eastAsia="Arial" w:hAnsi="Arial"/>
                <w:sz w:val="18"/>
                <w:szCs w:val="18"/>
                <w:color w:val="auto"/>
              </w:rPr>
              <w:t>American Blue Ribbon Holdings, LLC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169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169</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Digital Insurance, LLC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i w:val="1"/>
                <w:iCs w:val="1"/>
                <w:color w:val="auto"/>
              </w:rPr>
              <w:t>Minority Owned Subsidiaries or other ventures: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Ceridian/Fleetcor (32% minority equity interest)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420</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w:t>
            </w:r>
          </w:p>
        </w:tc>
      </w:tr>
      <w:tr>
        <w:trPr>
          <w:trHeight w:val="243"/>
        </w:trPr>
        <w:tc>
          <w:tcPr>
            <w:tcW w:w="8740" w:type="dxa"/>
            <w:vAlign w:val="bottom"/>
          </w:tcPr>
          <w:p>
            <w:pPr>
              <w:ind w:left="160"/>
              <w:spacing w:after="0"/>
              <w:rPr>
                <w:sz w:val="20"/>
                <w:szCs w:val="20"/>
                <w:color w:val="auto"/>
              </w:rPr>
            </w:pPr>
            <w:r>
              <w:rPr>
                <w:rFonts w:ascii="Arial" w:cs="Arial" w:eastAsia="Arial" w:hAnsi="Arial"/>
                <w:sz w:val="18"/>
                <w:szCs w:val="18"/>
                <w:color w:val="auto"/>
              </w:rPr>
              <w:t>Del Frisco's Restaurant Group</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34</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Holding Company cash and short 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Financial investments</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44</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Other ventures</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w:t>
            </w:r>
          </w:p>
        </w:tc>
      </w:tr>
      <w:tr>
        <w:trPr>
          <w:trHeight w:val="27"/>
        </w:trPr>
        <w:tc>
          <w:tcPr>
            <w:tcW w:w="8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FNFV Book Value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951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969</w:t>
            </w: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FNFV Common Stock</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FNFV Group common stock has voting and redemption rights. Holders of FNFV Group common stock are entitled to one vote for each share of such stock held. Holders of FNFV Group common stock will vote as one class with holders of FNF Group common stock on all matters that are submitted to a vote of its stockholders unless a separate class vote is required by the terms of the current charter or Delaware law. In connection with certain dispositions of FNFV Group assets, the FNF board of directors may determine to seek approval of the holders of FNFV common stock, voting together as a separate class, to avoid effecting a mandatory dividend, redemption or conversion under the restated charter.</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FNF may not redeem outstanding shares of FNFV Group common stock for shares of common stock of a subsidiary that holds assets and liabilities attributed to the FNFV Group unless its board of directors seeks and receives the approval to such redemption of holders of FNFV common stock, voting together as a separate class, and, if such subsidiary also holds assets and liabilities of the FNF Group, the approval of holders of FNF Group common stock to the corresponding FNF Group common stock redemption, with each affected group voting as a separate class. FNF can convert each share of FNFV Group common stock</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color w:val="auto"/>
        </w:rPr>
        <w:t>into a number of shares of the FNF Group common stock at a ratio that provides FNFV stockholders with the applicable Conversion Premium to which they are entitled.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2019-12-29T12:19:06Z</dcterms:created>
  <dcterms:modified xsi:type="dcterms:W3CDTF">2019-12-29T12:19:06Z</dcterms:modified>
</cp:coreProperties>
</file>