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w:t>
      </w:r>
    </w:p>
    <w:p>
      <w:pPr>
        <w:spacing w:after="0" w:line="26" w:lineRule="exact"/>
        <w:rPr>
          <w:sz w:val="24"/>
          <w:szCs w:val="24"/>
          <w:color w:val="auto"/>
        </w:rPr>
      </w:pPr>
    </w:p>
    <w:p>
      <w:pPr>
        <w:ind w:left="2500" w:hanging="1364"/>
        <w:spacing w:after="0"/>
        <w:tabs>
          <w:tab w:leader="none" w:pos="2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22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w:t>
      </w:r>
    </w:p>
    <w:p>
      <w:pPr>
        <w:spacing w:after="0" w:line="26" w:lineRule="exact"/>
        <w:rPr>
          <w:sz w:val="24"/>
          <w:szCs w:val="24"/>
          <w:color w:val="auto"/>
        </w:rPr>
      </w:pPr>
    </w:p>
    <w:p>
      <w:pPr>
        <w:ind w:left="2500" w:hanging="1364"/>
        <w:spacing w:after="0"/>
        <w:tabs>
          <w:tab w:leader="none" w:pos="2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1-32630</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512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16-1725106</w:t>
            </w:r>
          </w:p>
        </w:tc>
      </w:tr>
      <w:tr>
        <w:trPr>
          <w:trHeight w:val="27"/>
        </w:trPr>
        <w:tc>
          <w:tcPr>
            <w:tcW w:w="39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84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54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601 Riverside Avenue , Jacksonville , Florida</w:t>
            </w:r>
          </w:p>
        </w:tc>
        <w:tc>
          <w:tcPr>
            <w:tcW w:w="512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32204</w:t>
            </w:r>
          </w:p>
        </w:tc>
      </w:tr>
      <w:tr>
        <w:trPr>
          <w:trHeight w:val="27"/>
        </w:trPr>
        <w:tc>
          <w:tcPr>
            <w:tcW w:w="39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57"/>
        </w:trPr>
        <w:tc>
          <w:tcPr>
            <w:tcW w:w="3920" w:type="dxa"/>
            <w:vAlign w:val="bottom"/>
          </w:tcPr>
          <w:p>
            <w:pPr>
              <w:spacing w:after="0"/>
              <w:rPr>
                <w:sz w:val="22"/>
                <w:szCs w:val="22"/>
                <w:color w:val="auto"/>
              </w:rPr>
            </w:pPr>
          </w:p>
        </w:tc>
        <w:tc>
          <w:tcPr>
            <w:tcW w:w="5120" w:type="dxa"/>
            <w:vAlign w:val="bottom"/>
            <w:gridSpan w:val="2"/>
          </w:tcPr>
          <w:p>
            <w:pPr>
              <w:jc w:val="right"/>
              <w:ind w:right="3870"/>
              <w:spacing w:after="0"/>
              <w:rPr>
                <w:sz w:val="20"/>
                <w:szCs w:val="20"/>
                <w:color w:val="auto"/>
              </w:rPr>
            </w:pPr>
            <w:r>
              <w:rPr>
                <w:rFonts w:ascii="Times New Roman" w:cs="Times New Roman" w:eastAsia="Times New Roman" w:hAnsi="Times New Roman"/>
                <w:sz w:val="18"/>
                <w:szCs w:val="18"/>
                <w:color w:val="auto"/>
              </w:rPr>
              <w:t>(904) 854-8100</w:t>
            </w:r>
          </w:p>
        </w:tc>
      </w:tr>
    </w:tbl>
    <w:p>
      <w:pPr>
        <w:ind w:left="39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3"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00" w:type="dxa"/>
            <w:vAlign w:val="bottom"/>
          </w:tcPr>
          <w:p>
            <w:pPr>
              <w:spacing w:after="0"/>
              <w:rPr>
                <w:sz w:val="16"/>
                <w:szCs w:val="16"/>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96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8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6"/>
              </w:rPr>
              <w:t>FNF</w:t>
            </w:r>
          </w:p>
        </w:tc>
        <w:tc>
          <w:tcPr>
            <w:tcW w:w="7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38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5.50% Notes due September 2022</w:t>
            </w: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FNF22</w:t>
            </w:r>
          </w:p>
        </w:tc>
        <w:tc>
          <w:tcPr>
            <w:tcW w:w="78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6" w:lineRule="exact"/>
        <w:rPr>
          <w:sz w:val="24"/>
          <w:szCs w:val="24"/>
          <w:color w:val="auto"/>
        </w:rPr>
      </w:pPr>
    </w:p>
    <w:p>
      <w:pPr>
        <w:ind w:right="4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5" w:lineRule="exact"/>
        <w:rPr>
          <w:sz w:val="24"/>
          <w:szCs w:val="24"/>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56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spacing w:after="0"/>
              <w:rPr>
                <w:sz w:val="18"/>
                <w:szCs w:val="18"/>
                <w:color w:val="auto"/>
              </w:rPr>
            </w:pPr>
          </w:p>
        </w:tc>
        <w:tc>
          <w:tcPr>
            <w:tcW w:w="25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272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60" w:type="dxa"/>
            <w:vAlign w:val="bottom"/>
            <w:vMerge w:val="continue"/>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ind w:right="20"/>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5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June 30, 2019 were:</w:t>
      </w:r>
    </w:p>
    <w:p>
      <w:pPr>
        <w:spacing w:after="0" w:line="117" w:lineRule="exact"/>
        <w:rPr>
          <w:sz w:val="24"/>
          <w:szCs w:val="24"/>
          <w:color w:val="auto"/>
        </w:rPr>
      </w:pPr>
    </w:p>
    <w:p>
      <w:pPr>
        <w:ind w:left="340"/>
        <w:spacing w:after="0"/>
        <w:tabs>
          <w:tab w:leader="none" w:pos="2000" w:val="left"/>
        </w:tabs>
        <w:rPr>
          <w:sz w:val="20"/>
          <w:szCs w:val="20"/>
          <w:color w:val="auto"/>
        </w:rPr>
      </w:pPr>
      <w:r>
        <w:rPr>
          <w:rFonts w:ascii="Times New Roman" w:cs="Times New Roman" w:eastAsia="Times New Roman" w:hAnsi="Times New Roman"/>
          <w:sz w:val="18"/>
          <w:szCs w:val="18"/>
          <w:color w:val="auto"/>
        </w:rPr>
        <w:t>FNF Common Stock</w:t>
        <w:tab/>
        <w:t>274,416,550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 Ended June 30, 2019</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2740" w:type="dxa"/>
            <w:vAlign w:val="bottom"/>
            <w:tcBorders>
              <w:bottom w:val="single" w:sz="8" w:color="0000FF"/>
            </w:tcBorders>
            <w:gridSpan w:val="6"/>
          </w:tcPr>
          <w:p>
            <w:pPr>
              <w:spacing w:after="0" w:line="202"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Part I: FINANCIAL INFORMATION</w:t>
              </w:r>
            </w:hyperlink>
          </w:p>
        </w:tc>
        <w:tc>
          <w:tcPr>
            <w:tcW w:w="762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 as of June 30, 2019 and December 31,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 Condensed Consolidated Statements of Earnings for the three and six-month periods ended June 30, 2019 and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 Condensed Consolidated Statements of Comprehensive Earnings for the three and six-month periods ended June 30, 2019 and 2018</w:t>
              </w:r>
            </w:hyperlink>
          </w:p>
        </w:tc>
        <w:tc>
          <w:tcPr>
            <w:tcW w:w="14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 Condensed Consolidated Statements of Equity for the six-month periods ended June 30, 2019 and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4</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 Condensed Consolidated Statements of Cash Flows for the six-month periods ended June 30, 2019 and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5</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F. Notes to Condensed Consolidated Financial Statements</w:t>
              </w:r>
            </w:hyperlink>
          </w:p>
        </w:tc>
        <w:tc>
          <w:tcPr>
            <w:tcW w:w="3840" w:type="dxa"/>
            <w:vAlign w:val="bottom"/>
            <w:tcBorders>
              <w:top w:val="single" w:sz="8" w:color="0000EE"/>
            </w:tcBorders>
            <w:gridSpan w:val="6"/>
          </w:tcPr>
          <w:p>
            <w:pPr>
              <w:spacing w:after="0"/>
              <w:rPr>
                <w:sz w:val="21"/>
                <w:szCs w:val="21"/>
                <w:color w:val="auto"/>
              </w:rPr>
            </w:pPr>
          </w:p>
        </w:tc>
        <w:tc>
          <w:tcPr>
            <w:tcW w:w="184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9"/>
          </w:tcPr>
          <w:p>
            <w:pPr>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Item 3. Quantitative and Qualitative Disclosure About Market Risk</w:t>
              </w:r>
            </w:hyperlink>
          </w:p>
        </w:tc>
        <w:tc>
          <w:tcPr>
            <w:tcW w:w="2160" w:type="dxa"/>
            <w:vAlign w:val="bottom"/>
            <w:gridSpan w:val="3"/>
          </w:tcPr>
          <w:p>
            <w:pPr>
              <w:spacing w:after="0"/>
              <w:rPr>
                <w:sz w:val="21"/>
                <w:szCs w:val="21"/>
                <w:color w:val="auto"/>
              </w:rPr>
            </w:pPr>
          </w:p>
        </w:tc>
        <w:tc>
          <w:tcPr>
            <w:tcW w:w="284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31</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33">
              <w:r>
                <w:rPr>
                  <w:rFonts w:ascii="Times New Roman" w:cs="Times New Roman" w:eastAsia="Times New Roman" w:hAnsi="Times New Roman"/>
                  <w:sz w:val="18"/>
                  <w:szCs w:val="18"/>
                  <w:color w:val="0000FF"/>
                  <w:w w:val="97"/>
                </w:rPr>
                <w:t>Item 4.</w:t>
              </w:r>
            </w:hyperlink>
          </w:p>
        </w:tc>
        <w:tc>
          <w:tcPr>
            <w:tcW w:w="4320" w:type="dxa"/>
            <w:vAlign w:val="bottom"/>
            <w:gridSpan w:val="8"/>
          </w:tcPr>
          <w:p>
            <w:pPr>
              <w:ind w:lef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Controls and Procedures</w:t>
              </w:r>
            </w:hyperlink>
          </w:p>
        </w:tc>
        <w:tc>
          <w:tcPr>
            <w:tcW w:w="50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31</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18"/>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Part II: OTHER INFORMATION</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Times New Roman" w:cs="Times New Roman" w:eastAsia="Times New Roman" w:hAnsi="Times New Roman"/>
                <w:sz w:val="18"/>
                <w:szCs w:val="18"/>
                <w:color w:val="0000FF"/>
                <w:w w:val="97"/>
              </w:rPr>
            </w:pPr>
            <w:hyperlink w:anchor="page34">
              <w:r>
                <w:rPr>
                  <w:rFonts w:ascii="Times New Roman" w:cs="Times New Roman" w:eastAsia="Times New Roman" w:hAnsi="Times New Roman"/>
                  <w:sz w:val="18"/>
                  <w:szCs w:val="18"/>
                  <w:color w:val="0000FF"/>
                  <w:w w:val="97"/>
                </w:rPr>
                <w:t>Item 1.</w:t>
              </w:r>
            </w:hyperlink>
          </w:p>
        </w:tc>
        <w:tc>
          <w:tcPr>
            <w:tcW w:w="1360" w:type="dxa"/>
            <w:vAlign w:val="bottom"/>
            <w:tcBorders>
              <w:top w:val="single" w:sz="8" w:color="0000FF"/>
            </w:tcBorders>
            <w:gridSpan w:val="2"/>
          </w:tcPr>
          <w:p>
            <w:pPr>
              <w:ind w:left="20"/>
              <w:spacing w:after="0"/>
              <w:rPr>
                <w:rFonts w:ascii="Times New Roman" w:cs="Times New Roman" w:eastAsia="Times New Roman" w:hAnsi="Times New Roman"/>
                <w:sz w:val="18"/>
                <w:szCs w:val="18"/>
                <w:color w:val="0000FF"/>
                <w:w w:val="98"/>
              </w:rPr>
            </w:pPr>
            <w:hyperlink w:anchor="page34">
              <w:r>
                <w:rPr>
                  <w:rFonts w:ascii="Times New Roman" w:cs="Times New Roman" w:eastAsia="Times New Roman" w:hAnsi="Times New Roman"/>
                  <w:sz w:val="18"/>
                  <w:szCs w:val="18"/>
                  <w:color w:val="0000FF"/>
                  <w:w w:val="98"/>
                </w:rPr>
                <w:t>Legal Proceedings</w:t>
              </w:r>
            </w:hyperlink>
          </w:p>
        </w:tc>
        <w:tc>
          <w:tcPr>
            <w:tcW w:w="20" w:type="dxa"/>
            <w:vAlign w:val="bottom"/>
            <w:tcBorders>
              <w:top w:val="single" w:sz="8" w:color="0000FF"/>
            </w:tcBorders>
          </w:tcPr>
          <w:p>
            <w:pPr>
              <w:spacing w:after="0"/>
              <w:rPr>
                <w:sz w:val="21"/>
                <w:szCs w:val="21"/>
                <w:color w:val="auto"/>
              </w:rPr>
            </w:pPr>
          </w:p>
        </w:tc>
        <w:tc>
          <w:tcPr>
            <w:tcW w:w="7940" w:type="dxa"/>
            <w:vAlign w:val="bottom"/>
            <w:gridSpan w:val="13"/>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34">
              <w:r>
                <w:rPr>
                  <w:rFonts w:ascii="Times New Roman" w:cs="Times New Roman" w:eastAsia="Times New Roman" w:hAnsi="Times New Roman"/>
                  <w:sz w:val="18"/>
                  <w:szCs w:val="18"/>
                  <w:color w:val="0000FF"/>
                  <w:w w:val="97"/>
                </w:rPr>
                <w:t>Item 2.</w:t>
              </w:r>
            </w:hyperlink>
          </w:p>
        </w:tc>
        <w:tc>
          <w:tcPr>
            <w:tcW w:w="4380" w:type="dxa"/>
            <w:vAlign w:val="bottom"/>
            <w:gridSpan w:val="9"/>
          </w:tcPr>
          <w:p>
            <w:pPr>
              <w:ind w:left="20"/>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Unregistered Sales of Equity Securities and Use of Proceeds</w:t>
              </w:r>
            </w:hyperlink>
          </w:p>
        </w:tc>
        <w:tc>
          <w:tcPr>
            <w:tcW w:w="494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35">
              <w:r>
                <w:rPr>
                  <w:rFonts w:ascii="Times New Roman" w:cs="Times New Roman" w:eastAsia="Times New Roman" w:hAnsi="Times New Roman"/>
                  <w:sz w:val="18"/>
                  <w:szCs w:val="18"/>
                  <w:color w:val="0000FF"/>
                  <w:w w:val="97"/>
                </w:rPr>
                <w:t>Item 6.</w:t>
              </w:r>
            </w:hyperlink>
          </w:p>
        </w:tc>
        <w:tc>
          <w:tcPr>
            <w:tcW w:w="4380" w:type="dxa"/>
            <w:vAlign w:val="bottom"/>
            <w:gridSpan w:val="9"/>
          </w:tcPr>
          <w:p>
            <w:pPr>
              <w:ind w:lef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Exhibits</w:t>
              </w:r>
            </w:hyperlink>
          </w:p>
        </w:tc>
        <w:tc>
          <w:tcPr>
            <w:tcW w:w="494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 AND SUBSIDIARIES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Times New Roman" w:cs="Times New Roman" w:eastAsia="Times New Roman" w:hAnsi="Times New Roman"/>
                <w:sz w:val="14"/>
                <w:szCs w:val="14"/>
                <w:color w:val="auto"/>
              </w:rPr>
              <w:t>(Dollars in millions, except share data)</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1"/>
        </w:trPr>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maturity securities available for sale, at fair value, at June 30, 2019 and December 31, 2018 includes pledged fixed maturity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securities of $425 and $418, respectively, related to secured trust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Short-term investments, at December 31,2018 includes short-term investments of $8 related to secured trust deposits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16"/>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June 30, 2019 and December 31, 2018 includes $503 and $412, respectively, of pledged cash related to</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secured trust deposits</w:t>
            </w:r>
          </w:p>
        </w:tc>
        <w:tc>
          <w:tcPr>
            <w:tcW w:w="2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and notes receivables, net of allowance of $19 at June 30, 2019 and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2,726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 assets, see Note K</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Title plants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Secured trust deposits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Lease liabilities, see Note K</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4,329</w:t>
            </w:r>
          </w:p>
        </w:tc>
        <w:tc>
          <w:tcPr>
            <w:tcW w:w="0" w:type="dxa"/>
            <w:vAlign w:val="bottom"/>
          </w:tcPr>
          <w:p>
            <w:pPr>
              <w:spacing w:after="0"/>
              <w:rPr>
                <w:sz w:val="1"/>
                <w:szCs w:val="1"/>
                <w:color w:val="auto"/>
              </w:rPr>
            </w:pPr>
          </w:p>
        </w:tc>
      </w:tr>
      <w:tr>
        <w:trPr>
          <w:trHeight w:val="21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Redeemable non-controlling interest by 21% minority holder of ServiceLink Holdings, LLC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FNF common stock, $0.0001 par value; authorized 487,000,000 shares as of June 30, 2019 and December 31, 2018; outstanding of</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274,416,550 and 275,373,834 as of June 30, 2019 and December 31, 2018, respectively, and issued of 289,875,770 and 289,601,523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as of June 30, 2019 and December 31, 2018,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earnings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Less: Treasury stock, 15,459,220 shares and 14,227,689 shares as of June 30, 2019 and December 31, 2018, respectively, at cost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4,628</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10,189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387"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8" w:right="239" w:bottom="387"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ind w:left="448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900" w:type="dxa"/>
            <w:vAlign w:val="bottom"/>
          </w:tcPr>
          <w:p>
            <w:pPr>
              <w:spacing w:after="0"/>
              <w:rPr>
                <w:sz w:val="24"/>
                <w:szCs w:val="24"/>
                <w:color w:val="auto"/>
              </w:rPr>
            </w:pPr>
          </w:p>
        </w:tc>
        <w:tc>
          <w:tcPr>
            <w:tcW w:w="18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1"/>
                <w:szCs w:val="21"/>
                <w:color w:val="auto"/>
              </w:rPr>
            </w:pPr>
          </w:p>
        </w:tc>
        <w:tc>
          <w:tcPr>
            <w:tcW w:w="150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1,272</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Agent commissions</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 and equity in earnings of unconsolidated affiliates</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common shareholders, basic</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common shareholders, diluted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common stock, diluted basis</w:t>
            </w: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0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78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1"/>
                <w:szCs w:val="21"/>
                <w:color w:val="auto"/>
              </w:rPr>
            </w:pPr>
          </w:p>
        </w:tc>
        <w:tc>
          <w:tcPr>
            <w:tcW w:w="178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investments and other financial instruments, net (excluding investments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 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foreign currency translation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earnings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80" w:right="20" w:hanging="97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$6 million and $(2) million for the three-month periods ended June 30, 2019 and 2018, respectively, and $14 million and $(5) million for the six-month periods ended June 30, 2019 and 2018, respectively.</w:t>
      </w:r>
    </w:p>
    <w:p>
      <w:pPr>
        <w:spacing w:after="0" w:line="107"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less than $1 million for the three-month periods ended June 30, 2019 and 2018, and $2 million and $1 million for the six-month periods ended June 30, 2019 and 2018, respectively</w:t>
      </w:r>
    </w:p>
    <w:p>
      <w:pPr>
        <w:spacing w:after="0" w:line="107"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$1 million and less than $(1) million for the three-month periods ended June 30, 2019 and 2018, respectively, and $1 million and $(1) million for the six-month periods ended June 30, 2019 and 2018, respectively.</w:t>
      </w:r>
    </w:p>
    <w:p>
      <w:pPr>
        <w:spacing w:after="0" w:line="107"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less than $(1) million and $1 million for the three-month periods ended June 30, 2019 and 2018, respectively, and $(2) million and less than $(1) million for the six-month periods ended June 30, 2019 and 2018,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3"/>
                <w:szCs w:val="13"/>
                <w:b w:val="1"/>
                <w:bCs w:val="1"/>
                <w:color w:val="auto"/>
              </w:rPr>
              <w:t>Fidelity National Financial, Inc. Common Shareholders</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FNF</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4"/>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Non-</w:t>
            </w:r>
          </w:p>
        </w:tc>
      </w:tr>
      <w:tr>
        <w:trPr>
          <w:trHeight w:val="280"/>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gridSpan w:val="4"/>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6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r>
      <w:tr>
        <w:trPr>
          <w:trHeight w:val="249"/>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December 31, 2017</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r>
      <w:tr>
        <w:trPr>
          <w:trHeight w:val="278"/>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Adjustment for cumulative effect for adoption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of ASU 2016-01</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6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loss on investments and other financial</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instruments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gain on investments in unconsolidated affiliates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loss on foreign currency translation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Reclassification adjustments for change 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6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gains and losses included in net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earnings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Reclassification for ASU 2018-02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Equity portion of debt conversions settled 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cash</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Dilution resulting from subsidiary issuance of</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Dividends declared, $0.60 per common share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Subsidiary repurchase of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Acquisitions of non-controlling interests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Subsidiary dividends declared to non-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controlling interests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earnings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June 30, 2018</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r>
      <w:tr>
        <w:trPr>
          <w:trHeight w:val="144"/>
        </w:trPr>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26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December 31, 2018</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r>
      <w:tr>
        <w:trPr>
          <w:trHeight w:val="278"/>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Treasury stock repurchased</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6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gain on investments and other financial</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instruments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gain on investments in unconsolidated affiliates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gain on foreign currency translation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Reclassification adjustments for change 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6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gains and losses included in net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earnings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Dividends declared, $0.62 per common share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Purchase of additional share in consolidated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subsidiaries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6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Subsidiary dividends declared to non-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controlling interests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earnings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4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June 30, 2019</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420"/>
          </w:cols>
          <w:pgMar w:left="240" w:top="117"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95"/>
        </w:trPr>
        <w:tc>
          <w:tcPr>
            <w:tcW w:w="9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9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(gain) on sales of investments and other assets and asset impairments, net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Non-cash lease costs</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Operating lease payments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 in valuation of equity and preferred securities, net</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increase in trade receivables</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increase in prepaid expenses and other assets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65"/>
        </w:trPr>
        <w:tc>
          <w:tcPr>
            <w:tcW w:w="9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increase (decrease) in accounts payable, accrued liabilities, deferred revenue and other</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decrease in reserve for title claim losses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93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55"/>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45"/>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sales of investment securities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calls and maturities of investment securities</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Funding of Cannae Holdings Inc. note receivable</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repayment of Cannae Holdings Inc. note receivable</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proceeds from sales and maturities of short-term investment securities</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acquisitions/disposals of businesses, net of cash acquired/disposed</w:t>
            </w:r>
          </w:p>
        </w:tc>
        <w:tc>
          <w:tcPr>
            <w:tcW w:w="1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55"/>
        </w:trPr>
        <w:tc>
          <w:tcPr>
            <w:tcW w:w="9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45"/>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Debt principal payments</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portion of debt conversions paid in cash</w:t>
            </w:r>
          </w:p>
        </w:tc>
        <w:tc>
          <w:tcPr>
            <w:tcW w:w="1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54"/>
        </w:trPr>
        <w:tc>
          <w:tcPr>
            <w:tcW w:w="9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Subsidiary equity repurchase</w:t>
            </w:r>
          </w:p>
        </w:tc>
        <w:tc>
          <w:tcPr>
            <w:tcW w:w="1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additional share in consolidated subsidiaries</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9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50"/>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242"/>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420"/>
          </w:cols>
          <w:pgMar w:left="240" w:top="117" w:right="239" w:bottom="306"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306"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2018.</w:t>
      </w:r>
    </w:p>
    <w:p>
      <w:pPr>
        <w:spacing w:after="0" w:line="76" w:lineRule="exact"/>
        <w:rPr>
          <w:sz w:val="20"/>
          <w:szCs w:val="20"/>
          <w:color w:val="auto"/>
        </w:rPr>
      </w:pPr>
    </w:p>
    <w:p>
      <w:pPr>
        <w:ind w:right="800" w:firstLine="324"/>
        <w:spacing w:after="0" w:line="407" w:lineRule="auto"/>
        <w:rPr>
          <w:sz w:val="20"/>
          <w:szCs w:val="20"/>
          <w:color w:val="auto"/>
        </w:rPr>
      </w:pPr>
      <w:r>
        <w:rPr>
          <w:rFonts w:ascii="Times New Roman" w:cs="Times New Roman" w:eastAsia="Times New Roman" w:hAnsi="Times New Roman"/>
          <w:sz w:val="18"/>
          <w:szCs w:val="18"/>
          <w:color w:val="auto"/>
        </w:rPr>
        <w:t xml:space="preserve">Certain reclassifications have been made to the 2018 Condensed Consolidated Financial Statements to conform to classifications used in 2019. </w:t>
      </w:r>
      <w:r>
        <w:rPr>
          <w:rFonts w:ascii="Times New Roman" w:cs="Times New Roman" w:eastAsia="Times New Roman" w:hAnsi="Times New Roman"/>
          <w:sz w:val="18"/>
          <w:szCs w:val="18"/>
          <w:b w:val="1"/>
          <w:bCs w:val="1"/>
          <w:i w:val="1"/>
          <w:iCs w:val="1"/>
          <w:color w:val="auto"/>
        </w:rPr>
        <w:t>Description of the Business</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Acquisition of Stewart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18, 2018, we signed a merger agreement (the "Merger Agreement") to acquire Stewart Information Services Corporation ("Stewart") (NYSE: STC) (the "Stewart Merger"). The material terms of the Merger Agreement and progress on the Stewart Merger through February 2019 are set forth in our Annual Report.</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10, 2019, we exercised our second option to extend the closing date of the transaction an additional three months to September 18, 2019.</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continue to work with the Federal Trade Commission and the New York State Department of Financial Services to seek approval of the proposed acquisition. If the approvals are obtained, we remain confident that the Stewart acquisition can create meaningful long-term value for our shareholders.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of the Stewart Merger is subject to certain closing conditions, including federal and state regulatory approvals and the satisfaction of other customary closing conditions.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Cannae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2017, in conjunction with the split-off of our former portfolio company investments into a separate company, Cannae Holdings, Inc. ("Cannae"), we issued to Cannae a revolver note (the "Cannae Revolver") in the aggregate principal amount of up to $100 million. Cannae is considered a related party to FNF.</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Cannae Revolver accrues interest quarterly at LIBOR plus 450 basis points and matures on the five-year anniversary from the date of issuance. The maturity date is automatically extended for additional five-year terms unless notice of non-renewal is otherwise provided by either FNF or Cannae, in their sole discretion.</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7, 2019, Cannae borrowed $100 million from FNF under the Cannae Revolver. On June 12, 2019, Cannae repaid to FNF the entire $100 million outstanding amount under the Cannae Revolver.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5, 2019, Cannae borrowed $100 million from FNF under the Cannae Revolver.</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 for the Cannae Revolver as a financing receivable. Interest income is recorded ratably in periods in which principal is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Uncollectible financing receivables are written off or impaired when, based on all available information, it is probable that a loss has occurred.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was $86 million and $22 million in the three-month periods ended June 30, 2019 and 2018, respectively, and $151 million and $53 million in the six-month periods ended June 30, 2019 and 2018, respectively. Income tax expense as 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percentage of earnings before income taxes was 24% and 8% in the three-month periods ended June 30, 2019 and 2018, respectively, and 24% and 13% in the six-month periods ended June 30, 2019 and 2018, respectively. The increase in income tax expense as a percentage of earnings before taxes in the 2019 periods from the comparable periods in 2018 was primarily attributable to a change in tax estimate in the three months ended June 30, 2018 relating to the timing of payments for, and tax rate applicable to, our tax liability resulting from the decrease in statutory premium reserve associated with the redomestication of certain of our title underwriters.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Options or other instruments which provide the ability to purchase shares of our common stock that are antidilutive are excluded from the computation of diluted earnings per share. There were no antidilutive instruments outstanding during the three or six-month periods ended June 30, 2019 or June 30,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Pronouncements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which allows entities the option to adopt this standard using a modified retrospective approach with a cumulative-effect adjustment to opening equity at the adoption date and include required disclosures for prior periods.</w:t>
      </w:r>
    </w:p>
    <w:p>
      <w:pPr>
        <w:spacing w:after="0" w:line="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adopted Topic 842 on January 1, 2019 using a modified retrospective approach and recorded lease right-of-use assets ("Lease assets") of $421 million and liabilities for future discounted lease payment obligations ("Lease liabilities") of $437 million at the date of adoption. The adoption also resulted in a decrease of $9 million and $25 million to our Prepaid expenses and other assets and Accounts payable and accrued liabilities, respectively. There was no impact to opening equity as a result of the adoption. 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K.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of our leasing arrangements and related accounting.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still evaluating the effect this new guidance will have on our consolidated financial statements and related disclosures and have not yet concluded on its effects. We do not plan to early adopt the standard.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Claim Losses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reserve for claim losses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196"/>
        </w:trPr>
        <w:tc>
          <w:tcPr>
            <w:tcW w:w="8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7"/>
                <w:szCs w:val="17"/>
                <w:color w:val="auto"/>
              </w:rPr>
            </w:pPr>
          </w:p>
        </w:tc>
      </w:tr>
      <w:tr>
        <w:trPr>
          <w:trHeight w:val="255"/>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8"/>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1,490</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8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94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97"/>
        </w:trPr>
        <w:tc>
          <w:tcPr>
            <w:tcW w:w="8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98"/>
              </w:rPr>
              <w:t>1,480</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1,487</w:t>
            </w:r>
          </w:p>
        </w:tc>
      </w:tr>
      <w:tr>
        <w:trPr>
          <w:trHeight w:val="251"/>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those assets and liabilities measured at fair value on a recurring basis as of June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respectively: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1,581</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690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r>
      <w:tr>
        <w:trPr>
          <w:trHeight w:val="25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708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3,143</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36"/>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514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2,898</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fair value measures for preferred securities and fixed 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81" w:lineRule="exact"/>
        <w:rPr>
          <w:sz w:val="20"/>
          <w:szCs w:val="20"/>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June 30, 2019 was a range of 7.3% - 7.9% and a weighted-average of 7.5%. Based on the total fair value of our Level 3 other long-term investment as of June 30, 2019, changes in the discount rate utilized will not result in a fair value significantly different than the amount recorded.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Level 3 fair value measures for our corporate debt securities relate to multiple investments which are considered immaterial individually and in the aggregate.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values of Level 3 assets, measured on a recurring basis, for the three and six-month periods ended June 30, 2019 and 2018.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259"/>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Other long-term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Other long-term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5"/>
        </w:trPr>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23"/>
                <w:szCs w:val="2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3"/>
                <w:szCs w:val="23"/>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23"/>
                <w:szCs w:val="23"/>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to Level 2</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Paid-in-kind dividends (1)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valuation gain (loss) included in earnings (2)</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603"/>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59"/>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Other long-term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Other long-term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5"/>
        </w:trPr>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23"/>
                <w:szCs w:val="2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3"/>
                <w:szCs w:val="23"/>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23"/>
                <w:szCs w:val="23"/>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assets associated with the adoption of</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ASU 2016-01</w:t>
            </w:r>
          </w:p>
        </w:tc>
        <w:tc>
          <w:tcPr>
            <w:tcW w:w="160" w:type="dxa"/>
            <w:vAlign w:val="bottom"/>
          </w:tcPr>
          <w:p>
            <w:pPr>
              <w:spacing w:after="0"/>
              <w:rPr>
                <w:sz w:val="20"/>
                <w:szCs w:val="20"/>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Level 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to Level 2</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Paid-in-kind dividends (1)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valuation gain included in earnings (2)</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5"/>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 included in other comprehensive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61"/>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and investment income on the Condensed Consolidated Statements of Earnings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Realized gains and losses, net on the Condensed Consolidated Statements of Earnings</w:t>
      </w:r>
    </w:p>
    <w:p>
      <w:pPr>
        <w:spacing w:after="0" w:line="9" w:lineRule="exact"/>
        <w:rPr>
          <w:rFonts w:ascii="Times New Roman" w:cs="Times New Roman" w:eastAsia="Times New Roman" w:hAnsi="Times New Roman"/>
          <w:sz w:val="18"/>
          <w:szCs w:val="18"/>
          <w:color w:val="auto"/>
        </w:rPr>
      </w:pPr>
    </w:p>
    <w:p>
      <w:pPr>
        <w:ind w:right="20" w:firstLine="8"/>
        <w:spacing w:after="0" w:line="261" w:lineRule="auto"/>
        <w:tabs>
          <w:tab w:leader="none" w:pos="2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Unrealized gain (loss) on investments and other financial instruments, net (excluding investments in unconsolidated affiliates) on the Condensed Consolidated Statements of Comprehensive Earnings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Transfers into or out of the Level 3 fair value category occur when unobservable inputs become more or less significant to the fair value measurement or upon a change in valuation technique. For the three and six months ended June 30, 2019, transfers between Level 2 and Level 3 are not considered material. For the six months ended June 30,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w:t>
      </w:r>
    </w:p>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unrealized gain (loss) on investments and other financial instruments, net (excluding investments in unconsolidated affiliates) on our Condensed Consolidated Statements of Comprehensive Income relate to fixed maturity securities which are considered Level 2 fair value measures.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short-term investments, accounts receivable and notes receivable approximate fair value due to their short-term nature and/or short time period since consummation. Additional information regarding the fair value of our investment portfolio is included in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and fair values of our available for sale securities at June 30, 2019 and December 31, 2018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9"/>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75"/>
        </w:trPr>
        <w:tc>
          <w:tcPr>
            <w:tcW w:w="5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53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9"/>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75"/>
        </w:trPr>
        <w:tc>
          <w:tcPr>
            <w:tcW w:w="5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 basis of fixed maturity securities available for sale includes an adjustment for amortized premium or accreted discount since the date of purchase.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 at June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59"/>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380" w:type="dxa"/>
            <w:vAlign w:val="bottom"/>
          </w:tcPr>
          <w:p>
            <w:pPr>
              <w:spacing w:after="0"/>
              <w:rPr>
                <w:sz w:val="22"/>
                <w:szCs w:val="22"/>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3"/>
                <w:szCs w:val="23"/>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5"/>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unrealized losses on investment securities and the fair value of the related securities, aggregated by investment category and length of time that individual securities have been in a continuous unrealized loss position at June 30, 2019 and December 31, 2018, were as follows (in millions):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75"/>
        </w:trPr>
        <w:tc>
          <w:tcPr>
            <w:tcW w:w="40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7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75"/>
        </w:trPr>
        <w:tc>
          <w:tcPr>
            <w:tcW w:w="40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78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784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recorded no impairment charges relating to investments during the three or six-month periods ended June 30, 2019. We recorded $3 million of impairment charges relating to investments during the three and six-month periods ended June 30, 2018. Impairment in the 2018 periods relate to fixed maturity securities of investees entering Chapter 11 bankruptcy which exhibited decreasing fair market values and from which we are uncertain of our ability to recover our initial investment.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2019 and December 31, 2018, we held no investment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realized gains and losses on investments and other assets and proceeds from the sale or maturity of investments and other assets for the three and six-month periods ended June 30, 2019 and 2018, respectively:</w:t>
      </w:r>
    </w:p>
    <w:p>
      <w:pPr>
        <w:sectPr>
          <w:pgSz w:w="11900" w:h="16838" w:orient="portrait"/>
          <w:cols w:equalWidth="0" w:num="1">
            <w:col w:w="11420"/>
          </w:cols>
          <w:pgMar w:left="240" w:top="117" w:right="239" w:bottom="1440" w:gutter="0" w:footer="0" w:header="0"/>
        </w:sectPr>
      </w:pPr>
    </w:p>
    <w:p>
      <w:pPr>
        <w:spacing w:after="0" w:line="2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24765</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1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1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11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2375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1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1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7580" w:space="100"/>
            <w:col w:w="37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1"/>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for sale</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maturities of preferred securities</w:t>
            </w:r>
          </w:p>
        </w:tc>
        <w:tc>
          <w:tcPr>
            <w:tcW w:w="48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of equity securities</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of preferred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of other long term investments</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lease assets</w:t>
            </w: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realized gains and losses, net</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2"/>
                <w:szCs w:val="12"/>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2"/>
                <w:szCs w:val="12"/>
                <w:color w:val="auto"/>
              </w:rPr>
            </w:pPr>
          </w:p>
        </w:tc>
        <w:tc>
          <w:tcPr>
            <w:tcW w:w="7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00" w:type="dxa"/>
            <w:vAlign w:val="bottom"/>
          </w:tcPr>
          <w:p>
            <w:pPr>
              <w:spacing w:after="0"/>
              <w:rPr>
                <w:sz w:val="12"/>
                <w:szCs w:val="12"/>
                <w:color w:val="auto"/>
              </w:rPr>
            </w:pPr>
          </w:p>
        </w:tc>
        <w:tc>
          <w:tcPr>
            <w:tcW w:w="7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30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2"/>
                <w:szCs w:val="12"/>
                <w:color w:val="auto"/>
              </w:rPr>
            </w:pPr>
          </w:p>
        </w:tc>
        <w:tc>
          <w:tcPr>
            <w:tcW w:w="7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maturities of preferred securities</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of equity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of preferred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with Related Party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Included in equity securities as of June 30, 2019 and December 31, 2018 are 5,706,134 shares of Cannae common stock (NYSE: CNNE) which were purchased during the fourth quarter of 2017 in connection with the split-off of our former portfolio company investments to Cannae. The fair value of our related party investment based on quoted market prices is $165 million and $98 million as of June 30, 2019 and December 31, 2018,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—Notes Payable</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60" w:type="dxa"/>
            <w:vAlign w:val="bottom"/>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21"/>
                <w:szCs w:val="21"/>
                <w:color w:val="auto"/>
              </w:rPr>
            </w:pPr>
          </w:p>
        </w:tc>
      </w:tr>
      <w:tr>
        <w:trPr>
          <w:trHeight w:val="25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4.50% Notes, net of discount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442</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5.50% Notes, net of discount</w:t>
            </w:r>
          </w:p>
        </w:tc>
        <w:tc>
          <w:tcPr>
            <w:tcW w:w="104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8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360" w:type="dxa"/>
            <w:vAlign w:val="bottom"/>
          </w:tcPr>
          <w:p>
            <w:pPr>
              <w:spacing w:after="0"/>
              <w:rPr>
                <w:sz w:val="20"/>
                <w:szCs w:val="20"/>
                <w:color w:val="auto"/>
              </w:rPr>
            </w:pPr>
          </w:p>
        </w:tc>
        <w:tc>
          <w:tcPr>
            <w:tcW w:w="104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836</w:t>
            </w:r>
          </w:p>
        </w:tc>
      </w:tr>
      <w:tr>
        <w:trPr>
          <w:trHeight w:val="27"/>
        </w:trPr>
        <w:tc>
          <w:tcPr>
            <w:tcW w:w="8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2019, the estimated fair value of our unsecured notes payable was approximately $903 million, which was $53 million higher than its carrying value, excluding $12 million of net unamortized debt issuance costs and discount. The fair values of our unsecured notes payable are based on established market prices for the securities on June 30, 2019 and are considered Level 2 financial liabilities.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Existing Credit Agreement was amended (the "Restated Credit Agreement").The material terms of the Restated Credit Agreement are set forth in our Annual Report for the year ended December 31, 2018. As of June 30, 2019,</w:t>
      </w:r>
    </w:p>
    <w:p>
      <w:pPr>
        <w:sectPr>
          <w:pgSz w:w="11900" w:h="16838" w:orient="portrait"/>
          <w:cols w:equalWidth="0" w:num="1">
            <w:col w:w="11420"/>
          </w:cols>
          <w:pgMar w:left="240" w:top="117"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principal outstanding, $3 million of unamortized debt issuance costs, and $800 million of available borrowing capacity under the Revolving Credit Facility.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2012, FNF completed an offering of $400 million in aggregate principal amount of 5.50% notes due September 2022 (the "5.50% Notes"), pursuant to an effective registration statement previously filed with the Securities Exchange Commission ("SEC"). The material terms of the 5.50% Notes are set forth in our Annual Report for the year ended December 31, 2018.</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principal maturities of notes payable at June 30, 2019 are as follows (in millions):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(remaining)</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37"/>
        </w:trPr>
        <w:tc>
          <w:tcPr>
            <w:tcW w:w="100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10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5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$12 million and $11 million as of June 30, 2019 and December 31, 2018,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 class action captioned </w:t>
      </w:r>
      <w:r>
        <w:rPr>
          <w:rFonts w:ascii="Times New Roman" w:cs="Times New Roman" w:eastAsia="Times New Roman" w:hAnsi="Times New Roman"/>
          <w:sz w:val="18"/>
          <w:szCs w:val="18"/>
          <w:i w:val="1"/>
          <w:iCs w:val="1"/>
          <w:color w:val="auto"/>
        </w:rPr>
        <w:t>Patterson, et al. v. Fidelity National Title Insurance Company, et al.</w:t>
      </w:r>
      <w:r>
        <w:rPr>
          <w:rFonts w:ascii="Times New Roman" w:cs="Times New Roman" w:eastAsia="Times New Roman" w:hAnsi="Times New Roman"/>
          <w:sz w:val="18"/>
          <w:szCs w:val="18"/>
          <w:color w:val="auto"/>
        </w:rPr>
        <w:t>, Case No. GD 03-021176,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that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The court also determined that a multiplier of 1.5, not treble, should be applied to the amount of damages, if any, proven by class members at trial and that the plaintiffs should bear the responsibility of identifying class members and calculating damages. The Company sought permission from the Pennsylvania Superior Court to appeal both the liability and damage multiplier issues; however, the petition was denied. The Company has filed a petition with the Pennsylvania Supreme Court requesting permission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appeal on the merits, or in the alternative, an order directing the Pennsylvania Superior Court to grant interlocutory review. There has been no determination as to the size of the class. It is unknown whether plaintiffs will seek statutory or actual damages, or whether the judge will exercise discretion to award prejudgment interest or reasonable attorneys’ fees. Accordingly, damages are not reasonably estimable at this time. We will continue to vigorously defend this matter, and we do not believe the result will have a material adverse effect on our financial condition.</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16, 2019, our Board of Directors declared cash dividends of $0.31 per share, payable on September 30, 2019, to FNF common shareholders of record as of September 16, 2019.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June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240" w:type="dxa"/>
            <w:vAlign w:val="bottom"/>
          </w:tcPr>
          <w:p>
            <w:pPr>
              <w:spacing w:after="0"/>
              <w:rPr>
                <w:sz w:val="12"/>
                <w:szCs w:val="12"/>
                <w:color w:val="auto"/>
              </w:rPr>
            </w:pPr>
          </w:p>
        </w:tc>
        <w:tc>
          <w:tcPr>
            <w:tcW w:w="7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1,379</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665</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2,044</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2,092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2,144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353</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86</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earnings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270</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10,189</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2,725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June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240" w:type="dxa"/>
            <w:vAlign w:val="bottom"/>
          </w:tcPr>
          <w:p>
            <w:pPr>
              <w:spacing w:after="0"/>
              <w:rPr>
                <w:sz w:val="12"/>
                <w:szCs w:val="12"/>
                <w:color w:val="auto"/>
              </w:rPr>
            </w:pPr>
          </w:p>
        </w:tc>
        <w:tc>
          <w:tcPr>
            <w:tcW w:w="7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1,331</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765</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2,096</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2,123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253</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earnings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254</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9,254</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six months ended June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240" w:type="dxa"/>
            <w:vAlign w:val="bottom"/>
          </w:tcPr>
          <w:p>
            <w:pPr>
              <w:spacing w:after="0"/>
              <w:rPr>
                <w:sz w:val="12"/>
                <w:szCs w:val="12"/>
                <w:color w:val="auto"/>
              </w:rPr>
            </w:pPr>
          </w:p>
        </w:tc>
        <w:tc>
          <w:tcPr>
            <w:tcW w:w="7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2,371</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1,199</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3,570</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296</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3,755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3,866</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earnings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476</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10,189</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2,725</w:t>
            </w:r>
          </w:p>
        </w:tc>
        <w:tc>
          <w:tcPr>
            <w:tcW w:w="0" w:type="dxa"/>
            <w:vAlign w:val="bottom"/>
          </w:tcPr>
          <w:p>
            <w:pPr>
              <w:spacing w:after="0"/>
              <w:rPr>
                <w:sz w:val="1"/>
                <w:szCs w:val="1"/>
                <w:color w:val="auto"/>
              </w:rPr>
            </w:pPr>
          </w:p>
        </w:tc>
      </w:tr>
      <w:tr>
        <w:trPr>
          <w:trHeight w:val="3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and for the six months ended June 30, 2018: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2,367</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1,383</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3,750</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66</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3,548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3,816</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92</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402</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349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352</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9,254</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88" w:lineRule="exact"/>
        <w:rPr>
          <w:sz w:val="20"/>
          <w:szCs w:val="20"/>
          <w:color w:val="auto"/>
        </w:rPr>
      </w:pPr>
    </w:p>
    <w:p>
      <w:pPr>
        <w:jc w:val="both"/>
        <w:ind w:left="660" w:hanging="409"/>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26" w:lineRule="exact"/>
        <w:rPr>
          <w:rFonts w:ascii="Times New Roman" w:cs="Times New Roman" w:eastAsia="Times New Roman" w:hAnsi="Times New Roman"/>
          <w:sz w:val="18"/>
          <w:szCs w:val="18"/>
          <w:color w:val="auto"/>
        </w:rPr>
      </w:pPr>
    </w:p>
    <w:p>
      <w:pPr>
        <w:jc w:val="both"/>
        <w:ind w:left="660" w:hanging="409"/>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real estate brokerage businesses. This segment includes the results of operations of Pacific Union International, Inc. ("Pacific Union") through September 24, 2018, the date we closed on the sale of all of our equity interest in, and notes outstanding from, Pacific Union. This segment also includes certain other unallocated corporate overhead expenses and eliminations of revenues and expenses between it and our Title segment.</w:t>
      </w:r>
    </w:p>
    <w:p>
      <w:pPr>
        <w:sectPr>
          <w:pgSz w:w="11900" w:h="16838" w:orient="portrait"/>
          <w:cols w:equalWidth="0" w:num="1">
            <w:col w:w="11420"/>
          </w:cols>
          <w:pgMar w:left="240" w:top="117"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Pr>
          <w:p>
            <w:pPr>
              <w:spacing w:after="0"/>
              <w:rPr>
                <w:sz w:val="16"/>
                <w:szCs w:val="16"/>
                <w:color w:val="auto"/>
              </w:rPr>
            </w:pPr>
          </w:p>
        </w:tc>
      </w:tr>
      <w:tr>
        <w:trPr>
          <w:trHeight w:val="274"/>
        </w:trPr>
        <w:tc>
          <w:tcPr>
            <w:tcW w:w="880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proceeds of sales of investments available for sale receivable in period</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purchases of investments available for sale payable in period</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accrual for unsettled repurchases of formerly outstanding debt instruments</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Lease liabilities recognized in exchange for lease right-of-use assets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Remeasurement of lease liabilities</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88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 2018, we adopted Accounting Standard Codification ("ASC") Topic 606 by applying the modified retrospective method. 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pacing w:after="0" w:line="122" w:lineRule="exact"/>
        <w:rPr>
          <w:sz w:val="20"/>
          <w:szCs w:val="20"/>
          <w:color w:val="auto"/>
        </w:rPr>
      </w:pPr>
    </w:p>
    <w:p>
      <w:pPr>
        <w:jc w:val="right"/>
        <w:ind w:right="940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87" w:lineRule="exact"/>
        <w:rPr>
          <w:sz w:val="20"/>
          <w:szCs w:val="20"/>
          <w:color w:val="auto"/>
        </w:rPr>
      </w:pPr>
    </w:p>
    <w:p>
      <w:pPr>
        <w:jc w:val="right"/>
        <w:ind w:right="934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25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120" w:type="dxa"/>
            <w:vAlign w:val="bottom"/>
          </w:tcPr>
          <w:p>
            <w:pPr>
              <w:spacing w:after="0"/>
              <w:rPr>
                <w:sz w:val="21"/>
                <w:szCs w:val="21"/>
                <w:color w:val="auto"/>
              </w:rPr>
            </w:pPr>
          </w:p>
        </w:tc>
        <w:tc>
          <w:tcPr>
            <w:tcW w:w="2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2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r>
      <w:tr>
        <w:trPr>
          <w:trHeight w:val="26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 from insurance contracts:</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5"/>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1,071</w:t>
            </w:r>
          </w:p>
        </w:tc>
      </w:tr>
      <w:tr>
        <w:trPr>
          <w:trHeight w:val="237"/>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1,296</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warranty</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r>
      <w:tr>
        <w:trPr>
          <w:trHeight w:val="196"/>
        </w:trPr>
        <w:tc>
          <w:tcPr>
            <w:tcW w:w="26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revenue from insurance</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0"/>
        </w:trPr>
        <w:tc>
          <w:tcPr>
            <w:tcW w:w="26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contracts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2,458</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from contracts with</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customers:</w:t>
            </w:r>
          </w:p>
        </w:tc>
        <w:tc>
          <w:tcPr>
            <w:tcW w:w="2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r>
      <w:tr>
        <w:trPr>
          <w:trHeight w:val="237"/>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Escrow fees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title-related fees and income</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r>
      <w:tr>
        <w:trPr>
          <w:trHeight w:val="216"/>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ServiceLink, excluding title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premiums, escrow fees, and</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0"/>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subservicing fees</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technology</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37"/>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Real estate brokerage</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26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revenue from contracts with</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0"/>
        </w:trPr>
        <w:tc>
          <w:tcPr>
            <w:tcW w:w="26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customers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1,186</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revenue:</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Loan subservicing revenue</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37"/>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3,816</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91"/>
        </w:trPr>
        <w:tc>
          <w:tcPr>
            <w:tcW w:w="7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5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receivables</w:t>
            </w:r>
          </w:p>
        </w:tc>
        <w:tc>
          <w:tcPr>
            <w:tcW w:w="130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337</w:t>
            </w:r>
          </w:p>
        </w:tc>
        <w:tc>
          <w:tcPr>
            <w:tcW w:w="9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7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79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and six months ended June 30, 2019, we recognized $44 million and $78 million of revenue, respectively, which was included in deferred revenue at the beginning of the period.</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K.</w:t>
        <w:tab/>
        <w:t>Leases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adopted ASC Topic 842 on January 1, 2019 using a modified retrospective approach. Prior year periods continue to be reported under ASC Topic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840. See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for further discussion of the current period effects of adoption of ASU No. 2016-02 </w:t>
      </w:r>
      <w:r>
        <w:rPr>
          <w:rFonts w:ascii="Times New Roman" w:cs="Times New Roman" w:eastAsia="Times New Roman" w:hAnsi="Times New Roman"/>
          <w:sz w:val="18"/>
          <w:szCs w:val="18"/>
          <w:i w:val="1"/>
          <w:iCs w:val="1"/>
          <w:color w:val="auto"/>
        </w:rPr>
        <w:t>Leases (Topic 842).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related to operating leases under ASC Topic 842 are recorded when we are party to a contract which conveys the right for the Company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Condensed Consolidated Balance Sheet as of June 30, 2019.</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leases range in term from one to ten years. As of June 30, 2019, the weighted-average remaining lease term of our operating leases was 4.2 years.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lease agreements do not contain material variable lease payments, buyout options, residual value guarantees or restrictive covenants.</w:t>
      </w:r>
    </w:p>
    <w:p>
      <w:pPr>
        <w:sectPr>
          <w:pgSz w:w="11900" w:h="16838" w:orient="portrait"/>
          <w:cols w:equalWidth="0" w:num="1">
            <w:col w:w="11420"/>
          </w:cols>
          <w:pgMar w:left="240" w:top="117"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Most of our leases include one or more options to renew, with renewal terms that can extend the lease term by varying amounts. The exercise of lease renewal options is at our sole discretion. We do not include options to renew in our measurement of right-of-use assets and lease liabilities as they are not considered reasonably assured of exercise.</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lease liability is determined by discounting future lease payments using a discount rate based on the Company's incremental borrowing rate for similar collateralized borrowing. The discount rate is calculated as an average of the current yield on our unsecured notes payable and 140 basis points in excess of the current five year LIBOR swap rate. As of June 30, 2019 the weighted-average discount rate used to determine our operating lease liability was 4.37%.</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separate lease components from non-lease components for any of our right-of-use assets.</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lease costs are included in Other operating expenses on the Condensed Consolidated Statements of Income and were $36 million and $73 million for the three and six-month periods ended June 30, 2019, respectively. We do not have any material short term lease costs, variable lease costs, or sublease income.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payments under operating lease arrangements accounted for under ASC Topic 842 as of June 30, 2019 are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lease payments, undiscounted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r>
      <w:tr>
        <w:trPr>
          <w:trHeight w:val="237"/>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liability, at present value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10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payments under operating lease arrangements accounted for under ASC Topic 840 as of December 31, 2018 are as follows (in millions):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I. Supplemental Cash Flow Information</w:t>
      </w:r>
      <w:r>
        <w:rPr>
          <w:rFonts w:ascii="Times New Roman" w:cs="Times New Roman" w:eastAsia="Times New Roman" w:hAnsi="Times New Roman"/>
          <w:sz w:val="18"/>
          <w:szCs w:val="18"/>
          <w:color w:val="auto"/>
        </w:rPr>
        <w:t xml:space="preserve"> for certain information on noncash investing and financing activities related to our operating lease arrangements.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the risk that the necessary regulatory approvals for the Stewart Merger may not be obtained or may be obtained subject to conditions that are not anticipated and which may require the Company to pay Stewart a reverse termination fee of $50 million; risks that any of the closing conditions to the proposed Stewart Merger may not be satisfied in a timely manner; the risk that our and Stewart's businesses will not be integrated successfully, that such integration may be more difficult, time-consuming or more costly than expected or that the expected benefits of the Stewart Merger will not be realized; and other risks detailed in the “Statement Regarding Forward-Looking Information,” “Risk Factors” and other sections of our Annual Report on Form 10-K (our "Annual Report") for the year ended December 31, 2018 and other filings with the SEC.</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which includes sales, mortgage financing and mortgage refinancing.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Declines in the level of real estate activity or the average price of real estate sales will adversely affect our title insurance revenues.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18, 2019, the Mortgage Bankers Association ("MBA") estimated (actual for fiscal year 2018) the size of the U.S. mortgage originations market as shown in the following table for 2018 - 2021 in its "Mortgage Finance Forecast" (in trillions):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In 2018, average interest rates on 30-year, fixed-rate mortgages in the U.S. rose from approximately 4.0% to 4.9% through October, representing an increase of 22%, before retreating to 4.55% in the last week of December according to mortgage buyer Freddie Mac. As a result of the overall upward trend in rates, refinance transactions decreased in both 2017 and 2018 from the historically high levels experienced in preceding years. Existing home sales increased through 2017 and began leveling out in the first half, and decreasing in the second half, of 2018. Coupled with stagnant levels of new home construction over the same time period, the result has been a decline in total housing inventory and increase in average home prices, albeit with decreasing magnitude toward the end of 2018. Through the first half of 2019, mortgage interest rates continued to decline to an average of 3.80% in June 2019.</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combination of reduced housing inventory, increasing mortgage interest rates (through 2018) and increasing home prices led the MBA to lower mortgage origination forecasts for 2019 and beyond during the second half of 2018. Market volatility and the shift in mortgage interest rates in late 2018 and through the first half of 2019 have created uncertainty in forecasts of future mortgage interest rates and originations. As a result, the U.S. Federal Reserve has held the target federal funds rate steady in 2019 and indicated it may reduce the target rate if economic conditions deteriorate. After accounting for the decrease in the first half of 2019, the MBA expects mortgage interest rates to remain flat in 2019. The decrease in market interest rates through the first half of 2019 has begun to impact the volume of residential refinance transactions in the second quarter of 2019. See further discussion in the following Results of Operations section. The MBA predicts overall mortgage originations in 2019 through 2021 will remain relatively flat compared to the 2018 period and rates will return to a gradual upward trend.</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and consumer confidence, have continued to indicate the U.S. economy remains on strong footing. According to the U.S. Department of Labor's Bureau of Labor, the unemployment rate was at a historically low 3.7% in June 2019. Additionally, the Conference Board's monthly Consumer Confidence Index has remained at historically high levels through the second quarter of 2019, despite a slight drop from late 2018 highs. Toward the end of the fiscal year of 2018 and into 2019, there has been increased global economic uncertainty and stock market volatility. Such market uncertainty could ultimately impact U.S. real estate markets if they continue to worsen. We believe continued strong readings in domestic U.S. economic indicators present potential tailwinds for mortgage originations, despite growing risks from global economic uncertainties.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how the effects of a generally strong U.S. economy, flat mortgage interest rates and global economic uncertainty will impact mortgage originations and our future results of operations from our residential business. We continually monitor mortgage origination trends and believe that, based on our ability to produce industry leading operating margins through all economic cycles, we are well positioned to adjust our operations for adverse changes in real estate activity.</w:t>
      </w:r>
    </w:p>
    <w:p>
      <w:pPr>
        <w:spacing w:after="0" w:line="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Conversely, gradual increases in the Fed Funds Rate through the end of 2018 and the shift in late 2017 by the U.S. Federal Reserve to unwind its balance sheet are generally expected to adversely impact availability of financing by decreasing the overall money supply. In recent years, we have continued to experience strong demand in commercial real estate markets and from 2015 through the first half of 2019, we experienced historically high volumes and fee-per-file in our commercial business.</w:t>
      </w:r>
    </w:p>
    <w:p>
      <w:pPr>
        <w:spacing w:after="0" w:line="5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1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1,071</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1,296</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1,383</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3,816</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1,272</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929</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3,414</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 and equity in earnings of unconsolidated affiliates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revenues increased by $21 million in the three months ended June 30, 2019 and increased $50 million in the six months ended June 30, 2019 compared to the corresponding periods in 2018.</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earnings increased by $16 million in the three months ended June 30, 2019 and increased $124 million in the six months ended June 30, 2019 compared to the corresponding periods in 2018.</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 and net earnings from our reportable segments is discussed in further detail at the segment level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w:t>
      </w:r>
    </w:p>
    <w:p>
      <w:pPr>
        <w:sectPr>
          <w:pgSz w:w="11900" w:h="16838" w:orient="portrait"/>
          <w:cols w:equalWidth="0" w:num="1">
            <w:col w:w="11420"/>
          </w:cols>
          <w:pgMar w:left="240" w:top="11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ServiceLink product offerings and other title-related products, postage and courier services, computer services, professional services, travel expenses, general insurance, and bad debt expense on our trade and notes receivable.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was $86 million and $22 million in the three-month periods ended June 30, 2019 and 2018, respectively, and $151 million and $53 million in the six-month periods ended June 30, 2019 and 2018, respectively. Income tax expense as a percentage of earnings before income taxes was 24% and 8% in the three-month periods ended June 30, 2019 and 2018, respectively, and 24% and 13% in the six- month periods ended June 30, 2019 and 2018, respectively. The increase in income tax expense as a percentage of earnings before taxes in the 2019 periods from the comparable periods in 2018 was primarily attributable to a change in tax estimate in the three months ended June 30, 2018 relating to the timing of payments for, and tax rate applicable to, our tax liability resulting from the decrease in statutory premium reserve associated with the redomestication of certain of our title underwriters.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0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6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05"/>
        </w:trPr>
        <w:tc>
          <w:tcPr>
            <w:tcW w:w="62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 equity in earnings of</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81"/>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28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opened by direct title operations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Orders closed by direct title operations (in thousands)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per file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revenues for the Title segment increased by $134 million, or 7%, in the three months ended June 30, 2019 and increased by $207 million, or 6%, in the six months ended June 30, 2019 from the corresponding periods in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Borders>
              <w:bottom w:val="single" w:sz="8" w:color="auto"/>
            </w:tcBorders>
          </w:tcPr>
          <w:p>
            <w:pPr>
              <w:spacing w:after="0"/>
              <w:rPr>
                <w:sz w:val="16"/>
                <w:szCs w:val="16"/>
                <w:color w:val="auto"/>
              </w:rPr>
            </w:pPr>
          </w:p>
        </w:tc>
      </w:tr>
      <w:tr>
        <w:trPr>
          <w:trHeight w:val="259"/>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40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21"/>
                <w:szCs w:val="21"/>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1"/>
                <w:szCs w:val="21"/>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title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Title premiums increased by 4% in the three months ended June 30, 2019 as compared to the corresponding period in 2018. The increase is comprised of an increase in Title premiums from direct operations of $26 million, or 4%, and an increase in Title premiums from agency operations of $22 million, or 3%.</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premiums increased by less than 1% in the six months ended June 30, 2019 as compared to the corresponding period in 2018. The increase is comprised of an increase in Title premiums from agency operations of $10 million, or 1%, partially offset by a decrease in Title premiums from direct operations of $6 million, or 1%.</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28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2"/>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purchase transactions (1)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refinance transactions (1)</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purchase transactions (1)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refinance transactions (1)</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months ended June 30, 2019 and decreased in the six months ended June 30, 2019, as compared to the corresponding periods in 2018. The increase in the three-month period is primarily attributable to an increase in the fee per file, partially offset by a decrease in closed order volumes. The decrease in the six-month period is primarily attributable to a decrease in closed order volumes, partially offset by an increase in the fee per file.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experienced a decrease in closed title insurance order volumes from purchase transactions and an increase in closed title insurance order volumes from refinance transactions in the three and six months ended June 30, 2019 as compared to the corresponding periods in 2018. Total closed order volumes were 359,000 in the three months ended June 30, 2019 compared to 362,000 in the three months ended June 30, 2018 and 622,000 in the six months ended June 30, 2019 compared to 675,000 in the six months ended June 30, 2018. This represented an overall decrease of 1% and 8% in the three and six months ended June 30, 2019 from the corresponding periods in 2018.</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open title insurance order volumes increased in the three months ended June 30, 2019 and decreased slightly in the six months ended June 30, 2019 as compared to the corresponding periods in 2018. The increase in the three- month period was primarily attributable to increased open title orders from refinance transactions, partially offset by a decrease in open title orders from purchase transactions.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average fee per file in our direct operations was $2,677 and $2,630 in the three and six months ended June 30, 2019, respectively, compared to $2,579 and $2,470 in the three and six months ended June 30, 2018, respectively. The increase in average fee per file reflects a stronger commercial market and a favorable increase in average property prices of underlying transactions, partially offset by an increased proportion of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premiums from agency operations increased $22 million, or 3%, in the three months ended June 30, 2019 and increased $10 million, or 1%, in the six months ended June 30, 2019 from the corresponding periods in 2018. The increase was directionally consistent with the trend in title premiums from direct operations and is further impacted by changes in underlying real estate activity in the geographic regions in which the independent agents operate.</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Escrow, title-related and other fees increased by $13 million, or 2%, in the three months ended June 30, 2019 and decreased $22 million, or 2%, in the six months ended June 30, 2019 from the corresponding periods in 2018. Escrow fees, which are more closely related to our direct operations, increased by $3 million, or 1%, in the three months ended June 30, 2019 and decreased by $16 million or 4% in the six months ended June 30, 2019 as compared to the corresponding periods in 2018. The increase in the three-month period and decrease in the six-month period are directionally consistent with the change in title premiums from direct operations, albeit to a lesser magnitude resulting from a higher proportion of commercial transactions in the 2019 periods. Other fees in the Title segment, excluding escrow fees, increased by $11 million or 3% in the three months ended June 30, 2019 and decreased by $7 million, or 1%, in the six months ended June 30, 2019 compared to the corresponding periods in 2018. The changes in Other fees were driven by various individually immaterial items.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increased by $11 million in the three months ended June 30, 2019 and increased $22 million in the six months ended June 20, 2019 compared to the corresponding periods in 2018. The increase was primarily driven by the impact of increased market interest rates on the cash and investment portfolio and float income on tax-deferred property exchange businesses as well as an increase in average fixed maturity holdings period over period.</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Realized gains and losses, net, increased $62 million in the three months ended June 30, 2019 and increased $203 million in the six months ended June 30, 2019 from the comparable periods in 2018. The increase is primarily attributable to increased non-cash valuation gains on our equity and preferred security holdings.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$20 million, or 3%, in the three months ended June 30, 2019 and decreased $8 million, or 1%, in the six months ended June 30, 2019 compared to the corresponding periods in 2018. The increase in the three-month period is primarily attributable to increased headcount driven by the increase in open title order volumes in the 2019 period. The decrease in the six-month period is primarily attributable to lower average headcount resulting from the decrease in title order volumes year over year. Personnel costs as a percentage of total revenues from direct title premiums and escrow, title-related and other fees were 53% for the three-month periods ended June 30, 2019 and 2018, respectively, and 56% and 55% in the six month-period ended June 30, 2019 and 2018, respectively. Average employee count in the Title segment was 23,255 and 23,344 in the three-month periods ended June 30, 2019 and 2018, respectively, and 22,712 and 23,177 in the six-month periods ended June 30, 2019 and 2018, respectively.</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increased by $7 million, or 2%, in the three months ended June 30, 2019 and decreased $8 million, or 1%, in the six months ended June 30, 2019 from the corresponding periods in 2018. Other operating expenses as a percentage of total revenue excluding agency premiums, interest and investment income, and realized gains and losses were 30% and 31% in the three months ended June 30, 2019 and 2018, respectively, and 32% in the six months ended June 30, 2019 and 2018, respectively.</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have remained relatively consistent since 2018: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claim loss provision for title insurance was $62 million and $60 million for the three-month periods ended June 30, 2019 and 2018, respectively, and $107 million in the six-month periods ended June 30, 2019 and 2018,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 policies, but due to development of prior years and our long claim duration, it periodically includes amounts of estimated adverse or positive development on prior years'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September 24, 2018, we closed on the sale of Pacific Union, a real estate brokerage. The results of operations of Pacific Union are included through the date of sale.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Corporate and Other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26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0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6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 income taxes and equity in earnings of</w:t>
            </w: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1"/>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revenues in the Corporate and Other segment decreased $113 million, or 68%, in the three-month period ended June 30, 2019 and decreased $157 million, or 59%, in the six-month period ended June 30, 2019 from the corresponding periods in 2018. The decrease is primarily attributable to the sale of Pacific Union, partially offset by increased revenue associated with the valuation of deferred compensation assets.</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Personnel costs in the Corporate and Other segment were flat in the three-month period ended June 30, 2019 and increased $13 million, or 22%, in the six-month period ended June 30, 2019 from the corresponding periods in 2018. The increase in the six month period ended June 30, 2019 is primarily attributable to increased expense associated with the aforementioned increase in the valuation of deferred compensation plan assets and increased costs resulting from growth of our real estate technology subsidiaries, partially offset by our sale of Pacific Union.</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decreased $104 million, or 74%, in the three-month period ended June 30, 2019 and decreased $168 million, or 72%, in the six-month period ended June 30, 2019 from the corresponding periods in 2018. The decrease is primarily attributable to our sale of Pacific Union.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$0.31 per share in the second quarter of 2019, or approximately $85 million to our FNF common shareholders. On July 16, 2019, our Board of Directors declared cash dividends of $0.31 per share, payable on September 30, 2019, to FNF common shareholders of record as of September 16, 2019.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ectPr>
          <w:pgSz w:w="11900" w:h="16838" w:orient="portrait"/>
          <w:cols w:equalWidth="0" w:num="1">
            <w:col w:w="11420"/>
          </w:cols>
          <w:pgMar w:left="240" w:top="11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2019, we had cash and cash equivalents of $1,605 million, short term investments of $314 million and available capacity under our Revolving Credit Facility of $800 million. 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2018, $1,518 million of our net assets were restricted from dividend payments without prior approval from the relevant departments of insurance. We anticipate that our title insurance subsidiaries will pay or make dividends in the remainder of 2019 of approximately $258 million. Our underwritten title companies and non-insurance subsidiaries are not regulated to the same extent as our insurance subsidiaries.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six months ended June 30, 2019 and 2018 totaled $372 million and $350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cash provided by operating activities of $22 million is primarily attributable to the increase in pre-tax earnings and timing of receipt and payment of prepaid assets, receivables and payables, partially offset by increased payments for income taxes.</w:t>
      </w:r>
    </w:p>
    <w:p>
      <w:pPr>
        <w:spacing w:after="0" w:line="17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provided by investing activities for the six months ended June 30, 2019 and 2018 were $120 million and $54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cash provided by investing activities of $66 million in the 2019 period compared to the 2018 period is primarily attributable to a $90 million increase in net cash inflow from sales of investments and distributions of and from equity and fixed income investments, net of purchases of investments and additional investments in unconsolidated investees, partially offset by the inclusion of $21 million of proceeds from the sale of property in the 2018 period.</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$47 million and $39 million for the six-month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ended June 30, 2019 and 2018, respectively.</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financing activities for the six months ended June 30, 2019 and 2018 were $144 million and $194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in cash used in financing activities of $50 million from the 2019 period to the 2018 period is primarily attributable to $88 million of repayments of debt in the 2018 period and a $23 million increase in the change in secured trust deposits in the 2019 period, partially offset by purchases of treasury stock in the 2019 period.</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E.</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1 of Part 1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by reference into this Item 2 of Part I.</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There have been no significant changes to our long-term contractual obligations since our Annual Report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July 17, 2018, our Board of Directors approved a new three-year stock repurchase program effective August 1, 2018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Repurchase Program") under which we may purchase up to 25 million shares of our FNF common stock through July 31, 2021. We may make repurchases from time to time in the open market, in block purchases or in</w:t>
      </w:r>
    </w:p>
    <w:p>
      <w:pPr>
        <w:sectPr>
          <w:pgSz w:w="11900" w:h="16838" w:orient="portrait"/>
          <w:cols w:equalWidth="0" w:num="1">
            <w:col w:w="11420"/>
          </w:cols>
          <w:pgMar w:left="240" w:top="117"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privately negotiated transactions, depending on market conditions and other factors. We repurchased 1,230,000 shares of FNF common stock during the six months ended June 30, 2019 for approximately $46 million, or an average of $37.53 per share. Subsequent to June 30, 2019 through market close on July 16, 2019, we purchased 30,000 additional shares for $1 million, or an average of $40.65 per share. Since the original commencement of the 2018 Repurchase Program through market close on July 16, 2019, we repurchased a total of 1,920,000 FNF common shares for $69 million, or an average of $35.80 per share.</w:t>
      </w:r>
    </w:p>
    <w:p>
      <w:pPr>
        <w:spacing w:after="0" w:line="17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inclusion of operating lease arrangements on the balance sheet, further discussed below,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to our off-balance sheet arrangements since our Annual Report for the year ended December 31,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our adoption of ASC Topic 842 as further described in Notes A and K to our Condensed Consolidated Financial Statements included in Item 1 of Part 1 of this Quarterly Report which is incorporated by reference into this Item 2 of Part I, there have been no material changes to our critical accounting policies described in our Annual Report for the year ended December 31,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 and Contingencies</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Item 1 of Part II.</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June 30, 2019:</w:t>
      </w:r>
    </w:p>
    <w:p>
      <w:pPr>
        <w:spacing w:after="0" w:line="23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0" w:type="dxa"/>
            <w:vAlign w:val="bottom"/>
          </w:tcPr>
          <w:p>
            <w:pPr>
              <w:spacing w:after="0"/>
              <w:rPr>
                <w:sz w:val="1"/>
                <w:szCs w:val="1"/>
                <w:color w:val="auto"/>
              </w:rPr>
            </w:pPr>
          </w:p>
        </w:tc>
      </w:tr>
      <w:tr>
        <w:trPr>
          <w:trHeight w:val="190"/>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60"/>
        <w:spacing w:after="0" w:line="237" w:lineRule="auto"/>
        <w:rPr>
          <w:sz w:val="20"/>
          <w:szCs w:val="20"/>
          <w:color w:val="auto"/>
        </w:rPr>
      </w:pPr>
      <w:r>
        <w:rPr>
          <w:rFonts w:ascii="Times New Roman" w:cs="Times New Roman" w:eastAsia="Times New Roman" w:hAnsi="Times New Roman"/>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60" w:space="240"/>
            <w:col w:w="1920"/>
          </w:cols>
          <w:pgMar w:left="240" w:top="117" w:right="239" w:bottom="1440" w:gutter="0" w:footer="0" w:header="0"/>
          <w:type w:val="continuous"/>
        </w:sectPr>
      </w:pPr>
    </w:p>
    <w:tbl>
      <w:tblPr>
        <w:tblLayout w:type="fixed"/>
        <w:tblInd w:w="260" w:type="dxa"/>
        <w:tblCellMar>
          <w:top w:w="0" w:type="dxa"/>
          <w:left w:w="0" w:type="dxa"/>
          <w:bottom w:w="0" w:type="dxa"/>
          <w:right w:w="0" w:type="dxa"/>
        </w:tblCellMar>
      </w:tblPr>
      <w:tr>
        <w:trPr>
          <w:trHeight w:val="254"/>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4/1/2019 - 4/30/2019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23,740,000</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5/1/2019 - 5/31/2019</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23,410,000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6/1/2019 - 6/30/2019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23,110,000</w:t>
            </w:r>
          </w:p>
        </w:tc>
      </w:tr>
      <w:tr>
        <w:trPr>
          <w:trHeight w:val="23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720,000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2" w:lineRule="exact"/>
        <w:rPr>
          <w:sz w:val="20"/>
          <w:szCs w:val="20"/>
          <w:color w:val="auto"/>
        </w:rPr>
      </w:pPr>
    </w:p>
    <w:p>
      <w:pPr>
        <w:ind w:left="98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-453390</wp:posOffset>
            </wp:positionV>
            <wp:extent cx="3215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5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Exhibits:</w:t>
            </w:r>
          </w:p>
        </w:tc>
        <w:tc>
          <w:tcPr>
            <w:tcW w:w="15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7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37">
              <w:r>
                <w:rPr>
                  <w:rFonts w:ascii="Times New Roman" w:cs="Times New Roman" w:eastAsia="Times New Roman" w:hAnsi="Times New Roman"/>
                  <w:sz w:val="18"/>
                  <w:szCs w:val="18"/>
                  <w:color w:val="0000FF"/>
                  <w:w w:val="99"/>
                </w:rPr>
                <w:t>Certification of Chief Executive Officer pursuant to Section 302 of the Sarbanes-Oxley Act of 2002.</w:t>
              </w:r>
            </w:hyperlink>
          </w:p>
        </w:tc>
        <w:tc>
          <w:tcPr>
            <w:tcW w:w="2620" w:type="dxa"/>
            <w:vAlign w:val="bottom"/>
          </w:tcPr>
          <w:p>
            <w:pPr>
              <w:spacing w:after="0"/>
              <w:rPr>
                <w:sz w:val="24"/>
                <w:szCs w:val="24"/>
                <w:color w:val="auto"/>
              </w:rPr>
            </w:pPr>
          </w:p>
        </w:tc>
      </w:tr>
      <w:tr>
        <w:trPr>
          <w:trHeight w:val="520"/>
        </w:trPr>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9860" w:type="dxa"/>
            <w:vAlign w:val="bottom"/>
            <w:gridSpan w:val="4"/>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Certification of Chief Financial Officer pursuant to 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520"/>
        </w:trPr>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98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hyperlink>
          </w:p>
        </w:tc>
      </w:tr>
      <w:tr>
        <w:trPr>
          <w:trHeight w:val="196"/>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gridSpan w:val="4"/>
          </w:tcPr>
          <w:p>
            <w:pPr>
              <w:spacing w:after="0" w:line="196"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U.S.C. Section 1350.</w:t>
              </w:r>
            </w:hyperlink>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r>
      <w:tr>
        <w:trPr>
          <w:trHeight w:val="520"/>
        </w:trPr>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98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hyperlink>
          </w:p>
        </w:tc>
      </w:tr>
      <w:tr>
        <w:trPr>
          <w:trHeight w:val="196"/>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gridSpan w:val="4"/>
          </w:tcPr>
          <w:p>
            <w:pPr>
              <w:spacing w:after="0" w:line="196" w:lineRule="exact"/>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U.S.C. Section 1350.</w:t>
              </w:r>
            </w:hyperlink>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1520" w:hanging="1127"/>
        <w:spacing w:after="0" w:line="258"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Fidelity National Financial, Inc.'s Quarterly Report on Form 10-Q for the quarter and six months ended June 30, 2019,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08"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2019</w:t>
            </w:r>
          </w:p>
        </w:tc>
        <w:tc>
          <w:tcPr>
            <w:tcW w:w="65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FIDELITY NATIONAL FINANCIAL, INC.</w:t>
            </w:r>
          </w:p>
        </w:tc>
      </w:tr>
      <w:tr>
        <w:trPr>
          <w:trHeight w:val="234"/>
        </w:trPr>
        <w:tc>
          <w:tcPr>
            <w:tcW w:w="3200" w:type="dxa"/>
            <w:vAlign w:val="bottom"/>
          </w:tcPr>
          <w:p>
            <w:pPr>
              <w:spacing w:after="0"/>
              <w:rPr>
                <w:sz w:val="20"/>
                <w:szCs w:val="20"/>
                <w:color w:val="auto"/>
              </w:rPr>
            </w:pPr>
          </w:p>
        </w:tc>
        <w:tc>
          <w:tcPr>
            <w:tcW w:w="65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(registrant)</w:t>
            </w:r>
          </w:p>
        </w:tc>
      </w:tr>
      <w:tr>
        <w:trPr>
          <w:trHeight w:val="486"/>
        </w:trPr>
        <w:tc>
          <w:tcPr>
            <w:tcW w:w="3200" w:type="dxa"/>
            <w:vAlign w:val="bottom"/>
          </w:tcPr>
          <w:p>
            <w:pPr>
              <w:spacing w:after="0"/>
              <w:rPr>
                <w:sz w:val="24"/>
                <w:szCs w:val="24"/>
                <w:color w:val="auto"/>
              </w:rPr>
            </w:pPr>
          </w:p>
        </w:tc>
        <w:tc>
          <w:tcPr>
            <w:tcW w:w="65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tc>
      </w:tr>
      <w:tr>
        <w:trPr>
          <w:trHeight w:val="27"/>
        </w:trPr>
        <w:tc>
          <w:tcPr>
            <w:tcW w:w="3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Anthony J. Park</w:t>
            </w:r>
          </w:p>
        </w:tc>
      </w:tr>
      <w:tr>
        <w:trPr>
          <w:trHeight w:val="252"/>
        </w:trPr>
        <w:tc>
          <w:tcPr>
            <w:tcW w:w="32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02"/>
        </w:trPr>
        <w:tc>
          <w:tcPr>
            <w:tcW w:w="3200" w:type="dxa"/>
            <w:vAlign w:val="bottom"/>
          </w:tcPr>
          <w:p>
            <w:pPr>
              <w:spacing w:after="0"/>
              <w:rPr>
                <w:sz w:val="24"/>
                <w:szCs w:val="24"/>
                <w:color w:val="auto"/>
              </w:rPr>
            </w:pP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17" w:right="2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R. Quirk, certify that:</w:t>
      </w:r>
    </w:p>
    <w:p>
      <w:pPr>
        <w:spacing w:after="0" w:line="153"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2019</w:t>
      </w:r>
    </w:p>
    <w:p>
      <w:pPr>
        <w:spacing w:after="0" w:line="171"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53"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2019</w:t>
      </w:r>
    </w:p>
    <w:p>
      <w:pPr>
        <w:spacing w:after="0" w:line="333"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Anthony J. Park</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62" w:lineRule="exact"/>
        <w:rPr>
          <w:sz w:val="20"/>
          <w:szCs w:val="20"/>
          <w:color w:val="auto"/>
        </w:rPr>
      </w:pPr>
    </w:p>
    <w:p>
      <w:pPr>
        <w:ind w:right="1760" w:firstLine="225"/>
        <w:spacing w:after="0" w:line="470" w:lineRule="auto"/>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 Date: July 23, 2019</w:t>
      </w:r>
    </w:p>
    <w:p>
      <w:pPr>
        <w:spacing w:after="0" w:line="108"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34290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62" w:lineRule="exact"/>
        <w:rPr>
          <w:sz w:val="20"/>
          <w:szCs w:val="20"/>
          <w:color w:val="auto"/>
        </w:rPr>
      </w:pPr>
    </w:p>
    <w:p>
      <w:pPr>
        <w:ind w:right="1760" w:firstLine="225"/>
        <w:spacing w:after="0" w:line="470" w:lineRule="auto"/>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 Date: July 23, 2019</w:t>
      </w:r>
    </w:p>
    <w:p>
      <w:pPr>
        <w:spacing w:after="0" w:line="108"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274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2019-12-28T10:17:13Z</dcterms:created>
  <dcterms:modified xsi:type="dcterms:W3CDTF">2019-12-28T10:17:13Z</dcterms:modified>
</cp:coreProperties>
</file>