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ind w:left="2320" w:right="1080" w:hanging="1144"/>
        <w:spacing w:after="0" w:line="266"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ind w:left="39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820" w:val="left"/>
          <w:tab w:leader="none" w:pos="4960" w:val="left"/>
          <w:tab w:leader="none" w:pos="70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reporting company)</w:t>
      </w:r>
    </w:p>
    <w:p>
      <w:pPr>
        <w:spacing w:after="0" w:line="157" w:lineRule="exact"/>
        <w:rPr>
          <w:sz w:val="24"/>
          <w:szCs w:val="24"/>
          <w:color w:val="auto"/>
        </w:rPr>
      </w:pPr>
    </w:p>
    <w:p>
      <w:pPr>
        <w:jc w:val="both"/>
        <w:ind w:right="20"/>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April 30, 2017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8"/>
              </w:rPr>
              <w:t>FNF Group Common Stock</w:t>
            </w:r>
          </w:p>
        </w:tc>
        <w:tc>
          <w:tcPr>
            <w:tcW w:w="9260" w:type="dxa"/>
            <w:vAlign w:val="bottom"/>
          </w:tcPr>
          <w:p>
            <w:pPr>
              <w:jc w:val="right"/>
              <w:ind w:right="8230"/>
              <w:spacing w:after="0"/>
              <w:rPr>
                <w:sz w:val="20"/>
                <w:szCs w:val="20"/>
                <w:color w:val="auto"/>
              </w:rPr>
            </w:pPr>
            <w:r>
              <w:rPr>
                <w:rFonts w:ascii="Arial" w:cs="Arial" w:eastAsia="Arial" w:hAnsi="Arial"/>
                <w:sz w:val="18"/>
                <w:szCs w:val="18"/>
                <w:color w:val="auto"/>
                <w:w w:val="91"/>
              </w:rPr>
              <w:t>272,294,694</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2"/>
              </w:rPr>
              <w:t>FNFV Group Common Stock</w:t>
            </w:r>
          </w:p>
        </w:tc>
        <w:tc>
          <w:tcPr>
            <w:tcW w:w="9260" w:type="dxa"/>
            <w:vAlign w:val="bottom"/>
          </w:tcPr>
          <w:p>
            <w:pPr>
              <w:jc w:val="right"/>
              <w:ind w:right="8150"/>
              <w:spacing w:after="0"/>
              <w:rPr>
                <w:sz w:val="20"/>
                <w:szCs w:val="20"/>
                <w:color w:val="auto"/>
              </w:rPr>
            </w:pPr>
            <w:r>
              <w:rPr>
                <w:rFonts w:ascii="Arial" w:cs="Arial" w:eastAsia="Arial" w:hAnsi="Arial"/>
                <w:sz w:val="18"/>
                <w:szCs w:val="18"/>
                <w:color w:val="auto"/>
              </w:rPr>
              <w:t>66,416,822</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31,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6"/>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March 31, 2017 and December 31,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Earnings for the three-month periods ended March 31, 2017 and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 Condensed Consolidated Statements of Comprehensive Earnings for the three-month periods ended March 31, 2017 and 2016</w:t>
              </w:r>
            </w:hyperlink>
          </w:p>
        </w:tc>
        <w:tc>
          <w:tcPr>
            <w:tcW w:w="4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 of Equity for the three-month period ended March 31,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8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E. Condensed Consolidated Statements of Cash Flows for the three-month periods ended March 31, 2017 and 2016</w:t>
              </w:r>
            </w:hyperlink>
          </w:p>
        </w:tc>
        <w:tc>
          <w:tcPr>
            <w:tcW w:w="142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1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F. Notes to Condensed Consolidated Financial Statements</w:t>
              </w:r>
            </w:hyperlink>
          </w:p>
        </w:tc>
        <w:tc>
          <w:tcPr>
            <w:tcW w:w="5560" w:type="dxa"/>
            <w:vAlign w:val="bottom"/>
            <w:gridSpan w:val="9"/>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9"/>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4.</w:t>
              </w:r>
            </w:hyperlink>
          </w:p>
        </w:tc>
        <w:tc>
          <w:tcPr>
            <w:tcW w:w="4320" w:type="dxa"/>
            <w:vAlign w:val="bottom"/>
            <w:gridSpan w:val="8"/>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1.</w:t>
              </w:r>
            </w:hyperlink>
          </w:p>
        </w:tc>
        <w:tc>
          <w:tcPr>
            <w:tcW w:w="1360" w:type="dxa"/>
            <w:vAlign w:val="bottom"/>
            <w:tcBorders>
              <w:top w:val="single" w:sz="8" w:color="0000FF"/>
            </w:tcBorders>
            <w:gridSpan w:val="2"/>
          </w:tcPr>
          <w:p>
            <w:pPr>
              <w:ind w:left="20"/>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2.</w:t>
              </w:r>
            </w:hyperlink>
          </w:p>
        </w:tc>
        <w:tc>
          <w:tcPr>
            <w:tcW w:w="4380" w:type="dxa"/>
            <w:vAlign w:val="bottom"/>
            <w:gridSpan w:val="9"/>
          </w:tcPr>
          <w:p>
            <w:pPr>
              <w:ind w:left="2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6.</w:t>
              </w:r>
            </w:hyperlink>
          </w:p>
        </w:tc>
        <w:tc>
          <w:tcPr>
            <w:tcW w:w="4380" w:type="dxa"/>
            <w:vAlign w:val="bottom"/>
            <w:gridSpan w:val="9"/>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4"/>
              </w:rPr>
              <w:t>Fixed maturity securities available for sale, at fair value, at March 31, 2017 and December 31, 2016 includes pledged fixed maturity</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securities of $362 and $332, respectively, related to secured trust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8"/>
              </w:rPr>
              <w:t>Short-term investments, at March 31, 2017 and December 31, 2016 includes pledged short-term investments of $3 and $212,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respectively, related to secured trust deposits</w:t>
            </w:r>
          </w:p>
        </w:tc>
        <w:tc>
          <w:tcPr>
            <w:tcW w:w="1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4,284</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2"/>
              </w:rPr>
              <w:t>Cash and cash equivalents, at March 31, 2017 and December 31, 2016 includes $398 and $331, respectively, of pledged cash related to</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secured trust deposits</w:t>
            </w:r>
          </w:p>
        </w:tc>
        <w:tc>
          <w:tcPr>
            <w:tcW w:w="1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$24 and $26, at March 31, 2017 and December 31, 2016,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5,085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5,065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Capitalized software, net</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14,178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14,463</w:t>
            </w:r>
          </w:p>
        </w:tc>
        <w:tc>
          <w:tcPr>
            <w:tcW w:w="0" w:type="dxa"/>
            <w:vAlign w:val="bottom"/>
          </w:tcPr>
          <w:p>
            <w:pPr>
              <w:spacing w:after="0"/>
              <w:rPr>
                <w:sz w:val="1"/>
                <w:szCs w:val="1"/>
                <w:color w:val="auto"/>
              </w:rPr>
            </w:pPr>
          </w:p>
        </w:tc>
      </w:tr>
      <w:tr>
        <w:trPr>
          <w:trHeight w:val="163"/>
        </w:trPr>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60" w:type="dxa"/>
            <w:vAlign w:val="bottom"/>
            <w:shd w:val="clear" w:color="auto" w:fill="CCEEFF"/>
          </w:tcPr>
          <w:p>
            <w:pPr>
              <w:jc w:val="center"/>
              <w:ind w:left="980"/>
              <w:spacing w:after="0" w:line="151" w:lineRule="exact"/>
              <w:rPr>
                <w:sz w:val="20"/>
                <w:szCs w:val="20"/>
                <w:color w:val="auto"/>
              </w:rPr>
            </w:pPr>
            <w:r>
              <w:rPr>
                <w:rFonts w:ascii="Arial" w:cs="Arial" w:eastAsia="Arial" w:hAnsi="Arial"/>
                <w:sz w:val="14"/>
                <w:szCs w:val="14"/>
                <w:b w:val="1"/>
                <w:bCs w:val="1"/>
                <w:color w:val="auto"/>
              </w:rPr>
              <w:t>LIABILITIES AND EQUITY</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Notes payable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2,722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Reserve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Secured trust deposits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7,221</w:t>
            </w:r>
          </w:p>
        </w:tc>
        <w:tc>
          <w:tcPr>
            <w:tcW w:w="0" w:type="dxa"/>
            <w:vAlign w:val="bottom"/>
          </w:tcPr>
          <w:p>
            <w:pPr>
              <w:spacing w:after="0"/>
              <w:rPr>
                <w:sz w:val="1"/>
                <w:szCs w:val="1"/>
                <w:color w:val="auto"/>
              </w:rPr>
            </w:pPr>
          </w:p>
        </w:tc>
      </w:tr>
      <w:tr>
        <w:trPr>
          <w:trHeight w:val="231"/>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8"/>
              </w:rPr>
              <w:t>FNF Group common stock, $0.0001 par value; authorized 487,000,000 shares as of March 31, 2017 and December 31, 2016;</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2"/>
              </w:rPr>
              <w:t>outstanding of 272,248,544 and 272,205,261 as of March 31, 2017 and December 31, 2016, respectively, and issued of 285,086,230</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and 285,041,900 as of March 31, 2017 and December 31, 2016,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2"/>
              </w:rPr>
              <w:t>FNFV Group common stock, $0.0001 par value, authorized 113,000,000 shares, outstanding of 66,416,822 and issued of 80,581,675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as of March 31, 2017 and December 31, 2016</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4,803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4,848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earnings (loss)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treasury stock, 27,002,539 shares as of March 31, 2017 and 27,001,492 shares as of December 31, 2016, at cost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5,979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6,890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6,898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14,463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287"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287"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per share data)</w:t>
      </w:r>
    </w:p>
    <w:p>
      <w:pPr>
        <w:spacing w:after="0" w:line="186"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Escrow, title-related and other fees</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972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losses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equity in losses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earnings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09"/>
        </w:trPr>
        <w:tc>
          <w:tcPr>
            <w:tcW w:w="9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FNFV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 per share FNF Group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3780"/>
              <w:spacing w:after="0"/>
              <w:rPr>
                <w:sz w:val="20"/>
                <w:szCs w:val="20"/>
                <w:color w:val="auto"/>
              </w:rPr>
            </w:pPr>
            <w:r>
              <w:rPr>
                <w:rFonts w:ascii="Arial" w:cs="Arial" w:eastAsia="Arial" w:hAnsi="Arial"/>
                <w:sz w:val="16"/>
                <w:szCs w:val="16"/>
                <w:color w:val="auto"/>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7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07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386"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Unrealized gain on investments and other financial instruments, net (excluding investments in unconsolidated affiliates) (1)</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Unrealized gain on investments in unconsolidated affiliates (2)</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on foreign currency translation (3)</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Reclassification adjustments for change in unrealized gains and losses included in net earnings (4)</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earnings attributable to FNF Group common shareholders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1"/>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FNFV Group common shareholders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$8 million and $13 million for the three-month periods ended March 31, 2017 and 2016,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$4 million and $8 million for the three-month periods ended March 31, 2017 and 2016,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 million and $2 million for the three-month periods ended March 31, 2017 and 2016,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$2 million for the three-month period ended March 31, 2017.</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b w:val="1"/>
                <w:bCs w:val="1"/>
                <w:color w:val="auto"/>
                <w:w w:val="94"/>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92"/>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80"/>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4"/>
          </w:tcPr>
          <w:p>
            <w:pPr>
              <w:ind w:left="32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220" w:type="dxa"/>
            <w:vAlign w:val="bottom"/>
            <w:gridSpan w:val="4"/>
          </w:tcPr>
          <w:p>
            <w:pPr>
              <w:ind w:left="42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285</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560" w:type="dxa"/>
            <w:vAlign w:val="bottom"/>
          </w:tcPr>
          <w:p>
            <w:pPr>
              <w:ind w:left="32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6,898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4"/>
              </w:rPr>
              <w:t>unrealized gain (loss) on investments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and other financial instruments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Reclassification adjustments for</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7"/>
              </w:rPr>
              <w:t>change in unrealized gains included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 net earnings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Debt conversion settled in cash</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March 31, 2017</w:t>
            </w:r>
          </w:p>
        </w:tc>
        <w:tc>
          <w:tcPr>
            <w:tcW w:w="460" w:type="dxa"/>
            <w:vAlign w:val="bottom"/>
          </w:tcPr>
          <w:p>
            <w:pPr>
              <w:jc w:val="right"/>
              <w:spacing w:after="0"/>
              <w:rPr>
                <w:sz w:val="20"/>
                <w:szCs w:val="20"/>
                <w:color w:val="auto"/>
              </w:rPr>
            </w:pPr>
            <w:r>
              <w:rPr>
                <w:rFonts w:ascii="Arial" w:cs="Arial" w:eastAsia="Arial" w:hAnsi="Arial"/>
                <w:sz w:val="13"/>
                <w:szCs w:val="13"/>
                <w:color w:val="auto"/>
              </w:rPr>
              <w:t>285</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1"/>
                <w:szCs w:val="21"/>
                <w:color w:val="auto"/>
              </w:rPr>
            </w:pPr>
          </w:p>
        </w:tc>
        <w:tc>
          <w:tcPr>
            <w:tcW w:w="560" w:type="dxa"/>
            <w:vAlign w:val="bottom"/>
          </w:tcPr>
          <w:p>
            <w:pPr>
              <w:ind w:left="32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6,890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5"/>
              </w:rPr>
              <w:t>March 31,</w:t>
            </w:r>
          </w:p>
        </w:tc>
        <w:tc>
          <w:tcPr>
            <w:tcW w:w="620" w:type="dxa"/>
            <w:vAlign w:val="bottom"/>
            <w:tcBorders>
              <w:bottom w:val="single" w:sz="8" w:color="auto"/>
            </w:tcBorders>
          </w:tcPr>
          <w:p>
            <w:pPr>
              <w:spacing w:after="0"/>
              <w:rPr>
                <w:sz w:val="16"/>
                <w:szCs w:val="16"/>
                <w:color w:val="auto"/>
              </w:rPr>
            </w:pPr>
          </w:p>
        </w:tc>
      </w:tr>
      <w:tr>
        <w:trPr>
          <w:trHeight w:val="196"/>
        </w:trPr>
        <w:tc>
          <w:tcPr>
            <w:tcW w:w="9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2016</w:t>
            </w:r>
          </w:p>
        </w:tc>
      </w:tr>
      <w:tr>
        <w:trPr>
          <w:trHeight w:val="196"/>
        </w:trPr>
        <w:tc>
          <w:tcPr>
            <w:tcW w:w="9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7"/>
                <w:szCs w:val="17"/>
                <w:color w:val="auto"/>
              </w:rPr>
            </w:pPr>
          </w:p>
        </w:tc>
      </w:tr>
      <w:tr>
        <w:trPr>
          <w:trHeight w:val="27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84</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losses (earnings) of unconsolidated affiliates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(Gain) loss on sales of investments and other assets, net</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Impairment of assets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Stock-based compensation cost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trade receivables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increase in reserve for title claim losses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93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change in income taxes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investment securities available for sale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investment securities available for sale</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(purchases of) proceeds from short-term investment securities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Contributions to investments in unconsolidated affiliates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Distributions from unconsolidated affiliates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other investing activities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acquisitions/disposals of businesses, net of cash acquired</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Borrowings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service payments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Equity portion of debt conversions paid in cash</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treasury stock</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 excluding pledged cash related to secured trust deposits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period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w:t>
            </w: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728</w:t>
            </w: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(our "Annual Report") for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Group and FNF Ventures ("FNFV").</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Through FNF Group, 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Group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Group also provides industry-leading mortgage technology solutions, including MSP®, the leading residential mortgage servicing technology platform in the U.S., through its majority-owned subsidiary, Black Knight Financial Services, Inc. ("Black Knight").</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FNFV group, our diversified investment holding company, we own majority and minority equity investment stakes in a number of entities, including American Blue Ribbon Holdings, LLC ("ABRH"), Ceridian HCM, Inc. ("Ceridian"), and Digital Insurance, Inc. ("OneDigital").</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 2017, our Board of Directors adopted a resolution to increase the size of our Board of Directors to thirteen and elected Heather H. Murren to serve on our Board of Directors. Ms. Murren will serve in Class I of our Board of Directors, and her term will expire at the annual meeting of our shareholders to be held in 2018. At this time, Ms. Murren has not been appointed to any committee of our Board.</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2017 regulatory approval was received for three of the Company’s title insurance underwriters, Fidelity National Title Insurance Company, Chicago Title Insurance Company and Commonwealth Land Title Insurance Company, to redomesticate from their existing states of domicile to Florida (the "Redomestication") effective March 1, 2017. In conjunction with the Redomestication, the Company received a special dividend from these title insurance underwriters of $280 million on March 15, 2017.</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7, 2016, we announced that our Board of Directors approved a tax-free plan (the "Plan") whereby (1) we intend to distribute all 83.3 million shares of Black Knight Financial Services Inc. common stock that we currently own to FNF Group shareholders and (2) we intend to redeem all FNFV shares in exchange for shares of common stock of FNFV. Following the distributions, FNF, FNFV and Black Knight will each be independent, fully-distributed, publicly-traded common stocks, with FNF and FNFV no longer being tracking stocks. The Plan is subject to the receipt of private letter rulings from the Internal Revenue Service approving the distribution of Black Knight and FNFV shares, filing and acceptance of a registration statement for both the Black Knight and FNFV transactions with the Securities and Exchange Commission, Black Knight and FNFV shareholder approvals and other customary closing conditions. The closing of the tax-free distributions of Black Knight and FNFV are not dependent on one another and will occur separately when the aforementioned closing conditions are met. The closing of the distributions is expected by the end of the third quarter of 2017.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have been treated as common share equivalents for purposes of calculating diluted earnings per share for periods in which positive earnings have been reported.</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net earnings of Black Knight in our calculation of diluted earnings per share is adjusted for dilution related to certain Black Knight restricted stock granted to employees in accordance with ASC 260-10-55-20. We calculate the ratio of the Class B shares we hold to the total weighted average diluted shares of Black Knight outstanding and multiply such ratio by Black Knight's net earnings. The result is used as a substitution for Black Knight's net earnings attributable to FNF included in our consolidated net earnings in the numerator for our diluted earnings per share calculation. As the result had no effect for the three-month periods ended March 31, 2017 and 2016, there were no adjustments made to net earnings attributable to FNF in our calculation of diluted earnings per share. There are no adjustments to earnings attributable to FNF in our calculation of basic earnings per share. There are no adjustments made to net earnings attributable to FNFV in our calculation of basic or diluted earnings per share.</w:t>
      </w:r>
    </w:p>
    <w:p>
      <w:pPr>
        <w:spacing w:after="0" w:line="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Options or other instruments which provide the ability to purchase shares of our common stock that are antidilutive are excluded from the computation of diluted earnings per share. There were two million antidilutive options outstanding during both the three-months ended March 31, 2017 and 2016.</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whether goods and services are separately identifiable and thus accounted for as separate performance obligations. ASU 2016-12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Narrow-Scope Improvements and Practical Expedients </w:t>
      </w:r>
      <w:r>
        <w:rPr>
          <w:rFonts w:ascii="Arial" w:cs="Arial" w:eastAsia="Arial" w:hAnsi="Arial"/>
          <w:sz w:val="17"/>
          <w:szCs w:val="17"/>
          <w:color w:val="auto"/>
        </w:rPr>
        <w:t>was issued by the FASB in May 2016 to clarify certain terms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aforementioned updates and to add practical expedients for contracts at various stages of completion. ASU 2016-20, </w:t>
      </w:r>
      <w:r>
        <w:rPr>
          <w:rFonts w:ascii="Arial" w:cs="Arial" w:eastAsia="Arial" w:hAnsi="Arial"/>
          <w:sz w:val="17"/>
          <w:szCs w:val="17"/>
          <w:i w:val="1"/>
          <w:iCs w:val="1"/>
          <w:color w:val="auto"/>
        </w:rPr>
        <w:t>Technical Corrections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606, Revenue from Contracts with Customers</w:t>
      </w:r>
      <w:r>
        <w:rPr>
          <w:rFonts w:ascii="Arial" w:cs="Arial" w:eastAsia="Arial" w:hAnsi="Arial"/>
          <w:sz w:val="17"/>
          <w:szCs w:val="17"/>
          <w:color w:val="auto"/>
        </w:rPr>
        <w:t>, was issued by the FASB in December 2016 which includes thirteen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corrections and improvements affecting narrow aspects of the guidance issued in ASU 2014-09.</w:t>
      </w:r>
    </w:p>
    <w:p>
      <w:pPr>
        <w:spacing w:after="0" w:line="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continue to evaluate the impact these standards will have on our consolidated financial statements and related disclosures. We have completed our analysis of the impact of the standards for over 80% of our revenue, including all revenue recorded within direct title insurance premiums, agency title insurance premiums and restaurant revenue, and have concluded that these standards will not have a material impact on our accounting or reporting for these revenue streams. We continue to analyze certain revenue streams recorded within escrow, title-related and other fees primarily in our Black Knight segment. Black Knight has formed a project team and engaged a third-party professional services firm to assist us with its evaluation. Based upon its initial assessment, Black Knight currently does not anticipate a material change to the pattern of its revenue recognition related to revenue earned from the majority of its technology business hosted software arrangements, data and analytics business arrangements with transaction or volume-based fees and perpetual license arrangements in both its technology and data and analytics businesses. However, due to the complexity of certain of its contracts, including contracts for multiple products and services related to each of its segments, the final determination will be dependent on contract-specific terms. Black Knight is still in the process of quantifying the effects ASC 606 will have on its consolidated financial statements.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issuance of ASU 2015-14, the effective date of ASU 2014-09 was deferred to annual and interim periods beginning on or after December 15, 2017. We will adopt the guidance on January 1, 2018. Either of the following transition methods is permitted: (i) a full retrospective approach reflecting the application of the new standard in each prior reporting period, or (ii) a modified retrospective approach with a cumulative-effect adjustment to the opening balance of retained earnings in the year the new standard is first applied. We are continuing to evaluate the approach we will use when transitioning to this new guidance.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Pronouncements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 - 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The primary amendments required by the ASU include: requiring equity investments with readily determinable fair values to</w:t>
      </w:r>
      <w:r>
        <w:rPr>
          <w:rFonts w:ascii="Arial" w:cs="Arial" w:eastAsia="Arial" w:hAnsi="Arial"/>
          <w:sz w:val="18"/>
          <w:szCs w:val="18"/>
          <w:i w:val="1"/>
          <w:iCs w:val="1"/>
          <w:color w:val="auto"/>
        </w:rPr>
        <w:t xml:space="preserve"> </w:t>
      </w:r>
      <w:r>
        <w:rPr>
          <w:rFonts w:ascii="Arial" w:cs="Arial" w:eastAsia="Arial" w:hAnsi="Arial"/>
          <w:sz w:val="18"/>
          <w:szCs w:val="18"/>
          <w:color w:val="auto"/>
        </w:rPr>
        <w:t>be measured at fair value through net income rather than through other comprehensive income; allowing entities with equity investments without readily determinable fair values to report the investments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are currently evaluating the effect this new guidance will have on our consolidated financial statements and related disclosures and have not yet concluded on its effects.</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are required to recognize a right-of-use asset and a lease liability for all operating leases at each reporting date based on the present value of the remaining minimum rental payments that were tracked and disclosed under previous GAAP. We are still evaluating the totality of the effects this new guidance will have on our business process and systems, consolidated financial statements, and related disclosures. We have identified a vendor with software suited to track and account for leases under the new standard. We have not concluded on the anticipated financial statement effects of adoption. We plan to adopt this standard on January 1, 2019.</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debt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currently evaluating the effect this new guidance will have on our consolidated financial statements and related disclosures and have not yet concluded on its effects. We do not plan to early adopt the standard.</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amendments in this ASU introduce clarifications to the presentation of certain cash receipts and cash payments in the statement of cash flows. The primary updates include additions and clarifications of the classification of cash flows related to certain debt repayment activities, contingent consideration payments related to business combinations, proceeds from insurance policies, distributions from equity method investees, and cash flows related to securitized receivables.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are currently evaluating the effect this new guidance will have on our consolidated financial statements and related disclosures and have not yet concluded on its effects.</w:t>
      </w:r>
    </w:p>
    <w:p>
      <w:pPr>
        <w:spacing w:after="0" w:line="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The amendments in this ASU require that a statement of cash flows explain the change during the period in the total of cash, cash equivalents, and amounts generally described as restricted cash or restricted cash equivalents. GAAP currently does not include specific guidance on the cash flow classification and presentation of changes in restricted cash. The Company currently excludes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are currently evaluating the effect this new guidance will have on our consolidated financial statements and related disclosures and have not yet concluded on its effects.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to assist companies with evaluating whether transactions should be accounted for as acquisitions of assets or businesses. The new guidance requires a company to evaluate if substantially all of the fair value of the gross assets acquired (or disposed of) is concentrated in a single identifiable asset or a group of similar identifiable assets; if so, the set of assets and activities is not a business. The guidance also requires a business to include at least one substantive process and narrows the definition of outputs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more closely aligning it with how outputs are described in the guidance for revenue from contracts with customers. The new standard is effective for fiscal years, and interim periods within those fiscal years, beginning after December 15, 2017, with early adoption permitted. The guidance should be applied prospectively to any transactions occurring within the period of adoption. We do not expect this standard to have a material impact on our consolidated financial statements.</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are currently evaluating the effect this new guidance will have on our consolidated financial statements and related disclosures and have not yet concluded on its effects.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Purchased Callable Debt Securities</w:t>
      </w:r>
      <w:r>
        <w:rPr>
          <w:rFonts w:ascii="Arial" w:cs="Arial" w:eastAsia="Arial" w:hAnsi="Arial"/>
          <w:sz w:val="18"/>
          <w:szCs w:val="18"/>
          <w:color w:val="auto"/>
        </w:rPr>
        <w:t>. The amendments in this ASU shortens the amortization period for the premium on certain purchased callable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to the earliest call date. The new guidance does not change the accounting for purchased callable debt securities held at a discount. This update is effective for annual periods beginning after December 15, 2018, including interim periods within those fiscal years. Early adoption of this ASU is permitted, including in interim periods. We early adopted the standard as of January 1, 2017. The adoption of this standard did not have a material impact on our financial statements.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Note B.</w:t>
            </w:r>
          </w:p>
        </w:tc>
        <w:tc>
          <w:tcPr>
            <w:tcW w:w="7180" w:type="dxa"/>
            <w:vAlign w:val="bottom"/>
          </w:tcPr>
          <w:p>
            <w:pPr>
              <w:ind w:left="60"/>
              <w:spacing w:after="0"/>
              <w:rPr>
                <w:sz w:val="20"/>
                <w:szCs w:val="20"/>
                <w:color w:val="auto"/>
              </w:rPr>
            </w:pPr>
            <w:r>
              <w:rPr>
                <w:rFonts w:ascii="Arial" w:cs="Arial" w:eastAsia="Arial" w:hAnsi="Arial"/>
                <w:sz w:val="18"/>
                <w:szCs w:val="18"/>
                <w:b w:val="1"/>
                <w:bCs w:val="1"/>
                <w:color w:val="auto"/>
              </w:rPr>
              <w:t>Summary of Reserve for Claim Losses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8420" w:type="dxa"/>
            <w:vAlign w:val="bottom"/>
            <w:gridSpan w:val="2"/>
          </w:tcPr>
          <w:p>
            <w:pPr>
              <w:ind w:left="380"/>
              <w:spacing w:after="0"/>
              <w:rPr>
                <w:sz w:val="20"/>
                <w:szCs w:val="20"/>
                <w:color w:val="auto"/>
              </w:rPr>
            </w:pPr>
            <w:r>
              <w:rPr>
                <w:rFonts w:ascii="Arial" w:cs="Arial" w:eastAsia="Arial" w:hAnsi="Arial"/>
                <w:sz w:val="18"/>
                <w:szCs w:val="18"/>
                <w:color w:val="auto"/>
              </w:rPr>
              <w:t>A summary of the reserve for claim losses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2"/>
        </w:trPr>
        <w:tc>
          <w:tcPr>
            <w:tcW w:w="12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124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2016</w:t>
            </w:r>
          </w:p>
        </w:tc>
      </w:tr>
      <w:tr>
        <w:trPr>
          <w:trHeight w:val="196"/>
        </w:trPr>
        <w:tc>
          <w:tcPr>
            <w:tcW w:w="12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Pr>
          <w:p>
            <w:pPr>
              <w:spacing w:after="0"/>
              <w:rPr>
                <w:sz w:val="17"/>
                <w:szCs w:val="17"/>
                <w:color w:val="auto"/>
              </w:rPr>
            </w:pPr>
          </w:p>
        </w:tc>
      </w:tr>
      <w:tr>
        <w:trPr>
          <w:trHeight w:val="256"/>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1,583</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Change in reinsurance recoverable</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7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49</w:t>
            </w:r>
          </w:p>
        </w:tc>
      </w:tr>
      <w:tr>
        <w:trPr>
          <w:trHeight w:val="27"/>
        </w:trPr>
        <w:tc>
          <w:tcPr>
            <w:tcW w:w="12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7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r>
      <w:tr>
        <w:trPr>
          <w:trHeight w:val="237"/>
        </w:trPr>
        <w:tc>
          <w:tcPr>
            <w:tcW w:w="8420" w:type="dxa"/>
            <w:vAlign w:val="bottom"/>
            <w:gridSpan w:val="2"/>
          </w:tcPr>
          <w:p>
            <w:pPr>
              <w:ind w:left="500"/>
              <w:spacing w:after="0"/>
              <w:rPr>
                <w:sz w:val="20"/>
                <w:szCs w:val="20"/>
                <w:color w:val="auto"/>
              </w:rPr>
            </w:pPr>
            <w:r>
              <w:rPr>
                <w:rFonts w:ascii="Arial" w:cs="Arial" w:eastAsia="Arial" w:hAnsi="Arial"/>
                <w:sz w:val="18"/>
                <w:szCs w:val="18"/>
                <w:color w:val="auto"/>
              </w:rPr>
              <w:t>Total title claim loss provision</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52</w:t>
            </w:r>
          </w:p>
        </w:tc>
      </w:tr>
      <w:tr>
        <w:trPr>
          <w:trHeight w:val="27"/>
        </w:trPr>
        <w:tc>
          <w:tcPr>
            <w:tcW w:w="8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7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12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7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r>
      <w:tr>
        <w:trPr>
          <w:trHeight w:val="237"/>
        </w:trPr>
        <w:tc>
          <w:tcPr>
            <w:tcW w:w="8420" w:type="dxa"/>
            <w:vAlign w:val="bottom"/>
            <w:gridSpan w:val="2"/>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w:t>
            </w:r>
          </w:p>
        </w:tc>
      </w:tr>
      <w:tr>
        <w:trPr>
          <w:trHeight w:val="27"/>
        </w:trPr>
        <w:tc>
          <w:tcPr>
            <w:tcW w:w="84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1,595</w:t>
            </w:r>
          </w:p>
        </w:tc>
      </w:tr>
      <w:tr>
        <w:trPr>
          <w:trHeight w:val="20"/>
        </w:trPr>
        <w:tc>
          <w:tcPr>
            <w:tcW w:w="84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2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hierarchy for those assets and liabilities measured at fair value on a recurring basis as of March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4"/>
              </w:rPr>
              <w:t>March 31, 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1,420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425</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3,026</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1"/>
              </w:rPr>
              <w:t>December 31, 2016</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438</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470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1"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stocks: These securities are valued by calculating the appropriate spread over a comparable U.S. Treasury security. Inputs include benchmark quotes and other relevant market data.</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and December 31, 2016 we held no material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March 31, 2017 and December 31, 2016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2017</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1,420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425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3,026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1,533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438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3,185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March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2017</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March 31, 2017 and December 31, 2016,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551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2016</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political subdivisions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657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recorded no impairment charges relating to investments during the three-month period ended March 31, 2017. We recorded $3 million in impairment charges on fixed maturity securities during the three-month period ended March 31, 2016 related to an investment in an unconsolidated affiliate in which we determined the ability to recover our investment was unlikely. As of March 31, 2017 we held no fixed maturity securities for which an other-than-temporary impairment had been previously recognized. As of December 31, 2016, we held $7 million in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three-month periods ended March 31, 2017 and 2016,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0"/>
          </w:tcPr>
          <w:p>
            <w:pPr>
              <w:jc w:val="center"/>
              <w:ind w:left="439"/>
              <w:spacing w:after="0"/>
              <w:rPr>
                <w:sz w:val="20"/>
                <w:szCs w:val="20"/>
                <w:color w:val="auto"/>
              </w:rPr>
            </w:pPr>
            <w:r>
              <w:rPr>
                <w:rFonts w:ascii="Arial" w:cs="Arial" w:eastAsia="Arial" w:hAnsi="Arial"/>
                <w:sz w:val="14"/>
                <w:szCs w:val="14"/>
                <w:b w:val="1"/>
                <w:bCs w:val="1"/>
                <w:color w:val="auto"/>
                <w:w w:val="92"/>
              </w:rPr>
              <w:t>Three months ended March 31, 2017</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center"/>
              <w:ind w:right="39"/>
              <w:spacing w:after="0"/>
              <w:rPr>
                <w:sz w:val="20"/>
                <w:szCs w:val="20"/>
                <w:color w:val="auto"/>
              </w:rPr>
            </w:pPr>
            <w:r>
              <w:rPr>
                <w:rFonts w:ascii="Arial" w:cs="Arial" w:eastAsia="Arial" w:hAnsi="Arial"/>
                <w:sz w:val="14"/>
                <w:szCs w:val="14"/>
                <w:b w:val="1"/>
                <w:bCs w:val="1"/>
                <w:color w:val="auto"/>
                <w:w w:val="83"/>
              </w:rPr>
              <w:t>Gross</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Net</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Realized</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2"/>
              </w:rPr>
              <w:t>Gains</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39"/>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66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conversions and debt refinancing</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realized gains and losses, net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0"/>
          </w:tcPr>
          <w:p>
            <w:pPr>
              <w:jc w:val="right"/>
              <w:ind w:right="595"/>
              <w:spacing w:after="0"/>
              <w:rPr>
                <w:sz w:val="20"/>
                <w:szCs w:val="20"/>
                <w:color w:val="auto"/>
              </w:rPr>
            </w:pPr>
            <w:r>
              <w:rPr>
                <w:rFonts w:ascii="Arial" w:cs="Arial" w:eastAsia="Arial" w:hAnsi="Arial"/>
                <w:sz w:val="14"/>
                <w:szCs w:val="14"/>
                <w:b w:val="1"/>
                <w:bCs w:val="1"/>
                <w:color w:val="auto"/>
                <w:w w:val="92"/>
              </w:rPr>
              <w:t>Three months ended March 31, 2016</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3"/>
                <w:szCs w:val="13"/>
                <w:color w:val="auto"/>
              </w:rPr>
            </w:pPr>
          </w:p>
        </w:tc>
        <w:tc>
          <w:tcPr>
            <w:tcW w:w="6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March 31, 2017 and December 31, 2016,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Ownership</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Various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187</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our equity investment in Ceridian, we own certain of their outstanding bonds. Our investment in Ceridian bonds is included in Fixed maturity securities available for sale on the Condensed Consolidated Balance Sheets and had a fair value of $31 million and $30 million as of March 31, 2017 and December 31, 2016, respectively. We did not purchase or dispose of any Ceridian bonds in the three-month period ended March 31, 2017.</w:t>
      </w:r>
    </w:p>
    <w:p>
      <w:pPr>
        <w:spacing w:after="0" w:line="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three-month periods ended March 31, 2017 and 2016, we recorded $4 million and $3 million, in equity in losses of Ceridian, respectively, and $2 million and $5 million in equity in earnings of other unconsolidated affiliates,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Summarized financial information for Ceridian for the relevant dates and time periods included in Investments in unconsolidated affiliates and Equity in losses of unconsolidated affiliates in our Condensed Consolidated Balance Sheets and Condensed Consolidated Statements of Earnings, respectively, is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196"/>
        </w:trPr>
        <w:tc>
          <w:tcPr>
            <w:tcW w:w="8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3,703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6,427</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1,140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5,334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6,427</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199"/>
              <w:spacing w:after="0"/>
              <w:rPr>
                <w:sz w:val="20"/>
                <w:szCs w:val="20"/>
                <w:color w:val="auto"/>
              </w:rPr>
            </w:pPr>
            <w:r>
              <w:rPr>
                <w:rFonts w:ascii="Arial" w:cs="Arial" w:eastAsia="Arial" w:hAnsi="Arial"/>
                <w:sz w:val="14"/>
                <w:szCs w:val="14"/>
                <w:b w:val="1"/>
                <w:bCs w:val="1"/>
                <w:color w:val="auto"/>
                <w:w w:val="94"/>
              </w:rPr>
              <w:t>Three months ended</w:t>
            </w:r>
          </w:p>
        </w:tc>
        <w:tc>
          <w:tcPr>
            <w:tcW w:w="220" w:type="dxa"/>
            <w:vAlign w:val="bottom"/>
          </w:tcPr>
          <w:p>
            <w:pPr>
              <w:spacing w:after="0"/>
              <w:rPr>
                <w:sz w:val="14"/>
                <w:szCs w:val="14"/>
                <w:color w:val="auto"/>
              </w:rPr>
            </w:pPr>
          </w:p>
        </w:tc>
        <w:tc>
          <w:tcPr>
            <w:tcW w:w="154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Three months ended</w:t>
            </w:r>
          </w:p>
        </w:tc>
      </w:tr>
      <w:tr>
        <w:trPr>
          <w:trHeight w:val="192"/>
        </w:trPr>
        <w:tc>
          <w:tcPr>
            <w:tcW w:w="37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March 31, 2016</w:t>
            </w:r>
          </w:p>
        </w:tc>
      </w:tr>
      <w:tr>
        <w:trPr>
          <w:trHeight w:val="196"/>
        </w:trPr>
        <w:tc>
          <w:tcPr>
            <w:tcW w:w="3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3"/>
          </w:tcPr>
          <w:p>
            <w:pPr>
              <w:jc w:val="right"/>
              <w:ind w:right="129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197</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459"/>
        </w:trPr>
        <w:tc>
          <w:tcPr>
            <w:tcW w:w="3740" w:type="dxa"/>
            <w:vAlign w:val="bottom"/>
          </w:tcPr>
          <w:p>
            <w:pPr>
              <w:spacing w:after="0"/>
              <w:rPr>
                <w:sz w:val="24"/>
                <w:szCs w:val="24"/>
                <w:color w:val="auto"/>
              </w:rPr>
            </w:pPr>
          </w:p>
        </w:tc>
        <w:tc>
          <w:tcPr>
            <w:tcW w:w="4160" w:type="dxa"/>
            <w:vAlign w:val="bottom"/>
          </w:tcPr>
          <w:p>
            <w:pPr>
              <w:jc w:val="right"/>
              <w:ind w:right="201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Note E —Notes Payable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Unsecured convertible notes, net of discount, interest payable semi-annually at 4.25%, due August 2018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Revolving Credit Facility, unsecured, unused portion of $800, due July 2018 with interest payable monthly at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+ 1.45%</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4"/>
              </w:rPr>
              <w:t>Unsecured Black Knight InfoServ notes, including premium, interest payable semi-annually at 5.75%, due April</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Black Knight Term A Facility, due May 2020 with interest currently payable monthly at LIBOR + 2.00% (3.00%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March 31, 2017)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Black Knight Term B Facility, due May 2022 with interest currently payable quarterly at LIBOR + 2.25%</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(3.25% at March 31, 2017)</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Black Knight Revolving Credit Facility, unused portion of $350, due May 2020 with interest currently payable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at LIBOR + 2.00% (3.00% at March 31, 2017)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w w:val="96"/>
              </w:rPr>
              <w:t>ABRH Term Loan, interest payable monthly at LIBOR + 2.75% (3.73% at March 31, 2017), due August 2019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OneDigital Revolving Credit Facility, unused portion of $50, due March 2022 with interest payable monthly at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+ 2.50% - 3.50% (4.19% at March 31, 2017)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4"/>
              </w:rPr>
              <w:t>ABRH Revolving Credit Facility, unused portion of $35, due August 2019 with interest payable monthly at Base</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Rate + 1.75% (5.75% at March 31, 2017)</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8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2,746</w:t>
            </w: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March 31, 2017, the estimated fair value of our long-term debt was approximately $3,087 million, which was $346 million higher than its carrying value, excluding $19 million of net unamortized debt issuance costs and original issuance premium/discount. The carrying values of our ABRH term loan, ABRH revolving credit facility and OneDigital revolving credit facility approximate the fair values at March 31, 2017 as they are variable rate instruments with short reset periods which reflect current market rates. The fair value of our unsecured notes payable was $1,688 million as of March 31, 2017. The fair values of our unsecured notes payable are based on established market prices for the securities on March 31, 2017 and are considered Level 2 financial liabilities. The carrying value of the Black Knight Term A, Term B, and revolving facilities approximate fair value at March 31, 2017. The revolving credit facilities are considered Level 2 financial liabilities.</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entered into a credit and guaranty agreement (the “BKIS Credit Agreement”) with an aggregate borrowing capacity of $1.6 billion with JPMorgan Chase Bank, N.A. as administrative agent, the guarantors party thereto, the other agents party thereto and the lenders party thereto. The material terms of the BKIS Credit Agreement, excluding the BKIS Credit Agreement Amendment below, are set forth in our Annual Report for the year ended December 31, 2016.</w:t>
      </w:r>
    </w:p>
    <w:p>
      <w:pPr>
        <w:spacing w:after="0" w:line="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27, 2017, BKIS entered into a first amendment (the "First Amendment") to its BKIS Credit Agreement with JPMorgan Chase Bank, N.A. as administrative agent pursuant to which certain terms of the BKIS Credit Agreement were modified and amended. Pursuant to the First Amendment, effective as of February 27, 2017, the Term B Loan under the BKIS Credit Agreement bears interest at rates based upon, at the option of BKIS, either (i) the base rate plus a margin of 125 basis points, or (ii) the Eurodollar rate plus a margin of 225 basis points, subject to a Eurodollar rate floor of 75 basis points. In addition, the First Amendment permits the previously announced tax-free distribution pursuant to which FNF intends to distribute, together with the other transactions related thereto, all 83.3 million shares of Black Knight common stock that it currently owns to holders of FNF Group common stock. As of March 31, 2017 BKIS had aggregate outstanding debt of $1,110 million under the BKIS Credit Agreement, net of debt issuance costs. We hold $49 million of the outstanding Term B notes which eliminate in consolidation.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April 26, 2017, BKIS, entered into a Second Amendment (the “Second Amendment”) to its BKIS Credit Agreement with JPMorgan Chase Bank, N.A. as administrative agent, the guarantors party thereto, the other agents party thereto and the lenders party thereto. The Second Amendment increases</w:t>
      </w:r>
    </w:p>
    <w:p>
      <w:pPr>
        <w:jc w:val="both"/>
        <w:ind w:firstLine="8"/>
        <w:spacing w:after="0" w:line="268"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aggregate principal amount of the Term A Loan by $300 million to $1,030 million and (ii) the aggregate principal amount of commitments under the Revolving Credit Facility by $100 million to $500 million. The Second Amendment also reduces the pricing applicable to the loans under the Term A Facility and Revolving Credit Facility by 25 basis points and reduces the unused commitment fee applicable to the Revolving Credit Facility by 5 basis points. The Term A Loan and Revolving Credit Facility bear interest at rates based upon, at the option of BKIS, either (i) the base rate plus a margin of between 25 and 100 basis points depending on the total leverage ratio of BKFS LLC and its restricted subsidiaries on a consolidated basis (the “Consolidated Leverage Ratio”) and (ii) the Eurodollar rate plus a margin of between 125 and 200 basis points depending on the Consolidated Leverage Ratio, subject to a Eurodollar rate floor of zero basis points. In addition, BKIS will pay an unused commitment fee of between 15 and 30 basis points on the undrawn commitments under the Revolving Credit Facility, also depending on the Consolidated Leverage Ratio. Pursuant to the terms of the Second Amendment, the Term A Loan and the Revolving Credit Facility mature on February 25, 2022.</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31, 2015, OneDigital, entered into a senior secured credit facility (the “OneDigital Facility”) with Bank of America, N.A. (“Bank of America”) as administrative agent, JPMorgan Chase Bank, N.A. as syndication agent, and the other financial institutions party thereto. The material terms of the Digital Insurance Facility are set forth in our Annual Report for the year ended December 31, 2016.</w:t>
      </w:r>
    </w:p>
    <w:p>
      <w:pPr>
        <w:spacing w:after="0" w:line="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March 17, 2017, OneDigital and certain subsidiaries of OneDigital (the “Guarantors”), entered into an Amended and Restated Credit Agreement (the “Amendment”) pursuant to which certain terms of the OneDigital Facility were amended. Pursuant to the Amendment, the Revolving Commitments under the OneDigital Facility were increased from an aggregate of $160 million to $200 million, and the maturity date of the facility was changed from March 31, 2020 to March 17, 2022. The Amendment also modified the financial covenants relating to certain leverage ratios under the Credit Agreement.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2017, OneDigital had outstanding debt of $147 million and remaining borrowing capacity of $50 million under the OneDigital Facility.</w:t>
      </w:r>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was amended on February 24, 2017. The material terms of the ABRH Credit Facility are set forth in our Annual Report on Form 10-K for the year ended December 31, 2016 and have not been amended since the filing of such Annual Report. As of March 31, 2017, ABRH had $90 million outstanding for the ABRH Term Loan, had $9 million outstanding under the ABRH Revolver, had $16 million of outstanding letters of credit and had $35 million of remaining borrowing capacity under the ABRH Credit Facility.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 2014, as a result of our acquisition of Lender Processing Services ("LPS"), FNF acquired $600 million aggregate principal amount of 5.75% Senior Notes due in 2023, initially issued by BKIS on October 12, 2012 (the "Black Knight Senior Notes"). The material terms of the Black Knight Senior Notes are set forth in our Annual Report for the year ended December 31, 2016. On April 26, 2017, Black Knight redeemed the outstanding Black Knight Senior Notes at a price of 104.825% and paid $1 million in accrued interest.</w:t>
      </w:r>
    </w:p>
    <w:p>
      <w:pPr>
        <w:spacing w:after="0" w:line="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As of March 31, 2017, there was no outstanding balance under the Revolving Credit Facility and $3 million in unamortized debt issuance costs. On April 27, 2017, the Revolving Credit Facility was amended (the "Restated Credit Agreement") to extend the term for 5 years, from a maturity date of July 15, 2018 to April 27, 2022 and to update the interest rate. Revolving loans under the Restated Credit Agreement generally bear interest at a variable rate based on either (i) the base rate (which is the highest of (a) one-half of one percent in excess of the federal funds rate, (b) the Administrative Agent’s “prime rate”, or (c) the sum of one percent plus one-month LIBOR) plus a margin of between 10.0 and 60.0 basis points depending on the senior unsecured long-term debt ratings of the Company or (ii) LIBOR plus a margin of between 110.0 and 160.0 basis points depending on the senior unsecured long-term debt ratings of the Company. At the current Standard &amp; Poor’s and Moody’s senior unsecured long-term debt ratings of BBB/Baa2, respectively, the applicable margin for revolving loans subject to LIBOR is 140 basis points. In addition, the Company will pay a commitment fee of between 15.0 and 40.0 basis points on the entire facility, also depending on the Company’s senior unsecured long-term debt ratings. All other material terms of the Revolving Credit Facility are the same as those set forth in our Annual Report for the year ended December 31, 2016.</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2016.</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2, 2011, FNF completed an offering of $300 million in aggregate principal amount of 4.25% convertible senior notes due August 2018 (the "Notes") in an offering conducted in accordance with Rule 144A under the Securities Act of 1933, as amended. The material terms of the Notes are set forth in our Annual Report for the year ended December 31, 2016, except to clarify that it is now our intent to settle conversions through cash settlement. Beginning October 1, 2013, these notes are convertible under the 130% Sale Price Condition described in our Annual Report. During the quarter ended March 31, 2017, we repurchased Notes with aggregate principal of $47 million for $104 million.</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5, 2010, FNF completed an offering of $300 million in aggregate principal amount of our 6.60% notes due May 2017 (the "6.60% Notes"), pursuant to an effective registration statement previously filed with the SEC. The material terms of the 6.60% Notes are set forth in our Annual Report for the year ended December 31, 2016.</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March 31, 2017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2017 (remaining)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2,741</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2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$3 million as of March 31, 2017 and $69 million as of December 31, 2016. During the quarter ended March 31, 2017, ServiceLink paid $65 million to settle all remaining obligations to complete the document execution review under the 2011 LPS consent order with certain banking agencies. Details of the consent order and the terms of the settlement are set forth in Note M to the Consolidated Financial Statements in our Annual Report for the year ended December 31, 2016.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10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r>
      <w:tr>
        <w:trPr>
          <w:trHeight w:val="20"/>
        </w:trPr>
        <w:tc>
          <w:tcPr>
            <w:tcW w:w="10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3, 2017, our Board of Directors declared cash dividends of $0.25 per share, payable on June 30, 2017, to FNF Group common shareholders of record as of June 16,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FNF Group</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1,048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1,048</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819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868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273</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1,867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322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2,189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1,570</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1,889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328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2,217</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161</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8,264</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3,729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762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12,755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1,423</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14,178</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4,869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5,085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FNF Group</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color w:val="auto"/>
                <w:w w:val="94"/>
              </w:rPr>
              <w:t>FNFV</w:t>
            </w:r>
          </w:p>
        </w:tc>
        <w:tc>
          <w:tcPr>
            <w:tcW w:w="100" w:type="dxa"/>
            <w:vAlign w:val="bottom"/>
          </w:tcPr>
          <w:p>
            <w:pPr>
              <w:spacing w:after="0"/>
              <w:rPr>
                <w:sz w:val="12"/>
                <w:szCs w:val="12"/>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1" w:lineRule="exact"/>
              <w:rPr>
                <w:sz w:val="20"/>
                <w:szCs w:val="20"/>
                <w:color w:val="auto"/>
              </w:rPr>
            </w:pPr>
            <w:r>
              <w:rPr>
                <w:rFonts w:ascii="Arial" w:cs="Arial" w:eastAsia="Arial" w:hAnsi="Arial"/>
                <w:sz w:val="13"/>
                <w:szCs w:val="13"/>
                <w:color w:val="auto"/>
                <w:w w:val="89"/>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952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741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779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293</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1,418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1,693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331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1,447</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1,719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329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2,048</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8,668</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3,645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220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12,533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1,410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13,943</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4,579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4,766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Group</w:t>
      </w:r>
    </w:p>
    <w:p>
      <w:pPr>
        <w:spacing w:after="0" w:line="94" w:lineRule="exact"/>
        <w:rPr>
          <w:sz w:val="20"/>
          <w:szCs w:val="20"/>
          <w:color w:val="auto"/>
        </w:rPr>
      </w:pPr>
    </w:p>
    <w:p>
      <w:pPr>
        <w:jc w:val="both"/>
        <w:ind w:left="660" w:hanging="40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FNF Group Corporate and Other. </w:t>
      </w:r>
      <w:r>
        <w:rPr>
          <w:rFonts w:ascii="Arial" w:cs="Arial" w:eastAsia="Arial" w:hAnsi="Arial"/>
          <w:sz w:val="18"/>
          <w:szCs w:val="18"/>
          <w:color w:val="auto"/>
        </w:rPr>
        <w:t>This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and other real estate operations.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jc w:val="both"/>
        <w:ind w:left="660" w:hanging="409"/>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w:t>
      </w:r>
    </w:p>
    <w:p>
      <w:pPr>
        <w:spacing w:after="0" w:line="127" w:lineRule="exact"/>
        <w:rPr>
          <w:rFonts w:ascii="Arial" w:cs="Arial" w:eastAsia="Arial" w:hAnsi="Arial"/>
          <w:sz w:val="18"/>
          <w:szCs w:val="18"/>
          <w:i w:val="1"/>
          <w:iCs w:val="1"/>
          <w:color w:val="auto"/>
        </w:rPr>
      </w:pPr>
    </w:p>
    <w:p>
      <w:pPr>
        <w:ind w:left="660" w:right="20" w:hanging="409"/>
        <w:spacing w:after="0" w:line="308"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OneDigital, in which we own 96%, and other smaller investments which are not title-related.</w:t>
      </w:r>
    </w:p>
    <w:p>
      <w:pPr>
        <w:spacing w:after="0" w:line="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6"/>
          <w:szCs w:val="16"/>
          <w:b w:val="1"/>
          <w:bCs w:val="1"/>
          <w:color w:val="auto"/>
        </w:rPr>
        <w:t>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supplemental cash flow information is provided with respect to certain non-cash investing and financing activities.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380" w:type="dxa"/>
            <w:vAlign w:val="bottom"/>
            <w:gridSpan w:val="5"/>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r>
      <w:tr>
        <w:trPr>
          <w:trHeight w:val="276"/>
        </w:trPr>
        <w:tc>
          <w:tcPr>
            <w:tcW w:w="900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7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46</w:t>
            </w:r>
          </w:p>
        </w:tc>
      </w:tr>
      <w:tr>
        <w:trPr>
          <w:trHeight w:val="27"/>
        </w:trPr>
        <w:tc>
          <w:tcPr>
            <w:tcW w:w="9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90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bl>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1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189"/>
        </w:trPr>
        <w:tc>
          <w:tcPr>
            <w:tcW w:w="7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280"/>
              <w:spacing w:after="0"/>
              <w:rPr>
                <w:sz w:val="20"/>
                <w:szCs w:val="20"/>
                <w:color w:val="auto"/>
              </w:rPr>
            </w:pPr>
            <w:r>
              <w:rPr>
                <w:rFonts w:ascii="Arial" w:cs="Arial" w:eastAsia="Arial" w:hAnsi="Arial"/>
                <w:sz w:val="18"/>
                <w:szCs w:val="18"/>
                <w:color w:val="auto"/>
              </w:rPr>
              <w:t>Change in treasury stock purchases payable in period</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Accrual for unsettled debt service payments related to the Notes</w:t>
            </w:r>
          </w:p>
        </w:tc>
        <w:tc>
          <w:tcPr>
            <w:tcW w:w="1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80" w:type="dxa"/>
            <w:vAlign w:val="bottom"/>
          </w:tcPr>
          <w:p>
            <w:pPr>
              <w:ind w:left="280"/>
              <w:spacing w:after="0"/>
              <w:rPr>
                <w:sz w:val="20"/>
                <w:szCs w:val="20"/>
                <w:color w:val="auto"/>
              </w:rPr>
            </w:pPr>
            <w:r>
              <w:rPr>
                <w:rFonts w:ascii="Arial" w:cs="Arial" w:eastAsia="Arial" w:hAnsi="Arial"/>
                <w:sz w:val="18"/>
                <w:szCs w:val="18"/>
                <w:color w:val="auto"/>
              </w:rPr>
              <w:t>Accrual for the equity portion of unsettled repurchases of the Notes</w:t>
            </w:r>
          </w:p>
        </w:tc>
        <w:tc>
          <w:tcPr>
            <w:tcW w:w="19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702"/>
        </w:trPr>
        <w:tc>
          <w:tcPr>
            <w:tcW w:w="7580" w:type="dxa"/>
            <w:vAlign w:val="bottom"/>
          </w:tcPr>
          <w:p>
            <w:pPr>
              <w:ind w:left="5600"/>
              <w:spacing w:after="0"/>
              <w:rPr>
                <w:sz w:val="20"/>
                <w:szCs w:val="20"/>
                <w:color w:val="auto"/>
              </w:rPr>
            </w:pPr>
            <w:r>
              <w:rPr>
                <w:rFonts w:ascii="Arial" w:cs="Arial" w:eastAsia="Arial" w:hAnsi="Arial"/>
                <w:sz w:val="18"/>
                <w:szCs w:val="18"/>
                <w:color w:val="auto"/>
              </w:rPr>
              <w:t>20</w:t>
            </w: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our ability to successfully execute the proposed plan to distribute shares of Black Knight and redeem all FNFV tracking stock; and other risks detailed in the “Statement Regarding Forward-Looking Information,” “Risk Factors” and other sections of our Annual Report on Form 10-K (our "Annual Report") for the year ended December 31, 2016 and other filings with the SEC.</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 for the year ended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 of the United States economy, including employment levels.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18, 2017 the Mortgage Bankers Association ("MBA") estimated the size of the U.S. mortgage originations market as shown in the following table for 2016 - 2019 in their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7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7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0"/>
        </w:trPr>
        <w:tc>
          <w:tcPr>
            <w:tcW w:w="7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total originations were reflective of a generally improving residential real estate market driven by increasing home prices and historically low mortgage interest rates. Over the same period, existing home sales increased and there was a decline in total housing inventory. In 2017 and beyond, increased mortgage interest rates driven by gradual increases in the target federal funds rate are expected to adversely impact mortgage originations. In a rising interest rate environment, refinance transactions are expected to decline. The MBA predicts overall mortgage originations in 2017 through 2019 will decrease compared to the 2016 period due to a decrease in refinance transactions, offset by a slight increase in purchase transactions. Purchase transactions involve the issuance of both a lender’s policy and an owner’s policy, resulting in higher fees, whereas refinance transactions only require a lender’s policy, resulting in lower fees.</w:t>
      </w:r>
    </w:p>
    <w:p>
      <w:pPr>
        <w:spacing w:after="0" w:line="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projected increases in mortgage interest rates present a potential headwind for mortgage originations, other economic indicators used to measure the health of the United States economy, including the unemployment rate and consumer confidence, have improved in recent years. According to the United States Department of Labor's Bureau of Labor, the unemployment rate has dropped from 7.4% in 2013 to 4.5% in 2017. Additionally, the Conference Board's monthly Consumer Confidence Index has risen sharply at the end of 2016 and into 2017. We believe that improvements in both of these economic indicators, among other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indicators which support a generally improving United States economy, present potential tailwinds for mortgage originations and support recent home price trends.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how, if at all, the positive effects of a change in mix of purchase to refinance transactions and of a generally improving United States economy and the negative effects of projected decreases in overall originations will impact our future results of operations. We continually monitor origination trends and believe that, based on our ability to produce industry leading operating margins through all economic cycles, we are well positioned to adjust our operations for adverse changes in real estate activity.</w:t>
      </w:r>
    </w:p>
    <w:p>
      <w:pPr>
        <w:spacing w:after="0" w:line="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Because commercial real estate transactions tend to be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For several years through 2015, we experienced continual year-over-year increases in the fee per file of commercial transactions. In 2016, we experienced a slight decrease in the volume and fee per file of commercial transactions as compared to 2015. However, as 2015 was a record setting year for our commercial real estate title insurance business, our 2016 results continued to indicate strong commercial markets.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Historically, real estate transactions have produced seasonal revenue fluctuations in the real estate industry including for title insurers. The first 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Underlying the mortgage loan life cycle is the technology and data and analytics support behind each process, which has become increasingly critical to industry participants due to the complexity of regulatory requirements. As the industry has grown in complexity, participants have responded by outsourcing to large scale specialty providers, automating manual processes and seeking end-to-end solutions that support the processes required to manage the entire mortgage loan life cycle.</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Black Knight's various businesses are affected differently by the level of mortgage originations, including refinancing transactions. Black Knight's mortgage servicing platform is less affected by varying levels of mortgage originations because it earns revenues based on the total number of mortgage loans it processes, which tend to stay more constant than the market for originations. Black Knight's origination technology and some of its data businesses may be affected by the volume of real estate transactions and mortgage originations, but many of its client contracts for origination technology contain minimum charges.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Black Knight's various businesses may also be affected by general economic conditions. For example, in the event that a difficult economy or other factors lead to a significant decline in levels of home ownership and a significant reduction in the number of mortgage loans outstanding and Black Knight is not able to counter the impact of those events with increased market share or higher fees, it could have a material adverse effect on its mortgage processing revenues. In contrast, we believe that a weaker economy tends to increase the volume of consumer mortgage defaults, which may increase the revenues in Black Knight's specialty servicing technology business that is used to service residential mortgage loans in default. Moreover, interest rates tend to decline in a weaker economy driving higher than normal refinance transactions that provide potential volume increases to Black Knight's origination technology offerings.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8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2,048</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losses of unconsolidated affiliates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Equity in (losses) earnings of unconsolidated affiliates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increased by $169 million in the three months ended March 31, 2017, compared to the corresponding period in 2016. The increase consisted of a $170 million increase at FNF Group and a $1 million decrease at FNFV.</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from continuing operations decreased by $3 million in the three months ended March 31, 2017, compared to the corresponding period in 2016. The decrease consisted of a $1 million decrease at FNF Group and $2 million decrease at FNFV.</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Group segments and FNFV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operating expenses consist primarily of Personnel costs; Other operating expenses, which in our title business are incurred as orders are received and processed and at Black Knight for data processing and program design and development costs; Agent commissions, which are incurred as title agency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Group segments and FNFV segments is discussed in further detail at the segment level below.</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Income tax expense was $78 million and $49 million in the three-month periods ended March 31, 2017 and 2016, respectively. Income tax expense as a percentage of earnings before income taxes was 48% and 37% for the three-month periods ended March 31, 2017 and 2016, respectively. Income tax expense as a percentage of earnings before income taxes fluctuates depending on our estimate of ultimate income tax liability and changes in the characteristics of net earnings, such as the weighting of operating income versus investment income. The increase in income tax expense as a percentage of earnings before income taxes from the 2016 period to the 2017 period was primarily driven by increased tax expense of $21 million resulting from a change in judgment of the tax deductibility of legal settlements finalized in the 2017 period.</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Equity in (losses) earnings of unconsolidated affiliates was $(2) million and $2 million for the three-month periods ended March 31, 2017 and 2016, respectively. The equity in (losses) earnings in 2017 and 2016 consisted primarily of net losses related to our investment in Ceridian, offset by earnings at various other unconsolidated affiliates, which is described further at the segment level below.</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4"/>
        </w:trPr>
        <w:tc>
          <w:tcPr>
            <w:tcW w:w="90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190"/>
        </w:trPr>
        <w:tc>
          <w:tcPr>
            <w:tcW w:w="9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6"/>
                <w:szCs w:val="16"/>
                <w:color w:val="auto"/>
              </w:rPr>
            </w:pPr>
          </w:p>
        </w:tc>
      </w:tr>
      <w:tr>
        <w:trPr>
          <w:trHeight w:val="255"/>
        </w:trPr>
        <w:tc>
          <w:tcPr>
            <w:tcW w:w="90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530</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1,447</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506</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331</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9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earnings of unconsolidated affiliates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121</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322</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2,032</w:t>
            </w:r>
          </w:p>
        </w:tc>
      </w:tr>
      <w:tr>
        <w:trPr>
          <w:trHeight w:val="27"/>
        </w:trPr>
        <w:tc>
          <w:tcPr>
            <w:tcW w:w="9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revenues for the Title segment increased by $123 million, or 9%, in the three months ended March 31, 2017 from the corresponding periods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4"/>
              </w:rPr>
              <w:t>Three months ended March 31,</w:t>
            </w:r>
          </w:p>
        </w:tc>
        <w:tc>
          <w:tcPr>
            <w:tcW w:w="720" w:type="dxa"/>
            <w:vAlign w:val="bottom"/>
            <w:tcBorders>
              <w:bottom w:val="single" w:sz="8" w:color="auto"/>
            </w:tcBorders>
          </w:tcPr>
          <w:p>
            <w:pPr>
              <w:spacing w:after="0"/>
              <w:rPr>
                <w:sz w:val="16"/>
                <w:szCs w:val="16"/>
                <w:color w:val="auto"/>
              </w:rPr>
            </w:pPr>
          </w:p>
        </w:tc>
      </w:tr>
      <w:tr>
        <w:trPr>
          <w:trHeight w:val="258"/>
        </w:trPr>
        <w:tc>
          <w:tcPr>
            <w:tcW w:w="7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 of</w:t>
            </w:r>
          </w:p>
        </w:tc>
      </w:tr>
      <w:tr>
        <w:trPr>
          <w:trHeight w:val="276"/>
        </w:trPr>
        <w:tc>
          <w:tcPr>
            <w:tcW w:w="7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6"/>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(Dollars in millions)</w:t>
            </w:r>
          </w:p>
        </w:tc>
        <w:tc>
          <w:tcPr>
            <w:tcW w:w="72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583</w:t>
            </w: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97"/>
              <w:spacing w:after="0"/>
              <w:rPr>
                <w:sz w:val="20"/>
                <w:szCs w:val="20"/>
                <w:color w:val="auto"/>
              </w:rPr>
            </w:pPr>
            <w:r>
              <w:rPr>
                <w:rFonts w:ascii="Arial" w:cs="Arial" w:eastAsia="Arial" w:hAnsi="Arial"/>
                <w:sz w:val="18"/>
                <w:szCs w:val="18"/>
                <w:color w:val="auto"/>
              </w:rPr>
              <w:t>56</w:t>
            </w: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increased by 10% in the three months ended March 31, 2017 as compared to the corresponding period in 2016. The increase is comprised of an increase in Title premiums from direct operations of $43 million, or 10%, and an increase in Title premiums from agency operations of $53 million, or 10%, in the three months ended March 31,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percentages of open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780" w:type="dxa"/>
            <w:vAlign w:val="bottom"/>
          </w:tcPr>
          <w:p>
            <w:pPr>
              <w:spacing w:after="0"/>
              <w:rPr>
                <w:sz w:val="22"/>
                <w:szCs w:val="22"/>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87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878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7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7"/>
        </w:trPr>
        <w:tc>
          <w:tcPr>
            <w:tcW w:w="87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8"/>
                <w:szCs w:val="18"/>
                <w:color w:val="auto"/>
              </w:rPr>
              <w:t>(1)  Percentages exclude consideration of an immaterial number of non-purchase and non-refinance orders.</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Title premiums from direct operations increased in the three months ended March 31, 2017 as compared to the corresponding period in 2016. The increase in the three-month period is primarily due to an increase in closed order volume and an increase in the fee per file. We experienced a favorable increase in closed title insurance order volume from purchase transactions and an unfavorable decrease in refinance transactions in the three months ended March 31, 2017 as compared to the corresponding period in 2016. Closed order volumes were 334,000 in the three months ended March 31, 2017 compared with 322,000 in the three months ended March 31, 2016. This represented an overall increase of 4%. Open title orders decreased over the three months ended March 31, 2017 as compared to the corresponding period in 2016. The decrease reflected an increase in purchase transactions that was more than offset by a decrease in refinance transactions.The average fee per file in our direct operations was $2,148 in the three months ended March 31, 2017 compared to $2,032 in the three months ended March 31, 2016. The increase in average fee per file in the three months ended March 31, 2017 reflects a strong commercial market relative to the first quarter of 2016, a modestly improving residential purchase market, and a modestly weaker residential refinance market relative to the prior year. The residential refinance market has considerably lower fees per closed order than commercial or residential purchase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6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increase in title premiums from agency operations is primarily the result of an increase in remitted agency premiums that reflects an improving residential purchase environment in many markets throughout the country. The increase also reflects a concerted effort by management to increase remittances with existing agents as well as cultivate new relationships with potential new agents while reducing unprofitable agency relationships.</w:t>
      </w:r>
    </w:p>
    <w:p>
      <w:pPr>
        <w:spacing w:after="0" w:line="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Escrow, title-related and other fees increased by $30 million, or 6%, in the three months ended March 31, 2017 from the corresponding period in 2016. Escrow fees, which are more closely related to our direct title operations, increased by $19 million, or 12%, in the three months ended March 31, 2017 compared to the corresponding period in 2016. The increase in escrow fees is directionally consistent with the increase in direct title premiums, steady growth in residential purchase transactions and rate increases in various markets. Other fees in the Title segment, excluding escrow fees, increased by $11 million, or 4%, in the three months ended March 31, 2017 from the corresponding period in 2016. This increase relates to increases in fees in our home warranty business, loan processing revenue at certain subsidiaries of ServiceLink and acquisitions made subsequent to March 31, 2016. The increases were offset by decreased revenue at certain other ServiceLink subsidiaries.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Interest and investment income decreased by $1 million in the three months ended March 31, 2017 compared to the corresponding period in 2016.</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There was a $42 million, or 8% increase in the three-month period ended March 31, 2017 compared to the corresponding period in 2016. The increase is primarily due to stronger residential purchase markets during the current year. Personnel costs as a percentage of total revenues from direct title premiums and escrow, title-related and other fees were 57% for the three-month periods ended March 31, 2017 and 57% for the three-month periods ended March 31, 2016. Average employee count in the Title segment was 22,569 and 20,806 in the three-month periods ended March 31, 2017 and 2016, respectively.</w:t>
      </w:r>
    </w:p>
    <w:p>
      <w:pPr>
        <w:spacing w:after="0" w:line="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services, professional services, travel expenses, general insurance, and bad debt expense on our trade and notes receivable. Other operating expenses increased by $4 million, or 1% in the three months ended March 31, 2017 from the corresponding period in 2016. Other operating expenses as a percentage of total revenue excluding agency premiums, interest and investment income, and realized gains and losses have remained consistent across all periods.</w:t>
      </w:r>
    </w:p>
    <w:p>
      <w:pPr>
        <w:spacing w:after="0" w:line="3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2016:</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and amortization increased by $3 million in the three months ended March 31, 2017 compared to the corresponding period in 2016.</w:t>
      </w:r>
    </w:p>
    <w:p>
      <w:pPr>
        <w:spacing w:after="0" w:line="1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claim loss provision for title insurance was $52 million for each of the three-month periods ended March 31, 2017 and 2016, respectively, and reflects an average provision rate of 5.0% and 5.5% of title premiums.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 In the fourth quarter of 2016, we revised our loss provision rate to 5.0% from 5.5% based upon an analysis of historical ultimate loss ratios, the reduced volatility of development of those historical ultimate loss ratios, and lower policy year loss ratios in recent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Knight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Black Knight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64"/>
        </w:trPr>
        <w:tc>
          <w:tcPr>
            <w:tcW w:w="90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190"/>
        </w:trPr>
        <w:tc>
          <w:tcPr>
            <w:tcW w:w="9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16"/>
                <w:szCs w:val="16"/>
                <w:color w:val="auto"/>
              </w:rPr>
            </w:pPr>
          </w:p>
        </w:tc>
      </w:tr>
      <w:tr>
        <w:trPr>
          <w:trHeight w:val="255"/>
        </w:trPr>
        <w:tc>
          <w:tcPr>
            <w:tcW w:w="9020" w:type="dxa"/>
            <w:vAlign w:val="bottom"/>
          </w:tcPr>
          <w:p>
            <w:pPr>
              <w:ind w:left="40"/>
              <w:spacing w:after="0"/>
              <w:rPr>
                <w:sz w:val="20"/>
                <w:szCs w:val="20"/>
                <w:color w:val="auto"/>
              </w:rPr>
            </w:pPr>
            <w:r>
              <w:rPr>
                <w:rFonts w:ascii="Arial" w:cs="Arial" w:eastAsia="Arial" w:hAnsi="Arial"/>
                <w:sz w:val="18"/>
                <w:szCs w:val="18"/>
                <w:color w:val="auto"/>
              </w:rPr>
              <w:t>Revenues:</w:t>
            </w: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760" w:type="dxa"/>
            <w:vAlign w:val="bottom"/>
          </w:tcPr>
          <w:p>
            <w:pPr>
              <w:spacing w:after="0"/>
              <w:rPr>
                <w:sz w:val="23"/>
                <w:szCs w:val="23"/>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w w:val="86"/>
              </w:rPr>
              <w:t>258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242</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6"/>
              </w:rPr>
              <w:t>256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7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w w:val="86"/>
              </w:rPr>
              <w:t>101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96</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37"/>
        </w:trPr>
        <w:tc>
          <w:tcPr>
            <w:tcW w:w="902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7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6"/>
              </w:rPr>
              <w:t>215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r>
      <w:tr>
        <w:trPr>
          <w:trHeight w:val="27"/>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76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Total revenues for our Black Knight segment increased $14 million, or 6%, in the three-month period ended March 31, 2017. This increase was comprised of an increase of $18 million in its technology segment and decreases of $3 million and $1 million in its data and analytics and corporate segments, respectively. The increase in its technology segment was driven by higher average loan volumes on its mortgage servicing platform, price increases and higher transaction volumes in its servicing technology business and by the acquisition of eLynx Holdings, Inc. ("eLynx") partially offset by lower consulting revenues, client contract termination fees and volumes resulting from a decline in refinance transactions in its origination technology business. The decrease in its data and analytics business was driven by the realignment of Property Insight, partially offset by increased revenue associated with its acquisition of Motivity Solutions, Inc. ("Motivity") and growth in its multiple listing service and property data businesses.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Personnel costs increased by $5 million, or 5%, in the three-month period ended March 31, 2017 compared to the corresponding period in 2016. The increase was primarily driven by the acquisitions of eLynx and Motivity and by higher net personnel costs, partially offset by lower expenses from the Property Insight realignment in its Data and Analytics segment.</w:t>
      </w:r>
    </w:p>
    <w:p>
      <w:pPr>
        <w:spacing w:after="0" w:line="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operating expenses increased by $4 million, or 10%, in the three-month period ended March 31, 2017 compared to the corresponding period in 2016. The increase was primarily attributable to legal and professional fees associated with the Plan and the acquisitions of eLynx and Motivity, partially offset by lower expenses from the Property Insight realignment.</w:t>
      </w:r>
    </w:p>
    <w:p>
      <w:pPr>
        <w:spacing w:after="0" w:line="7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Depreciation and amortization increased by $5 million, or 10%, in the three-month period ended March 31, 2017 compared to the corresponding period in 2016. The increase is primarily due to accelerated amortization of $3 million related to certain deferred implementation costs.</w:t>
      </w:r>
    </w:p>
    <w:p>
      <w:pPr>
        <w:spacing w:after="0" w:line="3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Earnings from continuing operations before income taxes remained flat in the three-month period ended March 31, 2017 compared to the corresponding period in 2016 primarily due to the factors outlined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 Corporate and Other</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FNF Group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FNF Group Corporate and Other segment generated revenues of $63 million and $30 million for the three months ended March 31, 2017 and 2016, respectively. The revenue in both periods represents revenue generated by our real estate brokerage subsidiaries and other real estate related companies offset by the elimination of revenues between our Black Knight segment and our Title segment. The increase of $33 million, or 110%, in the three months ended March 31, 2017 is primarily attributable to the acquisition of Commissions, Inc. ("CINC") and to revenue growth at our real estate brokerage subsidiaries.</w:t>
      </w:r>
    </w:p>
    <w:p>
      <w:pPr>
        <w:spacing w:after="0" w:line="4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Other operating expenses in the FNF Group Corporate and Other segment were $55 million and $33 million for the three months ended March 31, 2017 and 2016, respectively. Both periods reflect expenses at our real estate brokerage subsidiaries and other real estate related companies offset by the elimination of management fees and other intercompany fees between our Black Knight segment and our Title segment. The increase of $22 million, or 67% is primarily attributable to the acquisition of CINC and growth of our real estate brokerage subsidiaries.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remained flat in the three-month period ended March 31, 2017 compared to the corresponding period in 2016 .</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This segment generated pretax losses of $32 million for each of the three month periods ended March 31, 2017 and 2016, due to the factors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190"/>
        </w:trPr>
        <w:tc>
          <w:tcPr>
            <w:tcW w:w="8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restaurant revenue</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8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245</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880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277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from continuing operations before income taxes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8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Total revenues for the Restaurant group segment decreased $17 million, or 6%, in the three months ended March 31, 2017 from the corresponding period in 2016. The decrease is primarily attributable to lower same store sales and to a lesser extent the sale of the Max &amp; Erma's concept in January 2016.</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restaurant revenue decreased by $9 million, or 4%, in the three months ended March 31, 2017 from the corresponding period in 2016. The change is consistent with the change in revenue.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expenses decreased by $6 million, or 29%, in the three months ended March 31, 2017 from the corresponding period in 2016. The decrease is primarily related to sale of the Max &amp; Erma's concept in January 2016.</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(Loss) earnings from continuing operations before income taxes decreased by $4 million, or 100%, in the three months ended March 31, 2017 from the corresponding period in 2016. The decrease is attributable to the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FNFV Corporate and Other segment includes our share in the operations of certain equity investments, including Ceridian, OneDigital, and other smaller operations which are not title-related. This segment also includes our Investment Success Incentive Program ("ISIP") which is tied to monetization or liquidity events producing realized or realizable economic gains relating to our investments.</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FNFV Corporate and Other segment generated revenues of $55 million and $39 million for the three months ended March 31, 2017 and 2016, respectively. The increase of $16 million, or 41%, is primarily attributable to increased revenue resulting from acquisitions and growth at OneDigital and to revenue associated with smaller FNFV acquisitions in 2016.</w:t>
      </w:r>
    </w:p>
    <w:p>
      <w:pPr>
        <w:spacing w:after="0" w:line="7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Other operating expenses were $10 million and $6 million for the three months ended March 31, 2017 and 2016, respectively. The increase of $4 million is primarily attributable to acquisitions and growth at OneDigital and to expense associated with smaller FNFV acquisitions in 2016.</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were $33 million and $25 million for the three months ended March 31, 2017 and 2016, respectively. The change is primarily attributable to acquisitions and growth at OneDigital and to costs associated with smaller FNFV acquisitions in 2016.</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generated pretax earnings of $5 million and $1 million for the three months ended March 31, 2017 and 2016, respectively. The change in earnings is attributable to the aforementioned changes in earnings and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on our debt, capital expenditures, business acquisitions, stock repurchases and dividends on our common stock. We paid dividends of $0.25 per share for the first quarter of 2017, or approximately $68 million to our FNF Group common shareholders. On May 3, 2017, our Board of Directors declared cash dividends of $0.25 per share, payable on June 30, 2017, to FNF Group common shareholders of record as of June 16, 2017. There are no restrictions on our retained earnings</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2016, $2,149 million of our net assets were restricted from dividend payments without prior approval from the relevant departments of insurance. In the first quarter of 2017 regulatory approval was received for the Redomestication of three of the Company’s title insurance underwriters, Fidelity National Title Insurance Company, Chicago Title Insurance Company and Commonwealth Land Title Insurance Company, to redomesticate from their existing states of domicile to Florida effective March 1, 2017. In conjunction with the Redomestication, the Company received a special dividend from these title insurance underwriters of $280 million on March 15, 2017. We anticipate that our title insurance subsidiaries will pay or make dividends in the remainder of 2017 of approximately $461 million. Our underwritten title companies and non-insurance subsidiaries are not regulated to the same extent as our insurance subsidiaries.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 Group's operations will be used for general corporate purposes including to reinvest in core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cash flows provided by operations for the three months ended March 31, 2017 and 2016 totaled $4 million and $92 million, respectively. The decrease of $88 million is primarily attributable to the payment of legal settlements of $65 million, timing of payment of payroll expenses, and increased payments of deposits for certain prepaid assets, partially offset by lower payments for taxes in the 2017 period.</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and capitalized software were $46 million and $50 million for the three-month periods ended March 31, 2017 and 2016, respectively, with the decrease primarily related to decreased capital expenditures in our FNFV Group.</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E included in Item 1 of Part 1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Item 2 of Part I.</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May 2017, our 6.6% Notes will mature. We plan to payoff the 6.6% Notes through borrowing under our Revolving Credit Facility.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levels for the real estate industry including title insurers.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other than as described in Note E to the Condensed Consolidated Financial Statements included in Item 1 of Part I of this Quarterly Report.</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October 28, 2014, our Board of Directors approved a three-year stock purchase program, effective November 6, 2014,</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we can repurchase up to 10 million shares of our FNFV Group common stock through November 30, 2017. We exhausted all available repurchases under this program during February 2016. On February 18, 2016, our Board of Directors approved a new FNFV Group three-year stock repurchase program, effective March 1, 2016, under which we may repurchase up to 15 million shares of FNFV Group common stock through February 28, 2019. We may make repurchases from time to time in the open market, in block purchases or in privately negotiated transactions, depending on market conditions and other factors. Since the original commencement of the plan adopted February 18, 2016, we have repurchased a total of 3,955,000 shares for $45 million, or an average of $11.40 per share, and there are 11,045,000 shares available to be repurchased under this program. We have not made any repurchases under this program in the quarter ended March 31, 2017.</w:t>
      </w:r>
    </w:p>
    <w:p>
      <w:pPr>
        <w:spacing w:after="0" w:line="1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July 20, 2015, our Board of Directors approved a new three-year stock repurchase program under which we can purchase up to 25 million shares of our FNF Group common stock through July 30, 2018. We may make repurchases from time to time in the open market, in block purchases or in privately negotiated transactions, depending on market conditions and other factors. Since the original commencement of the plan, we have repurchased a total of 10,589,000 FNF Group common shares for $372 million, or an average of $35.10 per share, and there are 14,411,000 shares available to be repurchased under this program. We have not made any repurchases under this program in the quarter ended March 31, 2017.</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There have been no significant changes to our off-balance sheet arrangements since our Annual Report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material changes to our critical accounting policies described in our Annual Report for our fiscal year ended December 31, 2016.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discussion of legal proceedings in Note F to the Condensed Consolidated Financial Statements included in Item 1 of Part I of this Report, which is incorporated by reference into this Item 1 of Part II.</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080" w:type="dxa"/>
            <w:vAlign w:val="bottom"/>
          </w:tcPr>
          <w:p>
            <w:pPr>
              <w:jc w:val="right"/>
              <w:ind w:right="110"/>
              <w:spacing w:after="0"/>
              <w:rPr>
                <w:sz w:val="20"/>
                <w:szCs w:val="20"/>
                <w:color w:val="auto"/>
              </w:rPr>
            </w:pPr>
            <w:r>
              <w:rPr>
                <w:rFonts w:ascii="Arial" w:cs="Arial" w:eastAsia="Arial" w:hAnsi="Arial"/>
                <w:sz w:val="18"/>
                <w:szCs w:val="18"/>
                <w:color w:val="auto"/>
                <w:w w:val="90"/>
              </w:rPr>
              <w:t>(a) Exhibits:</w:t>
            </w:r>
          </w:p>
        </w:tc>
        <w:tc>
          <w:tcPr>
            <w:tcW w:w="10080" w:type="dxa"/>
            <w:vAlign w:val="bottom"/>
          </w:tcPr>
          <w:p>
            <w:pPr>
              <w:spacing w:after="0"/>
              <w:rPr>
                <w:sz w:val="20"/>
                <w:szCs w:val="20"/>
                <w:color w:val="auto"/>
              </w:rPr>
            </w:pPr>
          </w:p>
        </w:tc>
      </w:tr>
      <w:tr>
        <w:trPr>
          <w:trHeight w:val="485"/>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10.1</w:t>
            </w:r>
          </w:p>
        </w:tc>
        <w:tc>
          <w:tcPr>
            <w:tcW w:w="10080" w:type="dxa"/>
            <w:vAlign w:val="bottom"/>
          </w:tcPr>
          <w:p>
            <w:pPr>
              <w:ind w:left="200"/>
              <w:spacing w:after="0"/>
              <w:rPr>
                <w:sz w:val="20"/>
                <w:szCs w:val="20"/>
                <w:color w:val="auto"/>
              </w:rPr>
            </w:pPr>
            <w:r>
              <w:rPr>
                <w:rFonts w:ascii="Arial" w:cs="Arial" w:eastAsia="Arial" w:hAnsi="Arial"/>
                <w:sz w:val="18"/>
                <w:szCs w:val="18"/>
                <w:color w:val="auto"/>
                <w:w w:val="93"/>
              </w:rPr>
              <w:t>First Amendment, dated as of February 27, 2017, to Credit Agreement, dated as of August 19, 2014, among ABRH ,LLC, the lenders</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party thereto, Wells Fargo Bank N.A., as administrative agent, and the other agents party thereto (incorporated by reference to Exhibit</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10.1 to the Registrant's Current Report on Form 8-K filed on March 2, 2017)</w:t>
            </w:r>
          </w:p>
        </w:tc>
      </w:tr>
      <w:tr>
        <w:trPr>
          <w:trHeight w:val="377"/>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10.2</w:t>
            </w:r>
          </w:p>
        </w:tc>
        <w:tc>
          <w:tcPr>
            <w:tcW w:w="10080" w:type="dxa"/>
            <w:vAlign w:val="bottom"/>
          </w:tcPr>
          <w:p>
            <w:pPr>
              <w:ind w:left="200"/>
              <w:spacing w:after="0"/>
              <w:rPr>
                <w:sz w:val="20"/>
                <w:szCs w:val="20"/>
                <w:color w:val="auto"/>
              </w:rPr>
            </w:pPr>
            <w:r>
              <w:rPr>
                <w:rFonts w:ascii="Arial" w:cs="Arial" w:eastAsia="Arial" w:hAnsi="Arial"/>
                <w:sz w:val="18"/>
                <w:szCs w:val="18"/>
                <w:color w:val="auto"/>
                <w:w w:val="93"/>
              </w:rPr>
              <w:t>First Amendment, dated as of February 27, 2017, to Credit and Guaranty Agreement, dated as of May 27, 2015, by and among Black</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Knight InfoServ, LLC, a Delaware limited liability company, as the borrower, JPMorgan Chase Bank, N.A. as administrative agent, the</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3"/>
              </w:rPr>
              <w:t>guarantors party thereto, the other agents party thereto and the lenders party thereto (incorporated by reference to Exhibit 10.1 to the</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Registrant's Current Report on Form 8-K filed on March 2, 2017)</w:t>
            </w:r>
          </w:p>
        </w:tc>
      </w:tr>
      <w:tr>
        <w:trPr>
          <w:trHeight w:val="377"/>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10.3</w:t>
            </w:r>
          </w:p>
        </w:tc>
        <w:tc>
          <w:tcPr>
            <w:tcW w:w="10080" w:type="dxa"/>
            <w:vAlign w:val="bottom"/>
          </w:tcPr>
          <w:p>
            <w:pPr>
              <w:ind w:left="200"/>
              <w:spacing w:after="0"/>
              <w:rPr>
                <w:sz w:val="20"/>
                <w:szCs w:val="20"/>
                <w:color w:val="auto"/>
              </w:rPr>
            </w:pPr>
            <w:r>
              <w:rPr>
                <w:rFonts w:ascii="Arial" w:cs="Arial" w:eastAsia="Arial" w:hAnsi="Arial"/>
                <w:sz w:val="18"/>
                <w:szCs w:val="18"/>
                <w:color w:val="auto"/>
                <w:w w:val="91"/>
              </w:rPr>
              <w:t>Amendment and Restatement, dated as of March 17, 2017, to Credit Agreement, dated as of March 31, 2015, among Digital Insurance,</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1"/>
              </w:rPr>
              <w:t>Inc., Bank of America, N.A., as administrative agent, and the other lenders party thereto (incorporated by reference to Exhibit 10.1 to the</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Registrant's Current Report on Form 8-K filed on March 22, 2017)</w:t>
            </w:r>
          </w:p>
        </w:tc>
      </w:tr>
      <w:tr>
        <w:trPr>
          <w:trHeight w:val="377"/>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10.4</w:t>
            </w:r>
          </w:p>
        </w:tc>
        <w:tc>
          <w:tcPr>
            <w:tcW w:w="10080" w:type="dxa"/>
            <w:vAlign w:val="bottom"/>
          </w:tcPr>
          <w:p>
            <w:pPr>
              <w:ind w:left="200"/>
              <w:spacing w:after="0"/>
              <w:rPr>
                <w:sz w:val="20"/>
                <w:szCs w:val="20"/>
                <w:color w:val="auto"/>
              </w:rPr>
            </w:pPr>
            <w:r>
              <w:rPr>
                <w:rFonts w:ascii="Arial" w:cs="Arial" w:eastAsia="Arial" w:hAnsi="Arial"/>
                <w:sz w:val="18"/>
                <w:szCs w:val="18"/>
                <w:color w:val="auto"/>
                <w:w w:val="93"/>
              </w:rPr>
              <w:t>Second Amendment, dated as of April 26, 2017, to Credit and Guaranty Agreement, dated as of May 27, 2015, by and among Black</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Knight InfoServ, LLC, a Delaware limited liability company, as the borrower, JPMorgan Chase Bank, N.A. as administrative agent, the</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3"/>
              </w:rPr>
              <w:t>guarantors party thereto, the other agents party thereto and the lenders party thereto (incorporated by reference to Exhibit 10.1 to the</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Registrant's Current Report on Form 8-K filed on May 2, 2017)</w:t>
            </w:r>
          </w:p>
        </w:tc>
      </w:tr>
      <w:tr>
        <w:trPr>
          <w:trHeight w:val="377"/>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10.5</w:t>
            </w:r>
          </w:p>
        </w:tc>
        <w:tc>
          <w:tcPr>
            <w:tcW w:w="10080" w:type="dxa"/>
            <w:vAlign w:val="bottom"/>
          </w:tcPr>
          <w:p>
            <w:pPr>
              <w:ind w:left="200"/>
              <w:spacing w:after="0"/>
              <w:rPr>
                <w:sz w:val="20"/>
                <w:szCs w:val="20"/>
                <w:color w:val="auto"/>
              </w:rPr>
            </w:pPr>
            <w:r>
              <w:rPr>
                <w:rFonts w:ascii="Arial" w:cs="Arial" w:eastAsia="Arial" w:hAnsi="Arial"/>
                <w:sz w:val="18"/>
                <w:szCs w:val="18"/>
                <w:color w:val="auto"/>
                <w:w w:val="91"/>
              </w:rPr>
              <w:t>Restated Credit Agreement, dated as of April 27, 2017, to Existing Credit Agreement, dated as of June 25, 2013, by and among Fidelity</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1"/>
              </w:rPr>
              <w:t>National Financial, Inc., a Delaware corporation, as the borrower, Bank of America, N.A., as administrative agent, the other agents party</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0"/>
              </w:rPr>
              <w:t>thereto and the financial institutions party thereto as lenders (incorporated by reference to Exhibit 10.2 to the Registrant's Current Report</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on Form 8-K filed on May 2, 2017)</w:t>
            </w:r>
          </w:p>
        </w:tc>
      </w:tr>
      <w:tr>
        <w:trPr>
          <w:trHeight w:val="392"/>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31.1</w:t>
            </w:r>
          </w:p>
        </w:tc>
        <w:tc>
          <w:tcPr>
            <w:tcW w:w="10080" w:type="dxa"/>
            <w:vAlign w:val="bottom"/>
          </w:tcPr>
          <w:p>
            <w:pPr>
              <w:ind w:left="2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31.2</w:t>
            </w:r>
          </w:p>
        </w:tc>
        <w:tc>
          <w:tcPr>
            <w:tcW w:w="10080" w:type="dxa"/>
            <w:vAlign w:val="bottom"/>
          </w:tcPr>
          <w:p>
            <w:pPr>
              <w:ind w:left="2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32.1</w:t>
            </w:r>
          </w:p>
        </w:tc>
        <w:tc>
          <w:tcPr>
            <w:tcW w:w="10080" w:type="dxa"/>
            <w:vAlign w:val="bottom"/>
          </w:tcPr>
          <w:p>
            <w:pPr>
              <w:ind w:left="20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U.S.C. Section 1350.</w:t>
            </w:r>
          </w:p>
        </w:tc>
      </w:tr>
      <w:tr>
        <w:trPr>
          <w:trHeight w:val="526"/>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32.2</w:t>
            </w:r>
          </w:p>
        </w:tc>
        <w:tc>
          <w:tcPr>
            <w:tcW w:w="10080" w:type="dxa"/>
            <w:vAlign w:val="bottom"/>
          </w:tcPr>
          <w:p>
            <w:pPr>
              <w:ind w:left="20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w:t>
            </w:r>
          </w:p>
        </w:tc>
      </w:tr>
      <w:tr>
        <w:trPr>
          <w:trHeight w:val="230"/>
        </w:trPr>
        <w:tc>
          <w:tcPr>
            <w:tcW w:w="1080" w:type="dxa"/>
            <w:vAlign w:val="bottom"/>
          </w:tcPr>
          <w:p>
            <w:pPr>
              <w:spacing w:after="0"/>
              <w:rPr>
                <w:sz w:val="20"/>
                <w:szCs w:val="20"/>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U.S.C. Section 1350.</w:t>
            </w:r>
          </w:p>
        </w:tc>
      </w:tr>
      <w:tr>
        <w:trPr>
          <w:trHeight w:val="446"/>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99.1</w:t>
            </w:r>
          </w:p>
        </w:tc>
        <w:tc>
          <w:tcPr>
            <w:tcW w:w="10080" w:type="dxa"/>
            <w:vAlign w:val="bottom"/>
          </w:tcPr>
          <w:p>
            <w:pPr>
              <w:ind w:left="200"/>
              <w:spacing w:after="0"/>
              <w:rPr>
                <w:sz w:val="20"/>
                <w:szCs w:val="20"/>
                <w:color w:val="auto"/>
              </w:rPr>
            </w:pPr>
            <w:r>
              <w:rPr>
                <w:rFonts w:ascii="Arial" w:cs="Arial" w:eastAsia="Arial" w:hAnsi="Arial"/>
                <w:sz w:val="18"/>
                <w:szCs w:val="18"/>
                <w:color w:val="auto"/>
              </w:rPr>
              <w:t>Unaudited Attributed Financial Information for Fidelity National Financial Group Tracking Stock</w:t>
            </w:r>
          </w:p>
        </w:tc>
      </w:tr>
      <w:tr>
        <w:trPr>
          <w:trHeight w:val="432"/>
        </w:trPr>
        <w:tc>
          <w:tcPr>
            <w:tcW w:w="1080" w:type="dxa"/>
            <w:vAlign w:val="bottom"/>
          </w:tcPr>
          <w:p>
            <w:pPr>
              <w:jc w:val="right"/>
              <w:ind w:right="550"/>
              <w:spacing w:after="0"/>
              <w:rPr>
                <w:sz w:val="20"/>
                <w:szCs w:val="20"/>
                <w:color w:val="auto"/>
              </w:rPr>
            </w:pPr>
            <w:r>
              <w:rPr>
                <w:rFonts w:ascii="Arial" w:cs="Arial" w:eastAsia="Arial" w:hAnsi="Arial"/>
                <w:sz w:val="18"/>
                <w:szCs w:val="18"/>
                <w:color w:val="auto"/>
              </w:rPr>
              <w:t>99.2</w:t>
            </w:r>
          </w:p>
        </w:tc>
        <w:tc>
          <w:tcPr>
            <w:tcW w:w="10080" w:type="dxa"/>
            <w:vAlign w:val="bottom"/>
          </w:tcPr>
          <w:p>
            <w:pPr>
              <w:ind w:left="200"/>
              <w:spacing w:after="0"/>
              <w:rPr>
                <w:sz w:val="20"/>
                <w:szCs w:val="20"/>
                <w:color w:val="auto"/>
              </w:rPr>
            </w:pPr>
            <w:r>
              <w:rPr>
                <w:rFonts w:ascii="Arial" w:cs="Arial" w:eastAsia="Arial" w:hAnsi="Arial"/>
                <w:sz w:val="18"/>
                <w:szCs w:val="18"/>
                <w:color w:val="auto"/>
              </w:rPr>
              <w:t>Unaudited Attributed Financial Information for Fidelity National Financial Ventures Group Tracking Stock</w:t>
            </w:r>
          </w:p>
        </w:tc>
      </w:tr>
    </w:tbl>
    <w:p>
      <w:pPr>
        <w:spacing w:after="0" w:line="229" w:lineRule="exact"/>
        <w:rPr>
          <w:sz w:val="20"/>
          <w:szCs w:val="20"/>
          <w:color w:val="auto"/>
        </w:rPr>
      </w:pPr>
    </w:p>
    <w:p>
      <w:pPr>
        <w:jc w:val="both"/>
        <w:ind w:left="1520" w:hanging="1127"/>
        <w:spacing w:after="0" w:line="25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March 31, 2017,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Date: May 4, 2017</w:t>
            </w: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180" w:type="dxa"/>
            <w:vAlign w:val="bottom"/>
          </w:tcPr>
          <w:p>
            <w:pPr>
              <w:spacing w:after="0"/>
              <w:rPr>
                <w:sz w:val="20"/>
                <w:szCs w:val="20"/>
                <w:color w:val="auto"/>
              </w:rPr>
            </w:pP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86"/>
        </w:trPr>
        <w:tc>
          <w:tcPr>
            <w:tcW w:w="3180" w:type="dxa"/>
            <w:vAlign w:val="bottom"/>
          </w:tcPr>
          <w:p>
            <w:pPr>
              <w:spacing w:after="0"/>
              <w:rPr>
                <w:sz w:val="24"/>
                <w:szCs w:val="24"/>
                <w:color w:val="auto"/>
              </w:rPr>
            </w:pP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1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18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Table of Contents</w:t>
              </w:r>
            </w:hyperlink>
          </w:p>
        </w:tc>
        <w:tc>
          <w:tcPr>
            <w:tcW w:w="9900" w:type="dxa"/>
            <w:vAlign w:val="bottom"/>
          </w:tcPr>
          <w:p>
            <w:pPr>
              <w:spacing w:after="0"/>
              <w:rPr>
                <w:sz w:val="17"/>
                <w:szCs w:val="17"/>
                <w:color w:val="auto"/>
              </w:rPr>
            </w:pPr>
          </w:p>
        </w:tc>
      </w:tr>
      <w:tr>
        <w:trPr>
          <w:trHeight w:val="1020"/>
        </w:trPr>
        <w:tc>
          <w:tcPr>
            <w:tcW w:w="1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809"/>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First Amendment, dated as of February 27, 2017, to Credit Agreement, dated as of August 19, 2014, among ABRH ,LLC, the lenders</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party thereto, Wells Fargo Bank N.A., as administrative agent, and the other agents party thereto (incorporated by reference to Exhibit</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10.1 to the Registrant's Current Report on Form 8-K filed on March 2, 2017)</w:t>
            </w:r>
          </w:p>
        </w:tc>
      </w:tr>
      <w:tr>
        <w:trPr>
          <w:trHeight w:val="377"/>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First Amendment, dated as of February 27, 2017, to Credit and Guaranty Agreement, dated as of May 27, 2015, by and among Black</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Knight InfoServ, LLC, a Delaware limited liability company, as the borrower, JPMorgan Chase Bank, N.A. as administrative agent, the</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guarantors party thereto, the other agents party thereto and the lenders party thereto (incorporated by reference to Exhibit 10.1 to the</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Registrant's Current Report on Form 8-K filed on March 2, 2017)</w:t>
            </w:r>
          </w:p>
        </w:tc>
      </w:tr>
      <w:tr>
        <w:trPr>
          <w:trHeight w:val="391"/>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0"/>
              </w:rPr>
              <w:t>Amendment and Restatement, dated as of March 17, 2017, to Credit Agreement, dated as of March 31, 2015, among Digital Insurance,</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3"/>
              </w:rPr>
              <w:t>Inc., Bank of America, N.A., as administrative agent, and the other lenders party thereto (incorporated by reference to Exhibit 10.1 to</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the Registrant's Current Report on Form 8-K filed on March 22, 2017)</w:t>
            </w:r>
          </w:p>
        </w:tc>
      </w:tr>
      <w:tr>
        <w:trPr>
          <w:trHeight w:val="377"/>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3"/>
              </w:rPr>
              <w:t>Second Amendment, dated as of April 26, 2017, to Credit and Guaranty Agreement, dated as of May 27, 2015, by and among Black</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Knight InfoServ, LLC, a Delaware limited liability company, as the borrower, JPMorgan Chase Bank, N.A. as administrative agent, the</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2"/>
              </w:rPr>
              <w:t>guarantors party thereto, the other agents party thereto and the lenders party thereto (incorporated by reference to Exhibit 10.1 to the</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Registrant's Current Report on Form 8-K filed on May 2, 2017)</w:t>
            </w:r>
          </w:p>
        </w:tc>
      </w:tr>
      <w:tr>
        <w:trPr>
          <w:trHeight w:val="377"/>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1"/>
              </w:rPr>
              <w:t>Restated Credit Agreement, dated as of April 27, 2017, to Existing Credit Agreement, dated as of June 25, 2013, by and among Fidelity</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National Financial, Inc., a Delaware corporation, as the borrower, Bank of America, N.A., as administrative agent, the other agents</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1"/>
              </w:rPr>
              <w:t>party thereto and the financial institutions party thereto as lenders (incorporated by reference to Exhibit 10.2 to the Registrant's Current</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Report on Form 8-K filed on May 2, 2017)</w:t>
            </w:r>
          </w:p>
        </w:tc>
      </w:tr>
      <w:tr>
        <w:trPr>
          <w:trHeight w:val="392"/>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 of 2002, 18</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U.S.C. Section 1350.</w:t>
            </w:r>
          </w:p>
        </w:tc>
      </w:tr>
      <w:tr>
        <w:trPr>
          <w:trHeight w:val="526"/>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U.S.C. Section 1350.</w:t>
            </w:r>
          </w:p>
        </w:tc>
      </w:tr>
      <w:tr>
        <w:trPr>
          <w:trHeight w:val="446"/>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Unaudited Attributed Financial Information for Fidelity National Financial Group Tracking Stock</w:t>
            </w:r>
          </w:p>
        </w:tc>
      </w:tr>
      <w:tr>
        <w:trPr>
          <w:trHeight w:val="432"/>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18"/>
                <w:szCs w:val="18"/>
                <w:color w:val="auto"/>
              </w:rPr>
              <w:t>Unaudited Attributed Financial Information for Fidelity National Financial Ventures Group Tracking Stock</w:t>
            </w:r>
          </w:p>
        </w:tc>
      </w:tr>
    </w:tbl>
    <w:p>
      <w:pPr>
        <w:spacing w:after="0" w:line="229" w:lineRule="exact"/>
        <w:rPr>
          <w:sz w:val="20"/>
          <w:szCs w:val="20"/>
          <w:color w:val="auto"/>
        </w:rPr>
      </w:pPr>
    </w:p>
    <w:p>
      <w:pPr>
        <w:jc w:val="both"/>
        <w:ind w:left="1540" w:hanging="1127"/>
        <w:spacing w:after="0" w:line="25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March 31, 2017,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08" w:right="2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4, 2017</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4, 2017</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revenues, expenses and cash flows that are attributed to our FNF core business, known as FNF Group (“we,” or “our,”). The financial information in this Exhibit should be read in conjunction with our unaudited condensed consolidated financial statements for the period ended March 31, 2017 included in this Quarterly Report on Form 10-Q.</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is comprised of three operating segments as follows:</w:t>
      </w:r>
    </w:p>
    <w:p>
      <w:pPr>
        <w:spacing w:after="0" w:line="90" w:lineRule="exact"/>
        <w:rPr>
          <w:sz w:val="20"/>
          <w:szCs w:val="20"/>
          <w:color w:val="auto"/>
        </w:rPr>
      </w:pPr>
    </w:p>
    <w:p>
      <w:pPr>
        <w:jc w:val="both"/>
        <w:ind w:left="660" w:hanging="409"/>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FNF Group Corporate and Other. </w:t>
      </w:r>
      <w:r>
        <w:rPr>
          <w:rFonts w:ascii="Arial" w:cs="Arial" w:eastAsia="Arial" w:hAnsi="Arial"/>
          <w:sz w:val="18"/>
          <w:szCs w:val="18"/>
          <w:color w:val="auto"/>
        </w:rPr>
        <w:t>This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and other real estate operations.</w:t>
      </w:r>
    </w:p>
    <w:p>
      <w:pPr>
        <w:spacing w:after="0" w:line="2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and the FNFV Group (see Exhibit 99.2).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 Group,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 Group common stock are subject to risks associated with an investment in FNF, Inc. and all of its businesses, assets and liabilities.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2016 for further discussion of risks associated with our tracking stock structure.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(Unaudited)</w:t>
            </w:r>
          </w:p>
        </w:tc>
      </w:tr>
      <w:tr>
        <w:trPr>
          <w:trHeight w:val="276"/>
        </w:trPr>
        <w:tc>
          <w:tcPr>
            <w:tcW w:w="8580" w:type="dxa"/>
            <w:vAlign w:val="bottom"/>
          </w:tcPr>
          <w:p>
            <w:pPr>
              <w:ind w:left="47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57"/>
        </w:trPr>
        <w:tc>
          <w:tcPr>
            <w:tcW w:w="8580" w:type="dxa"/>
            <w:vAlign w:val="bottom"/>
          </w:tcPr>
          <w:p>
            <w:pPr>
              <w:ind w:left="180"/>
              <w:spacing w:after="0" w:line="157" w:lineRule="exact"/>
              <w:rPr>
                <w:sz w:val="20"/>
                <w:szCs w:val="20"/>
                <w:color w:val="auto"/>
              </w:rPr>
            </w:pPr>
            <w:r>
              <w:rPr>
                <w:rFonts w:ascii="Arial" w:cs="Arial" w:eastAsia="Arial" w:hAnsi="Arial"/>
                <w:sz w:val="14"/>
                <w:szCs w:val="14"/>
                <w:color w:val="auto"/>
                <w:w w:val="94"/>
              </w:rPr>
              <w:t>Fixed maturity securities available for sale, at fair value, at March 31, 2017 and December 31, 2016 includes pledged fixed maturity securities of</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8"/>
        </w:trPr>
        <w:tc>
          <w:tcPr>
            <w:tcW w:w="8580" w:type="dxa"/>
            <w:vAlign w:val="bottom"/>
          </w:tcPr>
          <w:p>
            <w:pPr>
              <w:ind w:left="180"/>
              <w:spacing w:after="0"/>
              <w:rPr>
                <w:sz w:val="20"/>
                <w:szCs w:val="20"/>
                <w:color w:val="auto"/>
              </w:rPr>
            </w:pPr>
            <w:r>
              <w:rPr>
                <w:rFonts w:ascii="Arial" w:cs="Arial" w:eastAsia="Arial" w:hAnsi="Arial"/>
                <w:sz w:val="14"/>
                <w:szCs w:val="14"/>
                <w:color w:val="auto"/>
              </w:rPr>
              <w:t>$362 and $332, respectively, related to secured trust deposits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2,407</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386</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Other long-term investments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163"/>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Short-term investments, at March 31, 2017 and December 31, 2016 includes pledged short-term investments of $3 and $212, respectively,</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8"/>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secured trust deposits</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investments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3,786</w:t>
            </w:r>
          </w:p>
        </w:tc>
      </w:tr>
      <w:tr>
        <w:trPr>
          <w:trHeight w:val="163"/>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Cash and cash equivalents, at March 31, 2017 and December 31, 2016 includes $398 and $331, respectively, of pledged cash related to secured</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w:t>
            </w:r>
          </w:p>
        </w:tc>
      </w:tr>
      <w:tr>
        <w:trPr>
          <w:trHeight w:val="19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trust deposits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 and notes receivables, net of allowance of $24 and $26 at March 31, 2017 and December 31, 2016, respectively</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479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4,859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Title plant</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395</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12,755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13,063</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70"/>
        </w:trPr>
        <w:tc>
          <w:tcPr>
            <w:tcW w:w="8580" w:type="dxa"/>
            <w:vAlign w:val="bottom"/>
            <w:shd w:val="clear" w:color="auto" w:fill="CCEEFF"/>
          </w:tcPr>
          <w:p>
            <w:pPr>
              <w:ind w:left="4060"/>
              <w:spacing w:after="0"/>
              <w:rPr>
                <w:sz w:val="20"/>
                <w:szCs w:val="20"/>
                <w:color w:val="auto"/>
              </w:rPr>
            </w:pPr>
            <w:r>
              <w:rPr>
                <w:rFonts w:ascii="Arial" w:cs="Arial" w:eastAsia="Arial" w:hAnsi="Arial"/>
                <w:sz w:val="14"/>
                <w:szCs w:val="14"/>
                <w:b w:val="1"/>
                <w:bCs w:val="1"/>
                <w:color w:val="auto"/>
              </w:rPr>
              <w:t>LIABILITIES AND EQUITY</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Reserve for title claim losses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1,487</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Notes payable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2,513</w:t>
            </w: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6,853</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Redeemable non-controlling interest by 21% minority holder of ServiceLink Holdings, LLC</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5"/>
              </w:rPr>
              <w:t>FNF Group common stock, $0.0001 par value; authorized 487,000,000 shares as of March 31, 2017 and December 31, 2016; outstanding of</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w w:val="94"/>
              </w:rPr>
              <w:t>272,248,544 and 272,205,261 as of March 31, 2017 and December 31, 2016, respectively, and issued of 285,086,230 and 285,041,900 as of</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March 31, 2017 and December 31, 2016, respectively</w:t>
            </w:r>
          </w:p>
        </w:tc>
        <w:tc>
          <w:tcPr>
            <w:tcW w:w="2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3,685</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1,791</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12,837,686 and 12,836,639 shares as of March 31, 2017 and December 31, 2016, respectively</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r>
      <w:tr>
        <w:trPr>
          <w:trHeight w:val="25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Group shareholders’ equity</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w:t>
            </w: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5,859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5,866</w:t>
            </w: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12,755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13,063</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38"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Three months ended March</w:t>
      </w:r>
    </w:p>
    <w:p>
      <w:pPr>
        <w:spacing w:after="0" w:line="26"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Direct title insurance premiums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Agency title insurance premiums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92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Claim loss expense</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926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losses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March 31,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r>
      <w:tr>
        <w:trPr>
          <w:trHeight w:val="33"/>
        </w:trPr>
        <w:tc>
          <w:tcPr>
            <w:tcW w:w="9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85</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Loss on sales of investments and other assets, net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Impairment of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decrease in trade receivables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reserve for title claim losses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sales of investment securities available for sale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Additions to property and equipment and capitalized software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(purchases of) proceeds from short-term investment securities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235</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Contributions to investments in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Distributions from investments in unconsolidated affiliates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other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Other acquisitions/disposals of businesses, net of cash acquired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Borrowings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Debt service payments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Equity portion of conversions settled in cash</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Purchases of treasury stock</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excluding pledged cash related to secured trust deposits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w:t>
            </w:r>
          </w:p>
        </w:tc>
      </w:tr>
      <w:tr>
        <w:trPr>
          <w:trHeight w:val="231"/>
        </w:trPr>
        <w:tc>
          <w:tcPr>
            <w:tcW w:w="9440" w:type="dxa"/>
            <w:vAlign w:val="bottom"/>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12700</wp:posOffset>
            </wp:positionV>
            <wp:extent cx="1217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-130175</wp:posOffset>
            </wp:positionV>
            <wp:extent cx="1217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ectPr>
          <w:pgSz w:w="11900" w:h="16838" w:orient="portrait"/>
          <w:cols w:equalWidth="0" w:num="1">
            <w:col w:w="11360"/>
          </w:cols>
          <w:pgMar w:left="280" w:top="364" w:right="25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364" w:right="25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Group Tracking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Through FNF Group, 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Group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Group also provides industry-leading mortgage technology solutions, including MSP®, the leading residential mortgage servicing technology platform in the U.S., through its majority-owned subsidiary, Black Knight Financial Services, Inc. ("Black Knight").</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2017 regulatory approval was received for three of the Company’s title insurance underwriters, Fidelity National Title Insurance Company, Chicago Title Insurance Company and Commonwealth Land Title Insurance Company, to redomesticate from their existing states of domicile to Florida (the "Redomestication") effective March 1, 2017. In conjunction with the Redomestication, the Company received a special dividend from these title insurance underwriters of $280 million on March 15, 2017.</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7, 2016, we announced that our Board of Directors approved a tax-free plan (the "Plan") whereby (1) we intend to distribute all 83.3 million shares of Black Knight Financial Services Inc. common stock that we currently own to FNF Group shareholders and (2) we intend to redeem all FNFV shares in exchange for shares of common stock of FNFV. Following the distributions, FNF, FNFV and Black Knight will each be independent, fully-distributed, publicly-traded common stocks, with FNF and FNFV no longer being tracking stocks. The Plan is subject to the receipt of private letter rulings from the Internal Revenue Service approving the distribution of Black Knight and FNFV shares, filing and acceptance of a registration statement for both the Black Knight and FNFV transactions with the Securities and Exchange Commission, Black Knight and FNFV shareholder approvals and other customary closing conditions. The closing of the tax-free distributions of Black Knight and FNFV are not dependent on one another and will occur separately when the aforementioned closing conditions are met. The closing of the distributions is expected by the end of the third quarter of 2017.</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unaudited condensed consolidated financial statements for the period ended March 31, 2017 included in this Quarterly Report on Form 10-Q.</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FNFV group, our diversified investment holding company, we own majority and minority equity investment stakes in a number of entities, including American Blue Ribbon Holdings, LLC ("ABRH"), Ceridian HCM, Inc. ("Ceridian"), and Digital Insurance, Inc. ("OneDigital").</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Group is comprised of two operating segments as follows:</w:t>
      </w:r>
    </w:p>
    <w:p>
      <w:pPr>
        <w:spacing w:after="0" w:line="117" w:lineRule="exact"/>
        <w:rPr>
          <w:sz w:val="20"/>
          <w:szCs w:val="20"/>
          <w:color w:val="auto"/>
        </w:rPr>
      </w:pPr>
    </w:p>
    <w:p>
      <w:pPr>
        <w:jc w:val="both"/>
        <w:ind w:left="660" w:hanging="409"/>
        <w:spacing w:after="0" w:line="264"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w:t>
      </w:r>
    </w:p>
    <w:p>
      <w:pPr>
        <w:spacing w:after="0" w:line="127" w:lineRule="exact"/>
        <w:rPr>
          <w:rFonts w:ascii="Arial" w:cs="Arial" w:eastAsia="Arial" w:hAnsi="Arial"/>
          <w:sz w:val="18"/>
          <w:szCs w:val="18"/>
          <w:i w:val="1"/>
          <w:iCs w:val="1"/>
          <w:color w:val="auto"/>
        </w:rPr>
      </w:pPr>
    </w:p>
    <w:p>
      <w:pPr>
        <w:ind w:left="660" w:right="20" w:hanging="409"/>
        <w:spacing w:after="0" w:line="308" w:lineRule="auto"/>
        <w:tabs>
          <w:tab w:leader="none" w:pos="66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OneDigital, in which we own 96%, and other smaller investments which are not title-related.</w:t>
      </w:r>
    </w:p>
    <w:p>
      <w:pPr>
        <w:spacing w:after="0" w:line="20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(see Exhibit 99.1) and the FNFV Group.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FNFV,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FNFV Group common stock are subject to risks associated with an investment in FNF, Inc. and all of its businesses, assets and liabilities. The issuance of FNFV Group common stock does not affect the rights of FNF, Inc.'s creditors or creditors of its subsidiaries.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2016 for further discussion of risks associated with our tracking stock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(Unaudited)</w:t>
            </w:r>
          </w:p>
        </w:tc>
      </w:tr>
      <w:tr>
        <w:trPr>
          <w:trHeight w:val="270"/>
        </w:trPr>
        <w:tc>
          <w:tcPr>
            <w:tcW w:w="8580" w:type="dxa"/>
            <w:vAlign w:val="bottom"/>
          </w:tcPr>
          <w:p>
            <w:pPr>
              <w:ind w:left="468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Fixed maturity securities available for sale,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 available for sale,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407</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Capitalized software, net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251</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44"/>
        </w:trPr>
        <w:tc>
          <w:tcPr>
            <w:tcW w:w="858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1,514</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8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Notes payable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233</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affiliates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482</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0"/>
        </w:trPr>
        <w:tc>
          <w:tcPr>
            <w:tcW w:w="8580" w:type="dxa"/>
            <w:vAlign w:val="bottom"/>
          </w:tcPr>
          <w:p>
            <w:pPr>
              <w:ind w:left="180"/>
              <w:spacing w:after="0"/>
              <w:rPr>
                <w:sz w:val="20"/>
                <w:szCs w:val="20"/>
                <w:color w:val="auto"/>
              </w:rPr>
            </w:pPr>
            <w:r>
              <w:rPr>
                <w:rFonts w:ascii="Arial" w:cs="Arial" w:eastAsia="Arial" w:hAnsi="Arial"/>
                <w:sz w:val="16"/>
                <w:szCs w:val="16"/>
                <w:color w:val="auto"/>
                <w:w w:val="97"/>
              </w:rPr>
              <w:t>FNFV Group common stock, $0.0001 par value, authorized 113,000,000 shares, outstanding of 66,416,822 and issued of</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80,581,675 as of March 31, 2017 and December 31, 2016</w:t>
            </w:r>
          </w:p>
        </w:tc>
        <w:tc>
          <w:tcPr>
            <w:tcW w:w="2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Retained deficit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Less: treasury stock, 14,164,853 shares at both March 31, 2017 and December 31, 2016</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Fidelity National Financial Ventures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w:t>
            </w:r>
          </w:p>
        </w:tc>
      </w:tr>
      <w:tr>
        <w:trPr>
          <w:trHeight w:val="244"/>
        </w:trPr>
        <w:tc>
          <w:tcPr>
            <w:tcW w:w="858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1,514</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264"/>
        </w:trPr>
        <w:tc>
          <w:tcPr>
            <w:tcW w:w="9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9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9360" w:type="dxa"/>
            <w:vAlign w:val="bottom"/>
          </w:tcPr>
          <w:p>
            <w:pPr>
              <w:ind w:left="40"/>
              <w:spacing w:after="0"/>
              <w:rPr>
                <w:sz w:val="20"/>
                <w:szCs w:val="20"/>
                <w:color w:val="auto"/>
              </w:rPr>
            </w:pPr>
            <w:r>
              <w:rPr>
                <w:rFonts w:ascii="Arial" w:cs="Arial" w:eastAsia="Arial" w:hAnsi="Arial"/>
                <w:sz w:val="14"/>
                <w:szCs w:val="14"/>
                <w:color w:val="auto"/>
              </w:rPr>
              <w:t>Revenues: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Interest and investment income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gains and losses, net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936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Personnel costs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Cost of restaurant revenue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9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64"/>
        </w:trPr>
        <w:tc>
          <w:tcPr>
            <w:tcW w:w="936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losses of unconsolidated affiliates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936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losses of unconsolidated affiliates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affiliates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9360" w:type="dxa"/>
            <w:vAlign w:val="bottom"/>
          </w:tcPr>
          <w:p>
            <w:pPr>
              <w:ind w:left="40"/>
              <w:spacing w:after="0"/>
              <w:rPr>
                <w:sz w:val="20"/>
                <w:szCs w:val="20"/>
                <w:color w:val="auto"/>
              </w:rPr>
            </w:pPr>
            <w:r>
              <w:rPr>
                <w:rFonts w:ascii="Arial" w:cs="Arial" w:eastAsia="Arial" w:hAnsi="Arial"/>
                <w:sz w:val="14"/>
                <w:szCs w:val="14"/>
                <w:color w:val="auto"/>
              </w:rPr>
              <w:t>Net (loss) earnings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earnings attributable to 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attributable to FNFV Group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1"/>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Basic</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earnings per share from continuing operations attributable to FNFV Group common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36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earnings per share attributable to FNFV Group common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basic basis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56"/>
        </w:trPr>
        <w:tc>
          <w:tcPr>
            <w:tcW w:w="9360" w:type="dxa"/>
            <w:vAlign w:val="bottom"/>
          </w:tcPr>
          <w:p>
            <w:pPr>
              <w:ind w:left="40"/>
              <w:spacing w:after="0"/>
              <w:rPr>
                <w:sz w:val="20"/>
                <w:szCs w:val="20"/>
                <w:color w:val="auto"/>
              </w:rPr>
            </w:pPr>
            <w:r>
              <w:rPr>
                <w:rFonts w:ascii="Arial" w:cs="Arial" w:eastAsia="Arial" w:hAnsi="Arial"/>
                <w:sz w:val="14"/>
                <w:szCs w:val="14"/>
                <w:color w:val="auto"/>
              </w:rPr>
              <w:t>Weighted average shares outstanding FNFV Group common stock, diluted basis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30"/>
        </w:trPr>
        <w:tc>
          <w:tcPr>
            <w:tcW w:w="9360" w:type="dxa"/>
            <w:vAlign w:val="bottom"/>
          </w:tcPr>
          <w:p>
            <w:pPr>
              <w:ind w:left="3280"/>
              <w:spacing w:after="0"/>
              <w:rPr>
                <w:sz w:val="20"/>
                <w:szCs w:val="20"/>
                <w:color w:val="auto"/>
              </w:rPr>
            </w:pPr>
            <w:r>
              <w:rPr>
                <w:rFonts w:ascii="Arial" w:cs="Arial" w:eastAsia="Arial" w:hAnsi="Arial"/>
                <w:sz w:val="18"/>
                <w:szCs w:val="18"/>
                <w:color w:val="auto"/>
              </w:rPr>
              <w:t>See Notes to Unaudited Attributed Financial Information for FNFV</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360" w:type="dxa"/>
            <w:vAlign w:val="bottom"/>
          </w:tcPr>
          <w:p>
            <w:pPr>
              <w:ind w:left="56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Three months ended March</w:t>
            </w:r>
          </w:p>
        </w:tc>
        <w:tc>
          <w:tcPr>
            <w:tcW w:w="0" w:type="dxa"/>
            <w:vAlign w:val="bottom"/>
          </w:tcPr>
          <w:p>
            <w:pPr>
              <w:spacing w:after="0"/>
              <w:rPr>
                <w:sz w:val="1"/>
                <w:szCs w:val="1"/>
                <w:color w:val="auto"/>
              </w:rPr>
            </w:pPr>
          </w:p>
        </w:tc>
      </w:tr>
      <w:tr>
        <w:trPr>
          <w:trHeight w:val="210"/>
        </w:trPr>
        <w:tc>
          <w:tcPr>
            <w:tcW w:w="9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89"/>
              </w:rPr>
              <w:t>31,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360" w:type="dxa"/>
            <w:vAlign w:val="bottom"/>
          </w:tcPr>
          <w:p>
            <w:pPr>
              <w:spacing w:after="0"/>
              <w:rPr>
                <w:sz w:val="18"/>
                <w:szCs w:val="18"/>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(loss) earnings</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of unconsolidated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(Gain) loss on sales of investments and other assets, net</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trade receivables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(increase) decrease in prepaid expenses and other assets</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7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proceeds from short-term investment securities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7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7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2"/>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2"/>
              </w:rPr>
              <w:t>154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3280"/>
              <w:spacing w:after="0"/>
              <w:rPr>
                <w:sz w:val="20"/>
                <w:szCs w:val="20"/>
                <w:color w:val="auto"/>
              </w:rPr>
            </w:pPr>
            <w:r>
              <w:rPr>
                <w:rFonts w:ascii="Arial" w:cs="Arial" w:eastAsia="Arial" w:hAnsi="Arial"/>
                <w:sz w:val="18"/>
                <w:szCs w:val="18"/>
                <w:color w:val="auto"/>
              </w:rPr>
              <w:t>See Notes to Unaudited Attributed Financial Information for FNFV</w:t>
            </w: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9360" w:type="dxa"/>
            <w:vAlign w:val="bottom"/>
          </w:tcPr>
          <w:p>
            <w:pPr>
              <w:ind w:left="566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FNFV group, our diversified investment holding company, we own majority and minority equity investment stakes in a number of entities, including American Blue Ribbon Holdings, LLC ("ABRH"), Ceridian HCM, Inc. ("Ceridian"), and Digital Insurance, Inc. ("OneDigital").</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7, 2016, FNF announced that its Board of Directors approved a tax-free plan (the "Plan") whereby (1) it intends to distribute all 83.3 million shares of Black Knight Financial Services Inc. common stock that it currently owns to FNF Group shareholders and (2) it intends to redeem all FNFV shares in exchange for shares of common stock of FNFV. Following the distributions, FNF, FNFV and Black Knight will each be independent, fully-distributed, publicly-traded common stocks, with FNF and FNFV no longer being tracking stocks. The Plan is subject to the receipt of private letter rulings from the Internal Revenue Service approving the distribution of Black Knight and FNFV shares, filing and acceptance of a registration statement for both the Black Knight and FNFV transactions with the Securities and Exchange Commission, Black Knight and FNFV shareholder approvals and other customary closing conditions. The closing of the tax-free distributions of Black Knight and FNFV are not dependent on one another and will occur separately when the aforementioned closing conditions are met. The closing of the distributions is expected by the end of the third quarter of 2017.</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Investments in Consolidated and Unconsolidated Affiliates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provides information about our investments in consolidated and unconsolidated affiliates attributable to FNFV, including allocations of certain corporate assets and liabilities primarily related to taxes: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40" w:type="dxa"/>
            <w:vAlign w:val="bottom"/>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70"/>
        </w:trPr>
        <w:tc>
          <w:tcPr>
            <w:tcW w:w="8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Majority Owned Subsidiaries consolidated into the results of FNFV:</w:t>
            </w: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740" w:type="dxa"/>
            <w:vAlign w:val="bottom"/>
          </w:tcPr>
          <w:p>
            <w:pPr>
              <w:ind w:left="160"/>
              <w:spacing w:after="0"/>
              <w:rPr>
                <w:sz w:val="20"/>
                <w:szCs w:val="20"/>
                <w:color w:val="auto"/>
              </w:rPr>
            </w:pPr>
            <w:r>
              <w:rPr>
                <w:rFonts w:ascii="Arial" w:cs="Arial" w:eastAsia="Arial" w:hAnsi="Arial"/>
                <w:sz w:val="14"/>
                <w:szCs w:val="14"/>
                <w:color w:val="auto"/>
              </w:rPr>
              <w:t>American Blue Ribbon Holdings, LLC</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w w:val="76"/>
              </w:rPr>
              <w:t>171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173</w:t>
            </w:r>
          </w:p>
        </w:tc>
      </w:tr>
      <w:tr>
        <w:trPr>
          <w:trHeight w:val="276"/>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Digital Insurance, LLC</w:t>
            </w: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r>
      <w:tr>
        <w:trPr>
          <w:trHeight w:val="264"/>
        </w:trPr>
        <w:tc>
          <w:tcPr>
            <w:tcW w:w="8740" w:type="dxa"/>
            <w:vAlign w:val="bottom"/>
          </w:tcPr>
          <w:p>
            <w:pPr>
              <w:ind w:left="20"/>
              <w:spacing w:after="0"/>
              <w:rPr>
                <w:sz w:val="20"/>
                <w:szCs w:val="20"/>
                <w:color w:val="auto"/>
              </w:rPr>
            </w:pPr>
            <w:r>
              <w:rPr>
                <w:rFonts w:ascii="Arial" w:cs="Arial" w:eastAsia="Arial" w:hAnsi="Arial"/>
                <w:sz w:val="14"/>
                <w:szCs w:val="14"/>
                <w:i w:val="1"/>
                <w:iCs w:val="1"/>
                <w:color w:val="auto"/>
              </w:rPr>
              <w:t>Minority Owned Subsidiaries or other ventures:</w:t>
            </w: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Ceridian/Fleetcor (33% minority equity interest)</w:t>
            </w: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385</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w:t>
            </w:r>
          </w:p>
        </w:tc>
      </w:tr>
      <w:tr>
        <w:trPr>
          <w:trHeight w:val="264"/>
        </w:trPr>
        <w:tc>
          <w:tcPr>
            <w:tcW w:w="8740" w:type="dxa"/>
            <w:vAlign w:val="bottom"/>
          </w:tcPr>
          <w:p>
            <w:pPr>
              <w:ind w:left="160"/>
              <w:spacing w:after="0"/>
              <w:rPr>
                <w:sz w:val="20"/>
                <w:szCs w:val="20"/>
                <w:color w:val="auto"/>
              </w:rPr>
            </w:pPr>
            <w:r>
              <w:rPr>
                <w:rFonts w:ascii="Arial" w:cs="Arial" w:eastAsia="Arial" w:hAnsi="Arial"/>
                <w:sz w:val="14"/>
                <w:szCs w:val="14"/>
                <w:color w:val="auto"/>
              </w:rPr>
              <w:t>Del Frisco's Restaurant Group</w:t>
            </w:r>
          </w:p>
        </w:tc>
        <w:tc>
          <w:tcPr>
            <w:tcW w:w="940" w:type="dxa"/>
            <w:vAlign w:val="bottom"/>
          </w:tcPr>
          <w:p>
            <w:pPr>
              <w:spacing w:after="0"/>
              <w:rPr>
                <w:sz w:val="22"/>
                <w:szCs w:val="22"/>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49</w:t>
            </w:r>
          </w:p>
        </w:tc>
      </w:tr>
      <w:tr>
        <w:trPr>
          <w:trHeight w:val="276"/>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Holding Company cash and short term investments</w:t>
            </w: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160</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r>
      <w:tr>
        <w:trPr>
          <w:trHeight w:val="264"/>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ventures</w:t>
            </w: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104</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r>
      <w:tr>
        <w:trPr>
          <w:trHeight w:val="270"/>
        </w:trPr>
        <w:tc>
          <w:tcPr>
            <w:tcW w:w="8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FNFV Book Value</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917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w:t>
            </w:r>
          </w:p>
        </w:tc>
      </w:tr>
      <w:tr>
        <w:trPr>
          <w:trHeight w:val="20"/>
        </w:trPr>
        <w:tc>
          <w:tcPr>
            <w:tcW w:w="8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FNFV Common Stock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into a number of shares of the FNF Group common stock at a ratio that provides FNFV stockholders with the applicable Conversion Premium to which they are entitled.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01"/>
    </w:lvl>
  </w:abstractNum>
  <w:abstractNum w:abstractNumId="10">
    <w:nsid w:val="DED7263"/>
    <w:multiLevelType w:val="hybridMultilevel"/>
    <w:lvl w:ilvl="0">
      <w:lvlJc w:val="left"/>
      <w:lvlText w:val="%1"/>
      <w:numFmt w:val="decimal"/>
      <w:start w:val="10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2019-12-29T05:48:46Z</dcterms:created>
  <dcterms:modified xsi:type="dcterms:W3CDTF">2019-12-29T05:48:46Z</dcterms:modified>
</cp:coreProperties>
</file>