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946150</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903605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3"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5"/>
          <w:szCs w:val="25"/>
          <w:b w:val="1"/>
          <w:bCs w:val="1"/>
          <w:color w:val="auto"/>
        </w:rPr>
        <w:t>Form 11-K</w:t>
      </w:r>
    </w:p>
    <w:p>
      <w:pPr>
        <w:spacing w:after="0" w:line="394" w:lineRule="exact"/>
        <w:rPr>
          <w:sz w:val="24"/>
          <w:szCs w:val="24"/>
          <w:color w:val="auto"/>
        </w:rPr>
      </w:pPr>
    </w:p>
    <w:p>
      <w:pPr>
        <w:ind w:left="820" w:hanging="616"/>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15(d) OF THE SECURITIES EXCHANGE ACT OF 1934</w:t>
      </w:r>
    </w:p>
    <w:p>
      <w:pPr>
        <w:spacing w:after="0" w:line="29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fiscal year ended December 31, 2021</w:t>
      </w:r>
    </w:p>
    <w:p>
      <w:pPr>
        <w:spacing w:after="0" w:line="248"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800" w:right="1299" w:hanging="572"/>
        <w:spacing w:after="0" w:line="239" w:lineRule="auto"/>
        <w:tabs>
          <w:tab w:leader="none" w:pos="80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for the transition period from ______ to _______</w:t>
      </w:r>
    </w:p>
    <w:p>
      <w:pPr>
        <w:spacing w:after="0" w:line="24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Commission file number 001-32630</w:t>
      </w:r>
    </w:p>
    <w:p>
      <w:pPr>
        <w:spacing w:after="0" w:line="25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A. Full title of the plan and the address of the plan, if different from that of the issuer named below:</w:t>
      </w:r>
    </w:p>
    <w:p>
      <w:pPr>
        <w:spacing w:after="0" w:line="24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Fidelity National Financial Group 401(k) Profit Sharing Plan</w:t>
      </w:r>
    </w:p>
    <w:p>
      <w:pPr>
        <w:spacing w:after="0" w:line="25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B. Name of issuer of the securities held pursuant to the plan and the address of its principal executive office:</w:t>
      </w:r>
    </w:p>
    <w:p>
      <w:pPr>
        <w:spacing w:after="0" w:line="2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Fidelity National Financial, Inc.,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601 Riverside Ave.,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Jacksonville, FL 32204</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REQUIRED INFORMATION</w:t>
      </w:r>
    </w:p>
    <w:p>
      <w:pPr>
        <w:spacing w:after="0" w:line="25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color w:val="auto"/>
        </w:rPr>
        <w:t>Item 4. Plan Financial Statements and Schedules Prepared in Accordance with the Financial Reporting Requirements of ERISA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324485</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281940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FIDELITY NATIONAL FINANCIAL GROUP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401(k) PROFIT SHARING PLAN</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60" w:type="dxa"/>
            <w:vAlign w:val="bottom"/>
            <w:gridSpan w:val="4"/>
          </w:tcPr>
          <w:p>
            <w:pPr>
              <w:ind w:left="136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13"/>
        </w:trPr>
        <w:tc>
          <w:tcPr>
            <w:tcW w:w="92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660" w:type="dxa"/>
            <w:vAlign w:val="bottom"/>
            <w:gridSpan w:val="4"/>
          </w:tcPr>
          <w:p>
            <w:pPr>
              <w:ind w:left="1360"/>
              <w:spacing w:after="0"/>
              <w:rPr>
                <w:sz w:val="20"/>
                <w:szCs w:val="20"/>
                <w:color w:val="auto"/>
              </w:rPr>
            </w:pPr>
            <w:r>
              <w:rPr>
                <w:rFonts w:ascii="Times New Roman" w:cs="Times New Roman" w:eastAsia="Times New Roman" w:hAnsi="Times New Roman"/>
                <w:sz w:val="18"/>
                <w:szCs w:val="18"/>
                <w:color w:val="0000FF"/>
              </w:rPr>
              <w:t>ii</w:t>
            </w:r>
          </w:p>
        </w:tc>
      </w:tr>
      <w:tr>
        <w:trPr>
          <w:trHeight w:val="20"/>
        </w:trPr>
        <w:tc>
          <w:tcPr>
            <w:tcW w:w="10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Statements of Net Assets Available for Benefits as of December 31, 2021 and 2020</w:t>
            </w:r>
          </w:p>
        </w:tc>
        <w:tc>
          <w:tcPr>
            <w:tcW w:w="3240" w:type="dxa"/>
            <w:vAlign w:val="bottom"/>
            <w:gridSpan w:val="3"/>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78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Statements of Changes in Net Assets Available for Benefits for the years ended December 31, 2021 and 2020</w:t>
            </w: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2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7080" w:type="dxa"/>
            <w:vAlign w:val="bottom"/>
            <w:gridSpan w:val="5"/>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92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Supplemental Schedule H, Line 4i - Schedule of Assets (Held at End of Year) as of December 31, 2021</w:t>
            </w:r>
          </w:p>
        </w:tc>
        <w:tc>
          <w:tcPr>
            <w:tcW w:w="14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0000FF"/>
                <w:w w:val="88"/>
              </w:rPr>
              <w:t>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6440" w:type="dxa"/>
            <w:vAlign w:val="bottom"/>
            <w:gridSpan w:val="4"/>
          </w:tcPr>
          <w:p>
            <w:pPr>
              <w:spacing w:after="0"/>
              <w:rPr>
                <w:sz w:val="18"/>
                <w:szCs w:val="18"/>
                <w:color w:val="auto"/>
              </w:rPr>
            </w:pPr>
          </w:p>
        </w:tc>
        <w:tc>
          <w:tcPr>
            <w:tcW w:w="180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11</w:t>
            </w:r>
          </w:p>
        </w:tc>
        <w:tc>
          <w:tcPr>
            <w:tcW w:w="120" w:type="dxa"/>
            <w:vAlign w:val="bottom"/>
          </w:tcPr>
          <w:p>
            <w:pPr>
              <w:spacing w:after="0"/>
              <w:rPr>
                <w:sz w:val="18"/>
                <w:szCs w:val="18"/>
                <w:color w:val="auto"/>
              </w:rPr>
            </w:pPr>
          </w:p>
        </w:tc>
      </w:tr>
    </w:tbl>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not required based on disclosure requirements of the Employee Retirement Income Security Act of 1974 and regulations issued by the Department of Labor.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887" w:right="339" w:bottom="1440" w:gutter="0" w:footer="0" w:header="0"/>
        </w:sectPr>
      </w:pPr>
    </w:p>
    <w:bookmarkStart w:id="2" w:name="page3"/>
    <w:bookmarkEnd w:id="2"/>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and the Administrative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National Financial Group 401(k) Profit Sharing Plan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Financial Statements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Fidelity National Financial Group 401(k) Profit Sharing Plan (the “Plan”) as of December 31, 2021 and 2020, the related statements of changes in net assets available for benefits for the years then ended, and the related notes and schedule (collectively referred to as the “financial statements”). In our opinion, the financial statements referred to above present fairly, in all material respects, the net assets available for benefits of the Plan as of December 31, 2021 and 2020, and the changes in net assets available for benefits for the years then ended in conformity with accounting principals generally accepted in the United States of America.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Opinion</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these financial statements based on our audits.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 on Supplemental Information</w:t>
      </w:r>
    </w:p>
    <w:p>
      <w:pPr>
        <w:spacing w:after="0" w:line="241"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18"/>
          <w:szCs w:val="18"/>
          <w:color w:val="auto"/>
        </w:rPr>
        <w:t>The supplemental information in the accompanying schedule of assets (held at end of year) as of December 31, 2021,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basic financial statements taken as a whole.</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FORVIS, LLP (Formerly, Dixon Hughes Goodman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2011.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2022</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92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PROFIT SHARING PLAN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0"/>
        </w:trPr>
        <w:tc>
          <w:tcPr>
            <w:tcW w:w="78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42,682</w:t>
            </w:r>
          </w:p>
        </w:tc>
        <w:tc>
          <w:tcPr>
            <w:tcW w:w="0" w:type="dxa"/>
            <w:vAlign w:val="bottom"/>
          </w:tcPr>
          <w:p>
            <w:pPr>
              <w:spacing w:after="0"/>
              <w:rPr>
                <w:sz w:val="1"/>
                <w:szCs w:val="1"/>
                <w:color w:val="auto"/>
              </w:rPr>
            </w:pPr>
          </w:p>
        </w:tc>
      </w:tr>
      <w:tr>
        <w:trPr>
          <w:trHeight w:val="22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Common/collective trust funds, at net asset value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1,503,803,048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1,299,363,729</w:t>
            </w:r>
          </w:p>
        </w:tc>
        <w:tc>
          <w:tcPr>
            <w:tcW w:w="0" w:type="dxa"/>
            <w:vAlign w:val="bottom"/>
          </w:tcPr>
          <w:p>
            <w:pPr>
              <w:spacing w:after="0"/>
              <w:rPr>
                <w:sz w:val="1"/>
                <w:szCs w:val="1"/>
                <w:color w:val="auto"/>
              </w:rPr>
            </w:pPr>
          </w:p>
        </w:tc>
      </w:tr>
      <w:tr>
        <w:trPr>
          <w:trHeight w:val="229"/>
        </w:trPr>
        <w:tc>
          <w:tcPr>
            <w:tcW w:w="7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Corporate bond funds, at fair value</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94,483,833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83,505,261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Mutual funds, at fair value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869,466,274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755,655,495</w:t>
            </w:r>
          </w:p>
        </w:tc>
        <w:tc>
          <w:tcPr>
            <w:tcW w:w="0" w:type="dxa"/>
            <w:vAlign w:val="bottom"/>
          </w:tcPr>
          <w:p>
            <w:pPr>
              <w:spacing w:after="0"/>
              <w:rPr>
                <w:sz w:val="1"/>
                <w:szCs w:val="1"/>
                <w:color w:val="auto"/>
              </w:rPr>
            </w:pPr>
          </w:p>
        </w:tc>
      </w:tr>
      <w:tr>
        <w:trPr>
          <w:trHeight w:val="229"/>
        </w:trPr>
        <w:tc>
          <w:tcPr>
            <w:tcW w:w="7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 at fair value</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84,509,277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107,178,137</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Employer common stock, at fair value</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193,692,883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155,397,870</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Total investments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2,745,955,315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2,401,100,492</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Receivables: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39,666,835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41,691,866</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Due from broker for securities sold</w:t>
            </w: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2,889,868</w:t>
            </w:r>
          </w:p>
        </w:tc>
        <w:tc>
          <w:tcPr>
            <w:tcW w:w="0" w:type="dxa"/>
            <w:vAlign w:val="bottom"/>
          </w:tcPr>
          <w:p>
            <w:pPr>
              <w:spacing w:after="0"/>
              <w:rPr>
                <w:sz w:val="1"/>
                <w:szCs w:val="1"/>
                <w:color w:val="auto"/>
              </w:rPr>
            </w:pPr>
          </w:p>
        </w:tc>
      </w:tr>
      <w:tr>
        <w:trPr>
          <w:trHeight w:val="229"/>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Contributions receivable:</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Participant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3,780,468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Employer</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1,025,796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receivables</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44,473,099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44,581,734</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2,790,428,414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2,445,724,908</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Due to broker for securities purchased</w:t>
            </w:r>
          </w:p>
        </w:tc>
        <w:tc>
          <w:tcPr>
            <w:tcW w:w="3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4,293,576</w:t>
            </w:r>
          </w:p>
        </w:tc>
        <w:tc>
          <w:tcPr>
            <w:tcW w:w="0" w:type="dxa"/>
            <w:vAlign w:val="bottom"/>
          </w:tcPr>
          <w:p>
            <w:pPr>
              <w:spacing w:after="0"/>
              <w:rPr>
                <w:sz w:val="1"/>
                <w:szCs w:val="1"/>
                <w:color w:val="auto"/>
              </w:rPr>
            </w:pPr>
          </w:p>
        </w:tc>
      </w:tr>
      <w:tr>
        <w:trPr>
          <w:trHeight w:val="223"/>
        </w:trPr>
        <w:tc>
          <w:tcPr>
            <w:tcW w:w="784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4,293,576</w:t>
            </w:r>
          </w:p>
        </w:tc>
        <w:tc>
          <w:tcPr>
            <w:tcW w:w="0" w:type="dxa"/>
            <w:vAlign w:val="bottom"/>
          </w:tcPr>
          <w:p>
            <w:pPr>
              <w:spacing w:after="0"/>
              <w:rPr>
                <w:sz w:val="1"/>
                <w:szCs w:val="1"/>
                <w:color w:val="auto"/>
              </w:rPr>
            </w:pPr>
          </w:p>
        </w:tc>
      </w:tr>
      <w:tr>
        <w:trPr>
          <w:trHeight w:val="223"/>
        </w:trPr>
        <w:tc>
          <w:tcPr>
            <w:tcW w:w="7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2,790,428,414</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2,441,431,332</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40" w:top="887"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PROFIT SHARING PLAN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Additions to net assets attributed to:</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09"/>
        </w:trPr>
        <w:tc>
          <w:tcPr>
            <w:tcW w:w="79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332,617,782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273,228,764</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17,076,151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16,857,374</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Investment income, net</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349,693,933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290,086,138</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1,988,590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2,247,462</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 including rollover contributions: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Participant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166,579,385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132,255,711</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Employer</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38,887,623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31,702,884</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contributions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205,467,008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163,958,595</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557,149,531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456,292,195</w:t>
            </w:r>
          </w:p>
        </w:tc>
        <w:tc>
          <w:tcPr>
            <w:tcW w:w="0" w:type="dxa"/>
            <w:vAlign w:val="bottom"/>
          </w:tcPr>
          <w:p>
            <w:pPr>
              <w:spacing w:after="0"/>
              <w:rPr>
                <w:sz w:val="1"/>
                <w:szCs w:val="1"/>
                <w:color w:val="auto"/>
              </w:rPr>
            </w:pPr>
          </w:p>
        </w:tc>
      </w:tr>
      <w:tr>
        <w:trPr>
          <w:trHeight w:val="20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net assets attributed to:</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206,284,006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205,803,585</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Administrative expenses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1,868,443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1,443,623</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deductions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208,152,449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207,247,208</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increase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348,997,082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249,044,987</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2,441,431,332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2,192,386,345</w:t>
            </w:r>
          </w:p>
        </w:tc>
        <w:tc>
          <w:tcPr>
            <w:tcW w:w="0" w:type="dxa"/>
            <w:vAlign w:val="bottom"/>
          </w:tcPr>
          <w:p>
            <w:pPr>
              <w:spacing w:after="0"/>
              <w:rPr>
                <w:sz w:val="1"/>
                <w:szCs w:val="1"/>
                <w:color w:val="auto"/>
              </w:rPr>
            </w:pPr>
          </w:p>
        </w:tc>
      </w:tr>
      <w:tr>
        <w:trPr>
          <w:trHeight w:val="223"/>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2,790,428,414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2,441,431,332</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GROUP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PROFIT SHARING PLAN</w:t>
      </w:r>
    </w:p>
    <w:p>
      <w:pPr>
        <w:spacing w:after="0" w:line="23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Plan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Fidelity National Financial Group 401(k) Profit Sharing Plan (the Plan) provides only general information. Participants should refer to the plan document for a more complete description of the Plan's provisions.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General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Plan is a defined contribution plan covering all employees of Fidelity National Financial, Inc. (FNF, the Company or we) and its Affiliated and Related Companies, who have attained age 18, have completed 90 days of service, and have elected to participate in the Plan. Affiliated Companies are defined as members of a controlled group of corporations or other entities that are under common control. Related Companies, while related, are not considered members of a controlled group of corporations or other entities that are under common control. Temporary, seasonal and part-time employees who have not completed at least 1,000 hours of service are not eligible to participate in the Plan. The Plan is subject to the provisions of the Employee Retirement Income Security Act of 1974 (ERISA).</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Plan and its related trust are intended to qualify as a profit-sharing plan and trust under section 401(a) and 501(a) of the Internal Revenue Code (IRC), with a cash or deferred arrangement within the meaning of section 401(k) of the IRC.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Administration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period from May 21, 2021 to December 31, 2021, the trustee of the Plan was Principal Financial Group (Principal). During the period from January 1, 2020 to May 20, 2021, the trustee of the Plan was Wells Fargo Bank, NA (Wells Fargo). Principal and Wells Fargo also performed participant recordkeeping and other administrative duties for the Plan during their respective periods as trustee. The Compensation Committee of the FNF Board of Directors oversees the Plan's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Plan Mergers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participant loans transferred into or out of the Plan in 2021 and 2020. There were no mergers into the Plan during 2021 or 2020.</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Contributions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2021 and 2020, participants could generally contribute up to 40% of their pretax annual compensation, as defined in the Plan. Participants may also contribute amounts representing distributions from other qualified defined benefit or defined contribution retirement plans, as well as direct rollovers from individual retirement accounts or annuities. Participants direct the investment of their contributions into various investment options offered by the Plan with the exception of three frozen stock funds described below. At December 31, 2021, the Plan offered seventeen common /collective trust funds, two corporate bond funds, four mutual funds, one common stock fund which invests solely in Company stock, three frozen common stock funds which invest in outside companies, and fourteen funds that are part of the Target My Retirement® investment program (see Note 2d for further discussion on the Target My Retirement® investment program) as investment options for participants. The Plan has an employer match on the 401(k) plan whereby the Company will match $0.375 on each $1.00 contributed up to the first 6% of eligible earnings contributed to the Plan. The employer match for the years ending December 31, 2021 and 2020 was $38,887,623 and $31,702,884, respectively. The employer match is allocated to participants based on their chosen asset allocation. At the option of the Company's board of directors discretionary contributions may also be made by the Company. No discretionary contributions were made by the Company during the Plan years ended December 31, 2021 and 2020. All Company contributions are participant directed. Contributions are subject to certain limitations established by the Internal Revenue Service.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Participant Accounts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 the Company's contribution as applicable, and an allocation of plan earnings and charged with an allocation of plan losses, if any. Allocations are based on participant earnings or account balances, as defined. Additionally, each participant's account is charged with trustee/custodian fees, record keeping fees, and is updated to reflect benefit payments, when applicable. The benefit to which a participant is entitled is the benefit that can be provided from the participant's vested account.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GROUP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PROFIT SHARING PLAN</w:t>
      </w:r>
    </w:p>
    <w:p>
      <w:pPr>
        <w:spacing w:after="0" w:line="23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Vesting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Participants are immediately vested in their contributions plus actual earnings thereon. Vesting in the Company's matching and discretionary contribution portion of their accounts plus actual earnings thereon, is based on years of service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years of service</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Vested Percentage</w:t>
            </w:r>
          </w:p>
        </w:tc>
      </w:tr>
      <w:tr>
        <w:trPr>
          <w:trHeight w:val="23"/>
        </w:trPr>
        <w:tc>
          <w:tcPr>
            <w:tcW w:w="9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than 1 year</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 year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29"/>
        </w:trPr>
        <w:tc>
          <w:tcPr>
            <w:tcW w:w="10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 years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34"/>
        </w:trPr>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 years or more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Notes Receivable from Participants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Participants may borrow from their fund accounts a minimum of $1,000 up to a maximum equal to the lesser of $50,000 reduced by the highest outstanding loan balance during the preceding 12 months, or 50% of their vested account balance. Loan terms range from one to five years or up to ten years for the purchase of a primary residence. The loans are secured by the balance in the participant's account. Interest rates range from 3.25% to 10.25% on loans outstanding as of December 31, 2021 and 2020. Principal and interest is paid ratably through payroll deductions.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Payment of Benefits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retirement, termination of service, disability, or the attainment of age 59 1/2, a participant may receive all or part of the value of the participant's vested interest in his or her account as a lump-sum distribution. Upon death of a participant, the balance of the participant's vested interest in his or her account will be distributed in a lump sum to the participant's beneficiary. Certain other withdrawals are allowed by the Plan under very limited circumstances as described in the plan document.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Forfeited Accounts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Forfeitures may be allocated to current participants' accounts, or may be used to restore the accounts of former participants, pay administrative expenses of the Plan if not paid by the plan sponsor, or reduce future Company contributions. At December 31, 2021 and 2020, forfeited nonvested accounts totaled $741,073 and $1,735,105, respectively, all of which were used by the Plan to reduce Company contributions in the respective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Administrative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Administrative expenses of the Plan that are not paid by the plan sponsor are paid by the Plan. Certain administrative functions are performed by employees of the Company. No such employee receives compensation from the Plan. Expenses relating to specific participant transactions (notes receivable and distributions) are charged directly to the participant’s account. Refer to footnote 1(e) for further discussion of expenses charged to participant accounts.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the Plan are prepared under the accrual method of accounting. The preparation of financial statements in conformity with U.S. generally accepted accounting principles requires management to make certain estimates and assumptions that affect the reported amounts of assets, liabilities, and changes therein, and disclosure of contingent assets and liabilities. Actual results could differ from those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Risk and Uncertainties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provides for various investment options in common/collective trust funds, corporate bond funds, mutual funds, and common stock. Investment securities are exposed to various risks such as interest rate, market, and credit. Due to the level of uncertainty related to changes in the value of investment securities, it is at least reasonably possible that changes in the various risk factors, in the near term, could materially affect the participants' account balances and the amounts reported in the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FIDELITY NATIONAL FINANCIAL GROUP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401(k) PROFIT SHARING PLAN</w:t>
      </w:r>
    </w:p>
    <w:p>
      <w:pPr>
        <w:spacing w:after="0" w:line="23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Concentration of Investments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Included in the Plan's net assets available for benefits at December 31, 2021 and 2020 are investments in the Company's common stock (6,084,122 shares) amounting to $193,692,883, or approximately 7% of net assets, and (6,488,825 shares) amounting to $155,397,870, or approximately 6% of net assets, respectively. As of December 31, 2021 and 2020, respectively, this investment consists of a common stock fund in Fidelity National Financial, Inc. (NYSE: FNF).</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Investment Valuation and Income Recognition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for the common/collective trust fund described below, the Plan's investments are stated at fair value. Shares of common/collective trust fund investments in index funds, mutual funds and corporate bond funds are valued at the net asset value of shares held by the Plan at year-end. Common stock is valued at quoted market prices. Purchases and sales of securities are recorded on a trade-date basis. Interest income is recorded on an accrual basis. Dividends are recorded on the ex-dividend date. Net appreciation includes the Plan's gains and losses on investments bought and sold as well as held during the year.</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One of the investment options offered by the Plan, Wells Fargo Stable Return Fund I (formally the "Stable Return fund"), is a common/collective trust that is fully invested in Wells Fargo Stable Return Fund G, which is fully invested in contracts deemed to be fully benefit-responsive. The Plan reports its investment in the Stable Return Fund I at fair value using the net asset value of the units held by the fund at year-end as a practical expedient. This practical expedient would not be used if it is determined to be probable that the fund will sell the investment for an amount different from the reported net asset value. The Stable Return Fund does not invest directly in fully benefit-responsive contracts, and therefore the Plan is not required to include in the financial statements the disclosure requirements for investments in fully benefit-responsive contracts or stable value funds. Redemptions from the Stable Return Fund are permitted at current net asset value following a 12-month notice period.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the valuation methodologies used at December 31, 2021 and 2020 compared to prior year.</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also have the option to invest in the Target My Retirement® investment program. This managed program is managed by Principal, using the funds otherwise available to participants who choose to make their own investment selections. As of December 31, 2021 and 2020, the Plan had $1,775,751,875 and $1,568,514,483, respectively, invested in this investment program.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for further discussion of the fair value of the Plan's investments.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Notes Receivable from Participants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receivable from participants are recorded at amortized cost plus accrued interest.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Payment of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hierarchy established by the standard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In accordance with the standard on fair value, the Plan's financial assets and liabilities that are recorded on the Statements of Net Assets Available for Benefits are categorized based on the inputs to the valuation techniques as follows:</w:t>
      </w:r>
    </w:p>
    <w:p>
      <w:pPr>
        <w:spacing w:after="0" w:line="79" w:lineRule="exact"/>
        <w:rPr>
          <w:sz w:val="20"/>
          <w:szCs w:val="20"/>
          <w:color w:val="auto"/>
        </w:rPr>
      </w:pPr>
    </w:p>
    <w:p>
      <w:pPr>
        <w:ind w:left="260"/>
        <w:spacing w:after="0" w:line="282" w:lineRule="auto"/>
        <w:rPr>
          <w:sz w:val="20"/>
          <w:szCs w:val="20"/>
          <w:color w:val="auto"/>
        </w:rPr>
      </w:pPr>
      <w:r>
        <w:rPr>
          <w:rFonts w:ascii="Times New Roman" w:cs="Times New Roman" w:eastAsia="Times New Roman" w:hAnsi="Times New Roman"/>
          <w:sz w:val="18"/>
          <w:szCs w:val="18"/>
          <w:color w:val="auto"/>
        </w:rPr>
        <w:t>Level 1. Financial assets and liabilities whose values are based on unadjusted quoted prices for identical assets or liabilities in an active market that we have the ability to access.</w:t>
      </w:r>
    </w:p>
    <w:p>
      <w:pPr>
        <w:spacing w:after="0" w:line="54" w:lineRule="exact"/>
        <w:rPr>
          <w:sz w:val="20"/>
          <w:szCs w:val="20"/>
          <w:color w:val="auto"/>
        </w:rPr>
      </w:pPr>
    </w:p>
    <w:p>
      <w:pPr>
        <w:ind w:left="260"/>
        <w:spacing w:after="0" w:line="282" w:lineRule="auto"/>
        <w:rPr>
          <w:sz w:val="20"/>
          <w:szCs w:val="20"/>
          <w:color w:val="auto"/>
        </w:rPr>
      </w:pPr>
      <w:r>
        <w:rPr>
          <w:rFonts w:ascii="Times New Roman" w:cs="Times New Roman" w:eastAsia="Times New Roman" w:hAnsi="Times New Roman"/>
          <w:sz w:val="18"/>
          <w:szCs w:val="18"/>
          <w:color w:val="auto"/>
        </w:rPr>
        <w:t>Level 2. Financial assets and liabilities whose values are based on quoted prices in markets that are not active or model inputs that are observable either directly or indirectly for substantially the full term of the asset or liability.</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3. Financial assets and liabilities whose values are based on model inputs that are unobservable.</w:t>
      </w:r>
    </w:p>
    <w:p>
      <w:pPr>
        <w:spacing w:after="0" w:line="117" w:lineRule="exact"/>
        <w:rPr>
          <w:sz w:val="20"/>
          <w:szCs w:val="20"/>
          <w:color w:val="auto"/>
        </w:rPr>
      </w:pPr>
    </w:p>
    <w:p>
      <w:pPr>
        <w:ind w:left="26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fair value hierarchy for those assets and liabilities measured at fair value on a recurring basis as of December 31, 2021 and 2020,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8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FIDELITY NATIONAL FINANCIAL GROUP</w:t>
            </w: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8"/>
        </w:trPr>
        <w:tc>
          <w:tcPr>
            <w:tcW w:w="938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rPr>
              <w:t>401(k) PROFIT SHARING PLAN</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37"/>
        </w:trPr>
        <w:tc>
          <w:tcPr>
            <w:tcW w:w="938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Notes to Financial Statements</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38"/>
        </w:trPr>
        <w:tc>
          <w:tcPr>
            <w:tcW w:w="938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760"/>
        </w:trPr>
        <w:tc>
          <w:tcPr>
            <w:tcW w:w="9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9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0"/>
        </w:trPr>
        <w:tc>
          <w:tcPr>
            <w:tcW w:w="93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Level 1</w:t>
            </w:r>
          </w:p>
        </w:tc>
      </w:tr>
      <w:tr>
        <w:trPr>
          <w:trHeight w:val="22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 funds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94,483,833</w:t>
            </w:r>
          </w:p>
        </w:tc>
      </w:tr>
      <w:tr>
        <w:trPr>
          <w:trHeight w:val="230"/>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869,466,274</w:t>
            </w:r>
          </w:p>
        </w:tc>
      </w:tr>
      <w:tr>
        <w:trPr>
          <w:trHeight w:val="22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84,509,277</w:t>
            </w:r>
          </w:p>
        </w:tc>
      </w:tr>
      <w:tr>
        <w:trPr>
          <w:trHeight w:val="229"/>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Employer common stock</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193,692,883</w:t>
            </w:r>
          </w:p>
        </w:tc>
      </w:tr>
      <w:tr>
        <w:trPr>
          <w:trHeight w:val="223"/>
        </w:trPr>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1,242,152,267</w:t>
            </w:r>
          </w:p>
        </w:tc>
      </w:tr>
      <w:tr>
        <w:trPr>
          <w:trHeight w:val="229"/>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Common/collective trust funds measured at net asset value</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1,503,803,048</w:t>
            </w:r>
          </w:p>
        </w:tc>
      </w:tr>
      <w:tr>
        <w:trPr>
          <w:trHeight w:val="248"/>
        </w:trPr>
        <w:tc>
          <w:tcPr>
            <w:tcW w:w="9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investments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2,745,955,315</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369"/>
        </w:trPr>
        <w:tc>
          <w:tcPr>
            <w:tcW w:w="9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23"/>
        </w:trPr>
        <w:tc>
          <w:tcPr>
            <w:tcW w:w="9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0"/>
        </w:trPr>
        <w:tc>
          <w:tcPr>
            <w:tcW w:w="93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Level 1</w:t>
            </w:r>
          </w:p>
        </w:tc>
      </w:tr>
      <w:tr>
        <w:trPr>
          <w:trHeight w:val="22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 funds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83,505,261</w:t>
            </w:r>
          </w:p>
        </w:tc>
      </w:tr>
      <w:tr>
        <w:trPr>
          <w:trHeight w:val="229"/>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755,655,495</w:t>
            </w:r>
          </w:p>
        </w:tc>
      </w:tr>
      <w:tr>
        <w:trPr>
          <w:trHeight w:val="22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107,178,137</w:t>
            </w:r>
          </w:p>
        </w:tc>
      </w:tr>
      <w:tr>
        <w:trPr>
          <w:trHeight w:val="230"/>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Employer common stock</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155,397,870</w:t>
            </w:r>
          </w:p>
        </w:tc>
      </w:tr>
      <w:tr>
        <w:trPr>
          <w:trHeight w:val="223"/>
        </w:trPr>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1,101,736,763</w:t>
            </w:r>
          </w:p>
        </w:tc>
      </w:tr>
      <w:tr>
        <w:trPr>
          <w:trHeight w:val="230"/>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Common/collective trust funds measured at net asset value</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1,299,363,729</w:t>
            </w:r>
          </w:p>
        </w:tc>
      </w:tr>
      <w:tr>
        <w:trPr>
          <w:trHeight w:val="248"/>
        </w:trPr>
        <w:tc>
          <w:tcPr>
            <w:tcW w:w="9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investments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2,401,100,492</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Plan's level 1 fair value measures are provided by a third-party pricing service, which management believes to be reasonable. This pricing service is a leading global provider of financial market data, analytics and related services to financial institutions. See Note 2(d) for a description of the fair value measures used for each type of investment.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has no assets or liabilities measured at fair value which are categorized as level 2 or level 3.</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common/collective trust funds shown above are valued using the net asset value at year-end and are excluded from the fair value hierarchy in accordance with relevant accounting standards. The use of net asset value as fair value is deemed appropriate as the common/collective trust funds do not have finite lives, unfunded commitments relating to these type of investments, or significant restrictions on redemptions. Net asset value of the funds are calculated daily.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stated in Note 2(d), the Plan is invested in common/collective trust funds, the majority of which are managed by BlackRock Institutional Trust Company, N.A. Target date BlackRock LifePath index funds are collective investment trusts that invest in securities and other assets with the objective of providing for retirement outcomes consistent with investor preferences throughout the savings and drawdown phase based on quantitatively measured risk that investors, on average, may be willing to accept.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target date funds, the following is a description of the larger common/collective trust fund balances within the Plan. The Wells Fargo Stable Return Fund is a common/collective trust fund with a primary investment strategy to preserve the principal and maintain adequate liquidity. The BlackRock Equity Index Fund J is an index fund with a primary investment strategy of approximating as closely as practicable the capitalization weighted total rate of return of that segment of the U.S. market for publicly traded equity securities represented by the larger capitalized companies. The BlackRock Russell 2000 Index Fund is an index fund with a primary investment strategy of approximating as closely as practicable the capitalization weighted total return of that segment of the U.S. market for publicly traded equity securities represented by the Russell 2000® Index. The BlackRock Mid-Capitalization Equity Index Fund M is an index fund with a primary investment strategy of approximating as closely as practicable the capitalization weighted total rate of return of that segment of the U.S.market for publicly traded equity securities represented by the medium capitalized companies.</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these common collective trust funds, the Plan participants may also choose to invest in the Target My Retirement® investment program, see Note 2(d) for further discussion about Target My Retirement®.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on FNF common stock totaled $5,847,402 and $5,295,135 in 2021 and 2020,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1" w:right="339" w:bottom="1440" w:gutter="0" w:footer="0" w:header="0"/>
        </w:sectPr>
      </w:pPr>
    </w:p>
    <w:bookmarkStart w:id="9" w:name="page10"/>
    <w:bookmarkEnd w:id="9"/>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Transactions with Parties-in-Interest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plan investments are shares of common collective trust funds and shares of corporate bond funds managed by Wells Fargo and Principal. During the period from May 21, 2021 to December 31, 2021, Principal was the trustee as defined by the Plan, and therefore, transactions with Principal during the aforementioned period qualify as party-in-interest transactions. During the period from January 1, 2020 to May 20, 2021, Wells Fargo was the trustee as defined by the Plan, and therefore, transactions with Wells Fargo during the aforementioned period qualify as party-in-interest transactions. As described in Notes 2(c) and 4, Plan investments also include shares of the common stock of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Plan Termination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and to terminate the Plan subject to the provisions of ERISA. In the event of Plan termination, participants will become 100% vested in the Company's contributions as applicable.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Tax Status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Internal Revenue Service has determined and informed the Company by a letter dated June 4, 2014, that the Plan and related trust are designed in accordance with applicable sections of the IRC. The Plan was amended July 20, 2015 and is no longer intended to qualify as a stock bonus plan satisfying the requirements of an employee stock ownership plan within the meaning of section 4975(e)(7) of the IRC. The plan administrator and the Plan's tax counsel believe that the plan is designed and is currently being operated in compliance with the applicable provisions of the IRC.</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the Plan's policy to recognize the impact of uncertain tax positions in its financial statements if, upon ultimate settlement, that position is more likely than not to be sustained. No such uncertain tax positions have been recognized by the Plan.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Subsequent Events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6, 2022, the Company announced it will match $0.50 on each $1.00 contributed up to the first 6% of eligible earnings contributed to the Plan. For those employees who participate in the Plan, this was retroactive to January 1, 2022 and paid on April 22, 2022.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FIDELITY NATIONAL FINANCIAL GROUP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401(k) PROFIT SHARING PLAN</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Supplemental Schedule H, Line 4i - Schedule of Assets (Held at End of Year)</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5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EIN:</w:t>
        <w:tab/>
        <w:t>16-1725106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No. 001</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Identity of issue,</w:t>
            </w:r>
          </w:p>
        </w:tc>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5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borrower, lessor, or</w:t>
            </w:r>
          </w:p>
        </w:tc>
        <w:tc>
          <w:tcPr>
            <w:tcW w:w="5840" w:type="dxa"/>
            <w:vAlign w:val="bottom"/>
            <w:gridSpan w:val="2"/>
            <w:vMerge w:val="restart"/>
          </w:tcPr>
          <w:p>
            <w:pPr>
              <w:ind w:left="2060"/>
              <w:spacing w:after="0"/>
              <w:rPr>
                <w:sz w:val="20"/>
                <w:szCs w:val="20"/>
                <w:color w:val="auto"/>
              </w:rPr>
            </w:pPr>
            <w:r>
              <w:rPr>
                <w:rFonts w:ascii="Times New Roman" w:cs="Times New Roman" w:eastAsia="Times New Roman" w:hAnsi="Times New Roman"/>
                <w:sz w:val="14"/>
                <w:szCs w:val="14"/>
                <w:b w:val="1"/>
                <w:bCs w:val="1"/>
                <w:color w:val="auto"/>
              </w:rPr>
              <w:t>Description of Investment</w:t>
            </w: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Shares/units</w:t>
            </w: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0" w:type="dxa"/>
            <w:vAlign w:val="bottom"/>
          </w:tcPr>
          <w:p>
            <w:pPr>
              <w:spacing w:after="0"/>
              <w:rPr>
                <w:sz w:val="1"/>
                <w:szCs w:val="1"/>
                <w:color w:val="auto"/>
              </w:rPr>
            </w:pPr>
          </w:p>
        </w:tc>
      </w:tr>
      <w:tr>
        <w:trPr>
          <w:trHeight w:val="196"/>
        </w:trPr>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similar party</w:t>
            </w:r>
          </w:p>
        </w:tc>
        <w:tc>
          <w:tcPr>
            <w:tcW w:w="584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 funds:</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w:t>
            </w: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BlackRock Equity Index Fund J</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10,092,498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221,562,004</w:t>
            </w:r>
          </w:p>
        </w:tc>
        <w:tc>
          <w:tcPr>
            <w:tcW w:w="0" w:type="dxa"/>
            <w:vAlign w:val="bottom"/>
          </w:tcPr>
          <w:p>
            <w:pPr>
              <w:spacing w:after="0"/>
              <w:rPr>
                <w:sz w:val="1"/>
                <w:szCs w:val="1"/>
                <w:color w:val="auto"/>
              </w:rPr>
            </w:pPr>
          </w:p>
        </w:tc>
      </w:tr>
      <w:tr>
        <w:trPr>
          <w:trHeight w:val="229"/>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BlackRock</w:t>
            </w:r>
          </w:p>
        </w:tc>
        <w:tc>
          <w:tcPr>
            <w:tcW w:w="5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BlackRock Lifepath Index Retirement Fund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4,346,653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82,329,085</w:t>
            </w:r>
          </w:p>
        </w:tc>
        <w:tc>
          <w:tcPr>
            <w:tcW w:w="0" w:type="dxa"/>
            <w:vAlign w:val="bottom"/>
          </w:tcPr>
          <w:p>
            <w:pPr>
              <w:spacing w:after="0"/>
              <w:rPr>
                <w:sz w:val="1"/>
                <w:szCs w:val="1"/>
                <w:color w:val="auto"/>
              </w:rPr>
            </w:pPr>
          </w:p>
        </w:tc>
      </w:tr>
      <w:tr>
        <w:trPr>
          <w:trHeight w:val="229"/>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w:t>
            </w: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BlackRock Lifepath Index 2025 Fund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4,500,352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99,688,668</w:t>
            </w: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BlackRock</w:t>
            </w:r>
          </w:p>
        </w:tc>
        <w:tc>
          <w:tcPr>
            <w:tcW w:w="5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BlackRock Lifepath Index 2030 Fund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5,167,146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124,527,823</w:t>
            </w:r>
          </w:p>
        </w:tc>
        <w:tc>
          <w:tcPr>
            <w:tcW w:w="0" w:type="dxa"/>
            <w:vAlign w:val="bottom"/>
          </w:tcPr>
          <w:p>
            <w:pPr>
              <w:spacing w:after="0"/>
              <w:rPr>
                <w:sz w:val="1"/>
                <w:szCs w:val="1"/>
                <w:color w:val="auto"/>
              </w:rPr>
            </w:pPr>
          </w:p>
        </w:tc>
      </w:tr>
      <w:tr>
        <w:trPr>
          <w:trHeight w:val="229"/>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w:t>
            </w: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BlackRock Lifepath Index 2035 Fund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4,326,234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112,805,329</w:t>
            </w:r>
          </w:p>
        </w:tc>
        <w:tc>
          <w:tcPr>
            <w:tcW w:w="0" w:type="dxa"/>
            <w:vAlign w:val="bottom"/>
          </w:tcPr>
          <w:p>
            <w:pPr>
              <w:spacing w:after="0"/>
              <w:rPr>
                <w:sz w:val="1"/>
                <w:szCs w:val="1"/>
                <w:color w:val="auto"/>
              </w:rPr>
            </w:pPr>
          </w:p>
        </w:tc>
      </w:tr>
      <w:tr>
        <w:trPr>
          <w:trHeight w:val="229"/>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BlackRock</w:t>
            </w:r>
          </w:p>
        </w:tc>
        <w:tc>
          <w:tcPr>
            <w:tcW w:w="5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BlackRock Lifepath Index 2040 Fund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3,539,341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98,771,199</w:t>
            </w:r>
          </w:p>
        </w:tc>
        <w:tc>
          <w:tcPr>
            <w:tcW w:w="0" w:type="dxa"/>
            <w:vAlign w:val="bottom"/>
          </w:tcPr>
          <w:p>
            <w:pPr>
              <w:spacing w:after="0"/>
              <w:rPr>
                <w:sz w:val="1"/>
                <w:szCs w:val="1"/>
                <w:color w:val="auto"/>
              </w:rPr>
            </w:pPr>
          </w:p>
        </w:tc>
      </w:tr>
      <w:tr>
        <w:trPr>
          <w:trHeight w:val="230"/>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w:t>
            </w: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BlackRock Lifepath Index 2045 Fund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2,942,034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86,718,868</w:t>
            </w:r>
          </w:p>
        </w:tc>
        <w:tc>
          <w:tcPr>
            <w:tcW w:w="0" w:type="dxa"/>
            <w:vAlign w:val="bottom"/>
          </w:tcPr>
          <w:p>
            <w:pPr>
              <w:spacing w:after="0"/>
              <w:rPr>
                <w:sz w:val="1"/>
                <w:szCs w:val="1"/>
                <w:color w:val="auto"/>
              </w:rPr>
            </w:pPr>
          </w:p>
        </w:tc>
      </w:tr>
      <w:tr>
        <w:trPr>
          <w:trHeight w:val="229"/>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BlackRock</w:t>
            </w:r>
          </w:p>
        </w:tc>
        <w:tc>
          <w:tcPr>
            <w:tcW w:w="5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BlackRock Lifepath Index 2050 Fund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1,590,170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48,466,708</w:t>
            </w:r>
          </w:p>
        </w:tc>
        <w:tc>
          <w:tcPr>
            <w:tcW w:w="0" w:type="dxa"/>
            <w:vAlign w:val="bottom"/>
          </w:tcPr>
          <w:p>
            <w:pPr>
              <w:spacing w:after="0"/>
              <w:rPr>
                <w:sz w:val="1"/>
                <w:szCs w:val="1"/>
                <w:color w:val="auto"/>
              </w:rPr>
            </w:pPr>
          </w:p>
        </w:tc>
      </w:tr>
      <w:tr>
        <w:trPr>
          <w:trHeight w:val="230"/>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w:t>
            </w: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BlackRock Lifepath Index 2055 Fund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855,271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27,031,120</w:t>
            </w:r>
          </w:p>
        </w:tc>
        <w:tc>
          <w:tcPr>
            <w:tcW w:w="0" w:type="dxa"/>
            <w:vAlign w:val="bottom"/>
          </w:tcPr>
          <w:p>
            <w:pPr>
              <w:spacing w:after="0"/>
              <w:rPr>
                <w:sz w:val="1"/>
                <w:szCs w:val="1"/>
                <w:color w:val="auto"/>
              </w:rPr>
            </w:pPr>
          </w:p>
        </w:tc>
      </w:tr>
      <w:tr>
        <w:trPr>
          <w:trHeight w:val="229"/>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BlackRock</w:t>
            </w:r>
          </w:p>
        </w:tc>
        <w:tc>
          <w:tcPr>
            <w:tcW w:w="5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BlackRock Lifepath Index 2060 Fund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567,104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11,660,068</w:t>
            </w:r>
          </w:p>
        </w:tc>
        <w:tc>
          <w:tcPr>
            <w:tcW w:w="0" w:type="dxa"/>
            <w:vAlign w:val="bottom"/>
          </w:tcPr>
          <w:p>
            <w:pPr>
              <w:spacing w:after="0"/>
              <w:rPr>
                <w:sz w:val="1"/>
                <w:szCs w:val="1"/>
                <w:color w:val="auto"/>
              </w:rPr>
            </w:pPr>
          </w:p>
        </w:tc>
      </w:tr>
      <w:tr>
        <w:trPr>
          <w:trHeight w:val="229"/>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w:t>
            </w: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BlackRock Mid-Capitalization Equity Index Fund M</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3,399,700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113,351,092</w:t>
            </w: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BlackRock</w:t>
            </w:r>
          </w:p>
        </w:tc>
        <w:tc>
          <w:tcPr>
            <w:tcW w:w="5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BlackRock MSCI EAFE Equity Index Fund M</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2,236,003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44,569,799</w:t>
            </w:r>
          </w:p>
        </w:tc>
        <w:tc>
          <w:tcPr>
            <w:tcW w:w="0" w:type="dxa"/>
            <w:vAlign w:val="bottom"/>
          </w:tcPr>
          <w:p>
            <w:pPr>
              <w:spacing w:after="0"/>
              <w:rPr>
                <w:sz w:val="1"/>
                <w:szCs w:val="1"/>
                <w:color w:val="auto"/>
              </w:rPr>
            </w:pPr>
          </w:p>
        </w:tc>
      </w:tr>
      <w:tr>
        <w:trPr>
          <w:trHeight w:val="229"/>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w:t>
            </w: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BlackRock Russell 2000 Index Fund M</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3,631,993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113,788,887</w:t>
            </w: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BlackRock</w:t>
            </w:r>
          </w:p>
        </w:tc>
        <w:tc>
          <w:tcPr>
            <w:tcW w:w="5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BlackRock US Treasury Inflation Protected Securities Fund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1,867,811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24,071,754</w:t>
            </w:r>
          </w:p>
        </w:tc>
        <w:tc>
          <w:tcPr>
            <w:tcW w:w="0" w:type="dxa"/>
            <w:vAlign w:val="bottom"/>
          </w:tcPr>
          <w:p>
            <w:pPr>
              <w:spacing w:after="0"/>
              <w:rPr>
                <w:sz w:val="1"/>
                <w:szCs w:val="1"/>
                <w:color w:val="auto"/>
              </w:rPr>
            </w:pPr>
          </w:p>
        </w:tc>
      </w:tr>
      <w:tr>
        <w:trPr>
          <w:trHeight w:val="230"/>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w:t>
            </w: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BlackRock US Debt Index Fund M</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3,322,551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42,839,643</w:t>
            </w: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PGI</w:t>
            </w:r>
          </w:p>
        </w:tc>
        <w:tc>
          <w:tcPr>
            <w:tcW w:w="5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Global Investors CIT Real Estate Securities Fund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11,905,215</w:t>
            </w:r>
          </w:p>
        </w:tc>
        <w:tc>
          <w:tcPr>
            <w:tcW w:w="0" w:type="dxa"/>
            <w:vAlign w:val="bottom"/>
          </w:tcPr>
          <w:p>
            <w:pPr>
              <w:spacing w:after="0"/>
              <w:rPr>
                <w:sz w:val="1"/>
                <w:szCs w:val="1"/>
                <w:color w:val="auto"/>
              </w:rPr>
            </w:pPr>
          </w:p>
        </w:tc>
      </w:tr>
      <w:tr>
        <w:trPr>
          <w:trHeight w:val="229"/>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Wells Fargo</w:t>
            </w: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Wells Fargo Stable Return Fund I</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4,060,227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239,715,786</w:t>
            </w: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 funds: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Baird</w:t>
            </w: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Baird Core Plus Bond Fund Class Institutional</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7,352,427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85,802,820</w:t>
            </w: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PGI</w:t>
            </w:r>
          </w:p>
        </w:tc>
        <w:tc>
          <w:tcPr>
            <w:tcW w:w="5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PGIM Global Total Return Fund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1,299,553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8,681,013</w:t>
            </w: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5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Fidelity</w:t>
            </w:r>
          </w:p>
        </w:tc>
        <w:tc>
          <w:tcPr>
            <w:tcW w:w="58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Fidelity Advisor International Capital Appreciation Fund Z</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2,694,706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85,880,277</w:t>
            </w:r>
          </w:p>
        </w:tc>
        <w:tc>
          <w:tcPr>
            <w:tcW w:w="0" w:type="dxa"/>
            <w:vAlign w:val="bottom"/>
          </w:tcPr>
          <w:p>
            <w:pPr>
              <w:spacing w:after="0"/>
              <w:rPr>
                <w:sz w:val="1"/>
                <w:szCs w:val="1"/>
                <w:color w:val="auto"/>
              </w:rPr>
            </w:pPr>
          </w:p>
        </w:tc>
      </w:tr>
      <w:tr>
        <w:trPr>
          <w:trHeight w:val="243"/>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5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Harbor Funds</w:t>
            </w: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Harbor Capital Appreciation Institutional Fund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2,792,878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281,438,296</w:t>
            </w: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5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Vanguard Wellington Fund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4,853,829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406,750,829</w:t>
            </w:r>
          </w:p>
        </w:tc>
        <w:tc>
          <w:tcPr>
            <w:tcW w:w="0" w:type="dxa"/>
            <w:vAlign w:val="bottom"/>
          </w:tcPr>
          <w:p>
            <w:pPr>
              <w:spacing w:after="0"/>
              <w:rPr>
                <w:sz w:val="1"/>
                <w:szCs w:val="1"/>
                <w:color w:val="auto"/>
              </w:rPr>
            </w:pPr>
          </w:p>
        </w:tc>
      </w:tr>
      <w:tr>
        <w:trPr>
          <w:trHeight w:val="230"/>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Vanguard Equity Income Fund Admiral</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1,034,449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95,396,872</w:t>
            </w: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CNNE</w:t>
            </w:r>
          </w:p>
        </w:tc>
        <w:tc>
          <w:tcPr>
            <w:tcW w:w="5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Cannae Holdings, Inc. Frozen Stock Fund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1,716,673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26,271,359</w:t>
            </w: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BKI</w:t>
            </w:r>
          </w:p>
        </w:tc>
        <w:tc>
          <w:tcPr>
            <w:tcW w:w="5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Black Knight, Inc. Frozen Stock Fund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2,885,525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58,237,918</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Employer common stock:</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FNF</w:t>
            </w:r>
          </w:p>
        </w:tc>
        <w:tc>
          <w:tcPr>
            <w:tcW w:w="5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Fidelity National Financial, Inc.</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6,084,122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193,692,883</w:t>
            </w:r>
          </w:p>
        </w:tc>
        <w:tc>
          <w:tcPr>
            <w:tcW w:w="0" w:type="dxa"/>
            <w:vAlign w:val="bottom"/>
          </w:tcPr>
          <w:p>
            <w:pPr>
              <w:spacing w:after="0"/>
              <w:rPr>
                <w:sz w:val="1"/>
                <w:szCs w:val="1"/>
                <w:color w:val="auto"/>
              </w:rPr>
            </w:pPr>
          </w:p>
        </w:tc>
      </w:tr>
      <w:tr>
        <w:trPr>
          <w:trHeight w:val="621"/>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4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7" w:right="379" w:bottom="1440" w:gutter="0" w:footer="0" w:header="0"/>
        </w:sectPr>
      </w:pPr>
    </w:p>
    <w:bookmarkStart w:id="11" w:name="page12"/>
    <w:bookmarkEnd w:id="1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FIDELITY NATIONAL FINANCIAL GROUP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401(k) PROFIT SHARING PLAN</w:t>
      </w: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Supplemental Schedule H, Line 4i - Schedule of Assets (Held at End of Year) - continued</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377" w:lineRule="exact"/>
        <w:rPr>
          <w:sz w:val="20"/>
          <w:szCs w:val="20"/>
          <w:color w:val="auto"/>
        </w:rPr>
      </w:pPr>
    </w:p>
    <w:p>
      <w:pPr>
        <w:jc w:val="center"/>
        <w:ind w:right="9680"/>
        <w:spacing w:after="0"/>
        <w:rPr>
          <w:sz w:val="20"/>
          <w:szCs w:val="20"/>
          <w:color w:val="auto"/>
        </w:rPr>
      </w:pPr>
      <w:r>
        <w:rPr>
          <w:rFonts w:ascii="Times New Roman" w:cs="Times New Roman" w:eastAsia="Times New Roman" w:hAnsi="Times New Roman"/>
          <w:sz w:val="14"/>
          <w:szCs w:val="14"/>
          <w:b w:val="1"/>
          <w:bCs w:val="1"/>
          <w:color w:val="auto"/>
        </w:rPr>
        <w:t>Identity of issue,</w:t>
      </w:r>
    </w:p>
    <w:p>
      <w:pPr>
        <w:jc w:val="center"/>
        <w:ind w:right="9680"/>
        <w:spacing w:after="0"/>
        <w:rPr>
          <w:sz w:val="20"/>
          <w:szCs w:val="20"/>
          <w:color w:val="auto"/>
        </w:rPr>
      </w:pPr>
      <w:r>
        <w:rPr>
          <w:rFonts w:ascii="Times New Roman" w:cs="Times New Roman" w:eastAsia="Times New Roman" w:hAnsi="Times New Roman"/>
          <w:sz w:val="13"/>
          <w:szCs w:val="13"/>
          <w:b w:val="1"/>
          <w:bCs w:val="1"/>
          <w:color w:val="auto"/>
        </w:rPr>
        <w:t>borrower, lessor, or</w:t>
      </w:r>
    </w:p>
    <w:p>
      <w:pPr>
        <w:ind w:left="320"/>
        <w:spacing w:after="0"/>
        <w:tabs>
          <w:tab w:leader="none" w:pos="3560" w:val="left"/>
          <w:tab w:leader="none" w:pos="7620" w:val="left"/>
          <w:tab w:leader="none" w:pos="9040" w:val="left"/>
          <w:tab w:leader="none" w:pos="10000" w:val="left"/>
        </w:tabs>
        <w:rPr>
          <w:sz w:val="20"/>
          <w:szCs w:val="20"/>
          <w:color w:val="auto"/>
        </w:rPr>
      </w:pPr>
      <w:r>
        <w:rPr>
          <w:rFonts w:ascii="Times New Roman" w:cs="Times New Roman" w:eastAsia="Times New Roman" w:hAnsi="Times New Roman"/>
          <w:sz w:val="14"/>
          <w:szCs w:val="14"/>
          <w:b w:val="1"/>
          <w:bCs w:val="1"/>
          <w:color w:val="auto"/>
        </w:rPr>
        <w:t>similar party</w:t>
      </w:r>
      <w:r>
        <w:rPr>
          <w:sz w:val="20"/>
          <w:szCs w:val="20"/>
          <w:color w:val="auto"/>
        </w:rPr>
        <w:tab/>
      </w:r>
      <w:r>
        <w:rPr>
          <w:rFonts w:ascii="Times New Roman" w:cs="Times New Roman" w:eastAsia="Times New Roman" w:hAnsi="Times New Roman"/>
          <w:sz w:val="14"/>
          <w:szCs w:val="14"/>
          <w:b w:val="1"/>
          <w:bCs w:val="1"/>
          <w:color w:val="auto"/>
        </w:rPr>
        <w:t>Description of Investment</w:t>
      </w:r>
      <w:r>
        <w:rPr>
          <w:sz w:val="20"/>
          <w:szCs w:val="20"/>
          <w:color w:val="auto"/>
        </w:rPr>
        <w:tab/>
      </w:r>
      <w:r>
        <w:rPr>
          <w:rFonts w:ascii="Times New Roman" w:cs="Times New Roman" w:eastAsia="Times New Roman" w:hAnsi="Times New Roman"/>
          <w:sz w:val="14"/>
          <w:szCs w:val="14"/>
          <w:b w:val="1"/>
          <w:bCs w:val="1"/>
          <w:color w:val="auto"/>
        </w:rPr>
        <w:t>Shares/units</w:t>
      </w:r>
      <w:r>
        <w:rPr>
          <w:sz w:val="20"/>
          <w:szCs w:val="20"/>
          <w:color w:val="auto"/>
        </w:rPr>
        <w:tab/>
      </w:r>
      <w:r>
        <w:rPr>
          <w:rFonts w:ascii="Times New Roman" w:cs="Times New Roman" w:eastAsia="Times New Roman" w:hAnsi="Times New Roman"/>
          <w:sz w:val="14"/>
          <w:szCs w:val="14"/>
          <w:b w:val="1"/>
          <w:bCs w:val="1"/>
          <w:color w:val="auto"/>
        </w:rPr>
        <w:t>Cost</w:t>
      </w:r>
      <w:r>
        <w:rPr>
          <w:sz w:val="20"/>
          <w:szCs w:val="20"/>
          <w:color w:val="auto"/>
        </w:rPr>
        <w:tab/>
      </w:r>
      <w:r>
        <w:rPr>
          <w:rFonts w:ascii="Times New Roman" w:cs="Times New Roman" w:eastAsia="Times New Roman" w:hAnsi="Times New Roman"/>
          <w:sz w:val="14"/>
          <w:szCs w:val="14"/>
          <w:b w:val="1"/>
          <w:bCs w:val="1"/>
          <w:color w:val="auto"/>
        </w:rPr>
        <w:t>Current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22225</wp:posOffset>
            </wp:positionV>
            <wp:extent cx="710628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386080"/>
                    </a:xfrm>
                    <a:prstGeom prst="rect">
                      <a:avLst/>
                    </a:prstGeom>
                    <a:noFill/>
                  </pic:spPr>
                </pic:pic>
              </a:graphicData>
            </a:graphic>
          </wp:anchor>
        </w:drawing>
      </w:r>
    </w:p>
    <w:p>
      <w:pPr>
        <w:sectPr>
          <w:pgSz w:w="11900" w:h="16838" w:orient="portrait"/>
          <w:cols w:equalWidth="0" w:num="1">
            <w:col w:w="11140"/>
          </w:cols>
          <w:pgMar w:left="320" w:top="1130" w:right="439" w:bottom="1440" w:gutter="0" w:footer="0" w:header="0"/>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14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 Participant</w:t>
            </w:r>
          </w:p>
        </w:tc>
        <w:tc>
          <w:tcPr>
            <w:tcW w:w="100" w:type="dxa"/>
            <w:vAlign w:val="bottom"/>
          </w:tcPr>
          <w:p>
            <w:pPr>
              <w:spacing w:after="0"/>
              <w:rPr>
                <w:sz w:val="16"/>
                <w:szCs w:val="16"/>
                <w:color w:val="auto"/>
              </w:rPr>
            </w:pPr>
          </w:p>
        </w:tc>
        <w:tc>
          <w:tcPr>
            <w:tcW w:w="5700" w:type="dxa"/>
            <w:vAlign w:val="bottom"/>
            <w:tcBorders>
              <w:top w:val="single" w:sz="8" w:color="auto"/>
            </w:tcBorders>
          </w:tcPr>
          <w:p>
            <w:pPr>
              <w:ind w:left="240"/>
              <w:spacing w:after="0" w:line="189" w:lineRule="exact"/>
              <w:rPr>
                <w:sz w:val="20"/>
                <w:szCs w:val="20"/>
                <w:color w:val="auto"/>
              </w:rPr>
            </w:pPr>
            <w:r>
              <w:rPr>
                <w:rFonts w:ascii="Times New Roman" w:cs="Times New Roman" w:eastAsia="Times New Roman" w:hAnsi="Times New Roman"/>
                <w:sz w:val="18"/>
                <w:szCs w:val="18"/>
                <w:color w:val="auto"/>
              </w:rPr>
              <w:t>Participant loans, various maturities, interest rates 3.25% - 10.25%,</w:t>
            </w:r>
          </w:p>
        </w:tc>
      </w:tr>
      <w:tr>
        <w:trPr>
          <w:trHeight w:val="176"/>
        </w:trPr>
        <w:tc>
          <w:tcPr>
            <w:tcW w:w="40" w:type="dxa"/>
            <w:vAlign w:val="bottom"/>
          </w:tcPr>
          <w:p>
            <w:pPr>
              <w:spacing w:after="0"/>
              <w:rPr>
                <w:sz w:val="15"/>
                <w:szCs w:val="15"/>
                <w:color w:val="auto"/>
              </w:rPr>
            </w:pPr>
          </w:p>
        </w:tc>
        <w:tc>
          <w:tcPr>
            <w:tcW w:w="15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loans</w:t>
            </w:r>
          </w:p>
        </w:tc>
        <w:tc>
          <w:tcPr>
            <w:tcW w:w="570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balances collateralized by participant account, a total of 4,901 loans are</w:t>
            </w:r>
          </w:p>
        </w:tc>
      </w:tr>
      <w:tr>
        <w:trPr>
          <w:trHeight w:val="234"/>
        </w:trPr>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outstanding with maturity dates from one to ten years through 2032</w:t>
            </w:r>
          </w:p>
        </w:tc>
      </w:tr>
      <w:tr>
        <w:trPr>
          <w:trHeight w:val="603"/>
        </w:trPr>
        <w:tc>
          <w:tcPr>
            <w:tcW w:w="14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w w:val="98"/>
              </w:rPr>
              <w:t>___________</w:t>
            </w:r>
          </w:p>
        </w:tc>
        <w:tc>
          <w:tcPr>
            <w:tcW w:w="100" w:type="dxa"/>
            <w:vAlign w:val="bottom"/>
          </w:tcPr>
          <w:p>
            <w:pPr>
              <w:spacing w:after="0"/>
              <w:rPr>
                <w:sz w:val="24"/>
                <w:szCs w:val="24"/>
                <w:color w:val="auto"/>
              </w:rPr>
            </w:pPr>
          </w:p>
        </w:tc>
        <w:tc>
          <w:tcPr>
            <w:tcW w:w="5700" w:type="dxa"/>
            <w:vAlign w:val="bottom"/>
          </w:tcPr>
          <w:p>
            <w:pPr>
              <w:spacing w:after="0"/>
              <w:rPr>
                <w:sz w:val="24"/>
                <w:szCs w:val="24"/>
                <w:color w:val="auto"/>
              </w:rPr>
            </w:pPr>
          </w:p>
        </w:tc>
      </w:tr>
    </w:tbl>
    <w:p>
      <w:pPr>
        <w:ind w:left="360" w:hanging="312"/>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in interest.</w:t>
      </w:r>
    </w:p>
    <w:p>
      <w:pPr>
        <w:spacing w:after="0" w:line="9"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information has not been included because investments are participant directed.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financial statements classify participant loans as notes receivable from participants</w:t>
      </w:r>
    </w:p>
    <w:p>
      <w:pPr>
        <w:spacing w:after="0" w:line="234" w:lineRule="exact"/>
        <w:rPr>
          <w:sz w:val="20"/>
          <w:szCs w:val="20"/>
          <w:color w:val="auto"/>
        </w:rPr>
      </w:pPr>
    </w:p>
    <w:p>
      <w:pPr>
        <w:jc w:val="right"/>
        <w:ind w:right="652"/>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39,666,835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248920</wp:posOffset>
            </wp:positionV>
            <wp:extent cx="968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381" w:lineRule="exact"/>
        <w:rPr>
          <w:sz w:val="20"/>
          <w:szCs w:val="20"/>
          <w:color w:val="auto"/>
        </w:rPr>
      </w:pPr>
    </w:p>
    <w:p>
      <w:pPr>
        <w:ind w:left="408" w:hanging="408"/>
        <w:spacing w:after="0"/>
        <w:tabs>
          <w:tab w:leader="none" w:pos="408"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2,785,622,150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24765</wp:posOffset>
            </wp:positionV>
            <wp:extent cx="968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50165</wp:posOffset>
            </wp:positionV>
            <wp:extent cx="9683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1669" w:lineRule="exact"/>
        <w:rPr>
          <w:sz w:val="20"/>
          <w:szCs w:val="20"/>
          <w:color w:val="auto"/>
        </w:rPr>
      </w:pPr>
    </w:p>
    <w:p>
      <w:pPr>
        <w:sectPr>
          <w:pgSz w:w="11900" w:h="16838" w:orient="portrait"/>
          <w:cols w:equalWidth="0" w:num="2">
            <w:col w:w="8992" w:space="720"/>
            <w:col w:w="1428"/>
          </w:cols>
          <w:pgMar w:left="320" w:top="1130" w:right="439" w:bottom="1440" w:gutter="0" w:footer="0" w:header="0"/>
          <w:type w:val="continuous"/>
        </w:sect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140"/>
          </w:cols>
          <w:pgMar w:left="320" w:top="1130" w:right="439"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 have duly caused this annual report to be signed on its behalf by the undersigned thereunto duly authorized.</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Fidelity National Financial Group 401(k)</w:t>
            </w:r>
          </w:p>
        </w:tc>
      </w:tr>
      <w:tr>
        <w:trPr>
          <w:trHeight w:val="234"/>
        </w:trPr>
        <w:tc>
          <w:tcPr>
            <w:tcW w:w="4680" w:type="dxa"/>
            <w:vAlign w:val="bottom"/>
          </w:tcPr>
          <w:p>
            <w:pPr>
              <w:spacing w:after="0"/>
              <w:rPr>
                <w:sz w:val="20"/>
                <w:szCs w:val="20"/>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 Sharing Plan</w:t>
            </w:r>
          </w:p>
        </w:tc>
      </w:tr>
      <w:tr>
        <w:trPr>
          <w:trHeight w:val="508"/>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2022</w:t>
            </w: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Patrick Mortimer</w:t>
            </w:r>
          </w:p>
        </w:tc>
      </w:tr>
      <w:tr>
        <w:trPr>
          <w:trHeight w:val="218"/>
        </w:trPr>
        <w:tc>
          <w:tcPr>
            <w:tcW w:w="468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Patrick Mortimer</w:t>
            </w:r>
          </w:p>
        </w:tc>
      </w:tr>
      <w:tr>
        <w:trPr>
          <w:trHeight w:val="234"/>
        </w:trPr>
        <w:tc>
          <w:tcPr>
            <w:tcW w:w="4680" w:type="dxa"/>
            <w:vAlign w:val="bottom"/>
          </w:tcPr>
          <w:p>
            <w:pPr>
              <w:spacing w:after="0"/>
              <w:rPr>
                <w:sz w:val="20"/>
                <w:szCs w:val="20"/>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gridSpan w:val="2"/>
          </w:tcPr>
          <w:p>
            <w:pPr>
              <w:ind w:left="29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94"/>
        </w:trPr>
        <w:tc>
          <w:tcPr>
            <w:tcW w:w="19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Exhibit No.</w:t>
            </w:r>
          </w:p>
        </w:tc>
        <w:tc>
          <w:tcPr>
            <w:tcW w:w="20" w:type="dxa"/>
            <w:vAlign w:val="bottom"/>
          </w:tcPr>
          <w:p>
            <w:pPr>
              <w:spacing w:after="0"/>
              <w:rPr>
                <w:sz w:val="24"/>
                <w:szCs w:val="24"/>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1480" w:type="dxa"/>
            <w:vAlign w:val="bottom"/>
            <w:tcBorders>
              <w:top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color w:val="auto"/>
              </w:rPr>
              <w:t>23.1</w:t>
            </w:r>
          </w:p>
        </w:tc>
        <w:tc>
          <w:tcPr>
            <w:tcW w:w="4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40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 - FORVIS, LLP</w:t>
            </w:r>
          </w:p>
        </w:tc>
      </w:tr>
      <w:tr>
        <w:trPr>
          <w:trHeight w:val="20"/>
        </w:trPr>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119"/>
          </w:cols>
          <w:pgMar w:left="340" w:top="1440" w:right="1440"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S-8 (Nos. 333-197249, 333-190527, 333-157643, 333-132843, 333-138254, 333-129886, 333-129016, 333-176395, 333-213427, and 333-238853) and Registration Statements (Nos. 333-157123, 333-147391, 333-174650, 333-238860, and 333-239002) on Form S-3, and Registration Statements (Nos. 333-231213, 333-194938, 333-190902, and 333-237540) on Form S-4 of our report dated June 23, 2022, with respect to the financial statements and supplemental schedules of Fidelity National Financial Group 401k Profit Sharing Plan included in this Annual Report on Form 11-K for the year ended December 31, 2021.</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FORVIS, LLP (Formerly, Dixon Hughes Goodman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2022-06-23T15:07:37Z</dcterms:created>
  <dcterms:modified xsi:type="dcterms:W3CDTF">2022-06-23T15:07:37Z</dcterms:modified>
</cp:coreProperties>
</file>