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OR</w:t>
      </w:r>
    </w:p>
    <w:p>
      <w:pPr>
        <w:spacing w:after="0" w:line="243"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 Ended September 30, 2005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FIDELITY NATIONAL TITLE GROUP, INC.</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6360" w:type="dxa"/>
            <w:vAlign w:val="bottom"/>
            <w:tcBorders>
              <w:top w:val="single" w:sz="8" w:color="auto"/>
            </w:tcBorders>
          </w:tcPr>
          <w:p>
            <w:pPr>
              <w:jc w:val="center"/>
              <w:ind w:left="2230"/>
              <w:spacing w:after="0"/>
              <w:rPr>
                <w:sz w:val="20"/>
                <w:szCs w:val="20"/>
                <w:color w:val="auto"/>
              </w:rPr>
            </w:pPr>
            <w:r>
              <w:rPr>
                <w:rFonts w:ascii="Arial" w:cs="Arial" w:eastAsia="Arial" w:hAnsi="Arial"/>
                <w:sz w:val="18"/>
                <w:szCs w:val="18"/>
                <w:color w:val="auto"/>
                <w:w w:val="90"/>
              </w:rPr>
              <w:t>(Exact name of registrant as specified in its charter)</w:t>
            </w:r>
          </w:p>
        </w:tc>
        <w:tc>
          <w:tcPr>
            <w:tcW w:w="2300" w:type="dxa"/>
            <w:vAlign w:val="bottom"/>
            <w:tcBorders>
              <w:top w:val="single" w:sz="8" w:color="auto"/>
            </w:tcBorders>
          </w:tcPr>
          <w:p>
            <w:pPr>
              <w:spacing w:after="0"/>
              <w:rPr>
                <w:sz w:val="20"/>
                <w:szCs w:val="20"/>
                <w:color w:val="auto"/>
              </w:rPr>
            </w:pPr>
          </w:p>
        </w:tc>
        <w:tc>
          <w:tcPr>
            <w:tcW w:w="1380" w:type="dxa"/>
            <w:vAlign w:val="bottom"/>
          </w:tcPr>
          <w:p>
            <w:pPr>
              <w:spacing w:after="0"/>
              <w:rPr>
                <w:sz w:val="20"/>
                <w:szCs w:val="20"/>
                <w:color w:val="auto"/>
              </w:rPr>
            </w:pPr>
          </w:p>
        </w:tc>
      </w:tr>
      <w:tr>
        <w:trPr>
          <w:trHeight w:val="411"/>
        </w:trPr>
        <w:tc>
          <w:tcPr>
            <w:tcW w:w="138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jc w:val="center"/>
              <w:ind w:right="3590"/>
              <w:spacing w:after="0"/>
              <w:rPr>
                <w:sz w:val="20"/>
                <w:szCs w:val="20"/>
                <w:color w:val="auto"/>
              </w:rPr>
            </w:pPr>
            <w:r>
              <w:rPr>
                <w:rFonts w:ascii="Arial" w:cs="Arial" w:eastAsia="Arial" w:hAnsi="Arial"/>
                <w:sz w:val="18"/>
                <w:szCs w:val="18"/>
                <w:color w:val="auto"/>
                <w:w w:val="89"/>
              </w:rPr>
              <w:t>Delaware</w:t>
            </w:r>
          </w:p>
        </w:tc>
        <w:tc>
          <w:tcPr>
            <w:tcW w:w="23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86-0498599</w:t>
            </w:r>
          </w:p>
        </w:tc>
        <w:tc>
          <w:tcPr>
            <w:tcW w:w="1380" w:type="dxa"/>
            <w:vAlign w:val="bottom"/>
            <w:tcBorders>
              <w:bottom w:val="single" w:sz="8" w:color="auto"/>
            </w:tcBorders>
          </w:tcPr>
          <w:p>
            <w:pPr>
              <w:spacing w:after="0"/>
              <w:rPr>
                <w:sz w:val="24"/>
                <w:szCs w:val="24"/>
                <w:color w:val="auto"/>
              </w:rPr>
            </w:pPr>
          </w:p>
        </w:tc>
      </w:tr>
      <w:tr>
        <w:trPr>
          <w:trHeight w:val="209"/>
        </w:trPr>
        <w:tc>
          <w:tcPr>
            <w:tcW w:w="1380" w:type="dxa"/>
            <w:vAlign w:val="bottom"/>
          </w:tcPr>
          <w:p>
            <w:pPr>
              <w:spacing w:after="0"/>
              <w:rPr>
                <w:sz w:val="18"/>
                <w:szCs w:val="18"/>
                <w:color w:val="auto"/>
              </w:rPr>
            </w:pPr>
          </w:p>
        </w:tc>
        <w:tc>
          <w:tcPr>
            <w:tcW w:w="6360" w:type="dxa"/>
            <w:vAlign w:val="bottom"/>
          </w:tcPr>
          <w:p>
            <w:pPr>
              <w:jc w:val="center"/>
              <w:ind w:right="3590"/>
              <w:spacing w:after="0"/>
              <w:rPr>
                <w:sz w:val="20"/>
                <w:szCs w:val="20"/>
                <w:color w:val="auto"/>
              </w:rPr>
            </w:pPr>
            <w:r>
              <w:rPr>
                <w:rFonts w:ascii="Arial" w:cs="Arial" w:eastAsia="Arial" w:hAnsi="Arial"/>
                <w:sz w:val="18"/>
                <w:szCs w:val="18"/>
                <w:color w:val="auto"/>
                <w:w w:val="92"/>
              </w:rPr>
              <w:t>(State or other jurisdiction of</w:t>
            </w:r>
          </w:p>
        </w:tc>
        <w:tc>
          <w:tcPr>
            <w:tcW w:w="3680" w:type="dxa"/>
            <w:vAlign w:val="bottom"/>
            <w:gridSpan w:val="2"/>
          </w:tcPr>
          <w:p>
            <w:pPr>
              <w:jc w:val="center"/>
              <w:ind w:right="1740"/>
              <w:spacing w:after="0"/>
              <w:rPr>
                <w:sz w:val="20"/>
                <w:szCs w:val="20"/>
                <w:color w:val="auto"/>
              </w:rPr>
            </w:pPr>
            <w:r>
              <w:rPr>
                <w:rFonts w:ascii="Arial" w:cs="Arial" w:eastAsia="Arial" w:hAnsi="Arial"/>
                <w:sz w:val="18"/>
                <w:szCs w:val="18"/>
                <w:color w:val="auto"/>
                <w:w w:val="92"/>
              </w:rPr>
              <w:t>(I.R.S. Employer</w:t>
            </w:r>
          </w:p>
        </w:tc>
      </w:tr>
      <w:tr>
        <w:trPr>
          <w:trHeight w:val="230"/>
        </w:trPr>
        <w:tc>
          <w:tcPr>
            <w:tcW w:w="1380" w:type="dxa"/>
            <w:vAlign w:val="bottom"/>
          </w:tcPr>
          <w:p>
            <w:pPr>
              <w:spacing w:after="0"/>
              <w:rPr>
                <w:sz w:val="20"/>
                <w:szCs w:val="20"/>
                <w:color w:val="auto"/>
              </w:rPr>
            </w:pPr>
          </w:p>
        </w:tc>
        <w:tc>
          <w:tcPr>
            <w:tcW w:w="6360" w:type="dxa"/>
            <w:vAlign w:val="bottom"/>
          </w:tcPr>
          <w:p>
            <w:pPr>
              <w:jc w:val="center"/>
              <w:ind w:right="3590"/>
              <w:spacing w:after="0"/>
              <w:rPr>
                <w:sz w:val="20"/>
                <w:szCs w:val="20"/>
                <w:color w:val="auto"/>
              </w:rPr>
            </w:pPr>
            <w:r>
              <w:rPr>
                <w:rFonts w:ascii="Arial" w:cs="Arial" w:eastAsia="Arial" w:hAnsi="Arial"/>
                <w:sz w:val="18"/>
                <w:szCs w:val="18"/>
                <w:color w:val="auto"/>
                <w:w w:val="92"/>
              </w:rPr>
              <w:t>incorporation or organization)</w:t>
            </w:r>
          </w:p>
        </w:tc>
        <w:tc>
          <w:tcPr>
            <w:tcW w:w="3680" w:type="dxa"/>
            <w:vAlign w:val="bottom"/>
            <w:gridSpan w:val="2"/>
          </w:tcPr>
          <w:p>
            <w:pPr>
              <w:jc w:val="center"/>
              <w:ind w:right="1740"/>
              <w:spacing w:after="0"/>
              <w:rPr>
                <w:sz w:val="20"/>
                <w:szCs w:val="20"/>
                <w:color w:val="auto"/>
              </w:rPr>
            </w:pPr>
            <w:r>
              <w:rPr>
                <w:rFonts w:ascii="Arial" w:cs="Arial" w:eastAsia="Arial" w:hAnsi="Arial"/>
                <w:sz w:val="18"/>
                <w:szCs w:val="18"/>
                <w:color w:val="auto"/>
                <w:w w:val="94"/>
              </w:rPr>
              <w:t>Identification Number)</w:t>
            </w:r>
          </w:p>
        </w:tc>
      </w:tr>
      <w:tr>
        <w:trPr>
          <w:trHeight w:val="432"/>
        </w:trPr>
        <w:tc>
          <w:tcPr>
            <w:tcW w:w="7740" w:type="dxa"/>
            <w:vAlign w:val="bottom"/>
            <w:tcBorders>
              <w:bottom w:val="single" w:sz="8" w:color="auto"/>
            </w:tcBorders>
            <w:gridSpan w:val="2"/>
          </w:tcPr>
          <w:p>
            <w:pPr>
              <w:jc w:val="center"/>
              <w:ind w:right="2230"/>
              <w:spacing w:after="0"/>
              <w:rPr>
                <w:sz w:val="20"/>
                <w:szCs w:val="20"/>
                <w:color w:val="auto"/>
              </w:rPr>
            </w:pPr>
            <w:r>
              <w:rPr>
                <w:rFonts w:ascii="Arial" w:cs="Arial" w:eastAsia="Arial" w:hAnsi="Arial"/>
                <w:sz w:val="18"/>
                <w:szCs w:val="18"/>
                <w:color w:val="auto"/>
                <w:w w:val="91"/>
              </w:rPr>
              <w:t>601 Riverside Avenue, Jacksonville, Florida</w:t>
            </w:r>
          </w:p>
        </w:tc>
        <w:tc>
          <w:tcPr>
            <w:tcW w:w="230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32204</w:t>
            </w:r>
          </w:p>
        </w:tc>
        <w:tc>
          <w:tcPr>
            <w:tcW w:w="1380" w:type="dxa"/>
            <w:vAlign w:val="bottom"/>
            <w:tcBorders>
              <w:bottom w:val="single" w:sz="8" w:color="auto"/>
            </w:tcBorders>
          </w:tcPr>
          <w:p>
            <w:pPr>
              <w:spacing w:after="0"/>
              <w:rPr>
                <w:sz w:val="24"/>
                <w:szCs w:val="24"/>
                <w:color w:val="auto"/>
              </w:rPr>
            </w:pPr>
          </w:p>
        </w:tc>
      </w:tr>
      <w:tr>
        <w:trPr>
          <w:trHeight w:val="224"/>
        </w:trPr>
        <w:tc>
          <w:tcPr>
            <w:tcW w:w="7740" w:type="dxa"/>
            <w:vAlign w:val="bottom"/>
            <w:gridSpan w:val="2"/>
          </w:tcPr>
          <w:p>
            <w:pPr>
              <w:jc w:val="center"/>
              <w:ind w:right="2230"/>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gridSpan w:val="2"/>
          </w:tcPr>
          <w:p>
            <w:pPr>
              <w:jc w:val="center"/>
              <w:ind w:right="1760"/>
              <w:spacing w:after="0"/>
              <w:rPr>
                <w:sz w:val="20"/>
                <w:szCs w:val="20"/>
                <w:color w:val="auto"/>
              </w:rPr>
            </w:pPr>
            <w:r>
              <w:rPr>
                <w:rFonts w:ascii="Arial" w:cs="Arial" w:eastAsia="Arial" w:hAnsi="Arial"/>
                <w:sz w:val="18"/>
                <w:szCs w:val="18"/>
                <w:color w:val="auto"/>
                <w:w w:val="94"/>
              </w:rPr>
              <w:t>(Zip Code)</w:t>
            </w:r>
          </w:p>
        </w:tc>
      </w:tr>
      <w:tr>
        <w:trPr>
          <w:trHeight w:val="438"/>
        </w:trPr>
        <w:tc>
          <w:tcPr>
            <w:tcW w:w="7740" w:type="dxa"/>
            <w:vAlign w:val="bottom"/>
            <w:tcBorders>
              <w:bottom w:val="single" w:sz="8" w:color="auto"/>
            </w:tcBorders>
            <w:gridSpan w:val="2"/>
          </w:tcPr>
          <w:p>
            <w:pPr>
              <w:jc w:val="center"/>
              <w:ind w:left="3610"/>
              <w:spacing w:after="0"/>
              <w:rPr>
                <w:sz w:val="20"/>
                <w:szCs w:val="20"/>
                <w:color w:val="auto"/>
              </w:rPr>
            </w:pPr>
            <w:r>
              <w:rPr>
                <w:rFonts w:ascii="Arial" w:cs="Arial" w:eastAsia="Arial" w:hAnsi="Arial"/>
                <w:sz w:val="18"/>
                <w:szCs w:val="18"/>
                <w:color w:val="auto"/>
                <w:w w:val="90"/>
              </w:rPr>
              <w:t>(904) 854-8100</w:t>
            </w:r>
          </w:p>
        </w:tc>
        <w:tc>
          <w:tcPr>
            <w:tcW w:w="2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30"/>
        </w:trPr>
        <w:tc>
          <w:tcPr>
            <w:tcW w:w="1380" w:type="dxa"/>
            <w:vAlign w:val="bottom"/>
          </w:tcPr>
          <w:p>
            <w:pPr>
              <w:spacing w:after="0"/>
              <w:rPr>
                <w:sz w:val="20"/>
                <w:szCs w:val="20"/>
                <w:color w:val="auto"/>
              </w:rPr>
            </w:pPr>
          </w:p>
        </w:tc>
        <w:tc>
          <w:tcPr>
            <w:tcW w:w="6360" w:type="dxa"/>
            <w:vAlign w:val="bottom"/>
          </w:tcPr>
          <w:p>
            <w:pPr>
              <w:jc w:val="center"/>
              <w:ind w:left="2210"/>
              <w:spacing w:after="0"/>
              <w:rPr>
                <w:sz w:val="20"/>
                <w:szCs w:val="20"/>
                <w:color w:val="auto"/>
              </w:rPr>
            </w:pPr>
            <w:r>
              <w:rPr>
                <w:rFonts w:ascii="Arial" w:cs="Arial" w:eastAsia="Arial" w:hAnsi="Arial"/>
                <w:sz w:val="18"/>
                <w:szCs w:val="18"/>
                <w:color w:val="auto"/>
                <w:w w:val="90"/>
              </w:rPr>
              <w:t>(Registrant’s telephone number, including area code)</w:t>
            </w:r>
          </w:p>
        </w:tc>
        <w:tc>
          <w:tcPr>
            <w:tcW w:w="230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79"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ind w:left="5080"/>
        <w:spacing w:after="0" w:line="207" w:lineRule="exact"/>
        <w:tabs>
          <w:tab w:leader="none" w:pos="59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301" w:lineRule="exact"/>
        <w:rPr>
          <w:sz w:val="20"/>
          <w:szCs w:val="20"/>
          <w:color w:val="auto"/>
        </w:rPr>
      </w:pPr>
    </w:p>
    <w:p>
      <w:pPr>
        <w:ind w:left="5080"/>
        <w:spacing w:after="0" w:line="207" w:lineRule="exact"/>
        <w:tabs>
          <w:tab w:leader="none" w:pos="58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3" w:lineRule="exact"/>
        <w:rPr>
          <w:sz w:val="20"/>
          <w:szCs w:val="20"/>
          <w:color w:val="auto"/>
        </w:rPr>
      </w:pPr>
    </w:p>
    <w:p>
      <w:pPr>
        <w:ind w:left="5080"/>
        <w:spacing w:after="0" w:line="207" w:lineRule="exact"/>
        <w:tabs>
          <w:tab w:leader="none" w:pos="58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October 18, 2005, 173,519,647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September 30, 2005</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760" w:type="dxa"/>
            <w:vAlign w:val="bottom"/>
            <w:gridSpan w:val="3"/>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700" w:type="dxa"/>
            <w:vAlign w:val="bottom"/>
            <w:gridSpan w:val="6"/>
            <w:vMerge w:val="restart"/>
          </w:tcPr>
          <w:p>
            <w:pPr>
              <w:spacing w:after="0"/>
              <w:rPr>
                <w:sz w:val="14"/>
                <w:szCs w:val="14"/>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2760" w:type="dxa"/>
            <w:vAlign w:val="bottom"/>
            <w:tcBorders>
              <w:bottom w:val="single" w:sz="8" w:color="0000EE"/>
            </w:tcBorders>
            <w:gridSpan w:val="3"/>
            <w:vMerge w:val="continue"/>
          </w:tcPr>
          <w:p>
            <w:pPr>
              <w:spacing w:after="0"/>
              <w:rPr>
                <w:sz w:val="14"/>
                <w:szCs w:val="14"/>
                <w:color w:val="auto"/>
              </w:rPr>
            </w:pPr>
          </w:p>
        </w:tc>
        <w:tc>
          <w:tcPr>
            <w:tcW w:w="7700" w:type="dxa"/>
            <w:vAlign w:val="bottom"/>
            <w:gridSpan w:val="6"/>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994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Condensed Combined Financial Statements</w:t>
              </w:r>
            </w:hyperlink>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A. Condensed Combined Balance Sheets as of September 30, 2005 and December 31, 2004</w:t>
              </w:r>
            </w:hyperlink>
          </w:p>
        </w:tc>
        <w:tc>
          <w:tcPr>
            <w:tcW w:w="2800" w:type="dxa"/>
            <w:vAlign w:val="bottom"/>
            <w:gridSpan w:val="4"/>
          </w:tcPr>
          <w:p>
            <w:pPr>
              <w:spacing w:after="0"/>
              <w:rPr>
                <w:sz w:val="24"/>
                <w:szCs w:val="24"/>
                <w:color w:val="auto"/>
              </w:rPr>
            </w:pPr>
          </w:p>
        </w:tc>
        <w:tc>
          <w:tcPr>
            <w:tcW w:w="960" w:type="dxa"/>
            <w:vAlign w:val="bottom"/>
          </w:tcPr>
          <w:p>
            <w:pPr>
              <w:jc w:val="right"/>
              <w:ind w:right="27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B. Condensed Combined Statements of Earnings for the three and nine month periods ended September 30, 2005 and 2004</w:t>
              </w:r>
            </w:hyperlink>
          </w:p>
        </w:tc>
        <w:tc>
          <w:tcPr>
            <w:tcW w:w="540" w:type="dxa"/>
            <w:vAlign w:val="bottom"/>
          </w:tcPr>
          <w:p>
            <w:pPr>
              <w:spacing w:after="0"/>
              <w:rPr>
                <w:sz w:val="24"/>
                <w:szCs w:val="24"/>
                <w:color w:val="auto"/>
              </w:rPr>
            </w:pPr>
          </w:p>
        </w:tc>
        <w:tc>
          <w:tcPr>
            <w:tcW w:w="960" w:type="dxa"/>
            <w:vAlign w:val="bottom"/>
          </w:tcPr>
          <w:p>
            <w:pPr>
              <w:jc w:val="right"/>
              <w:ind w:right="27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 Condensed Combined Statements of Comprehensive Earnings for the nine months ended September 30, 2005 and 2004</w:t>
              </w:r>
            </w:hyperlink>
          </w:p>
        </w:tc>
        <w:tc>
          <w:tcPr>
            <w:tcW w:w="580" w:type="dxa"/>
            <w:vAlign w:val="bottom"/>
            <w:gridSpan w:val="2"/>
          </w:tcPr>
          <w:p>
            <w:pPr>
              <w:spacing w:after="0"/>
              <w:rPr>
                <w:sz w:val="24"/>
                <w:szCs w:val="24"/>
                <w:color w:val="auto"/>
              </w:rPr>
            </w:pPr>
          </w:p>
        </w:tc>
        <w:tc>
          <w:tcPr>
            <w:tcW w:w="960" w:type="dxa"/>
            <w:vAlign w:val="bottom"/>
          </w:tcPr>
          <w:p>
            <w:pPr>
              <w:jc w:val="right"/>
              <w:ind w:right="27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7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D. Condensed Combined Statement of Equity for the nine months ended September 30, 2005</w:t>
              </w:r>
            </w:hyperlink>
          </w:p>
        </w:tc>
        <w:tc>
          <w:tcPr>
            <w:tcW w:w="2680" w:type="dxa"/>
            <w:vAlign w:val="bottom"/>
            <w:gridSpan w:val="3"/>
          </w:tcPr>
          <w:p>
            <w:pPr>
              <w:spacing w:after="0"/>
              <w:rPr>
                <w:sz w:val="24"/>
                <w:szCs w:val="24"/>
                <w:color w:val="auto"/>
              </w:rPr>
            </w:pPr>
          </w:p>
        </w:tc>
        <w:tc>
          <w:tcPr>
            <w:tcW w:w="960" w:type="dxa"/>
            <w:vAlign w:val="bottom"/>
          </w:tcPr>
          <w:p>
            <w:pPr>
              <w:jc w:val="right"/>
              <w:ind w:right="27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40" w:type="dxa"/>
            <w:vAlign w:val="bottom"/>
            <w:gridSpan w:val="1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E. Condensed Combined Statements of Cash Flows for the nine months ended September 30, 2005 and 2004</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40" w:type="dxa"/>
            <w:vAlign w:val="bottom"/>
            <w:tcBorders>
              <w:top w:val="single" w:sz="8" w:color="0000EE"/>
            </w:tcBorders>
            <w:gridSpan w:val="1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F. Notes to Condensed Combined Financial Statements</w:t>
              </w:r>
            </w:hyperlink>
          </w:p>
        </w:tc>
        <w:tc>
          <w:tcPr>
            <w:tcW w:w="10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2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2. Management’s Discussion and Analysis of Financial Condition and Results of Operations</w:t>
              </w:r>
            </w:hyperlink>
          </w:p>
        </w:tc>
        <w:tc>
          <w:tcPr>
            <w:tcW w:w="2360" w:type="dxa"/>
            <w:vAlign w:val="bottom"/>
            <w:gridSpan w:val="2"/>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80" w:type="dxa"/>
            <w:vAlign w:val="bottom"/>
            <w:gridSpan w:val="1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3. Quantitative and Qualitative Disclosure About Market Risk</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40" w:type="dxa"/>
            <w:vAlign w:val="bottom"/>
            <w:tcBorders>
              <w:top w:val="single" w:sz="8" w:color="0000EE"/>
            </w:tcBorders>
            <w:gridSpan w:val="1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4. Controls and Procedures</w:t>
              </w:r>
            </w:hyperlink>
          </w:p>
        </w:tc>
        <w:tc>
          <w:tcPr>
            <w:tcW w:w="4540" w:type="dxa"/>
            <w:vAlign w:val="bottom"/>
            <w:gridSpan w:val="4"/>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990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Part II: OTHER INFORMATION</w:t>
              </w:r>
            </w:hyperlink>
          </w:p>
        </w:tc>
        <w:tc>
          <w:tcPr>
            <w:tcW w:w="1160" w:type="dxa"/>
            <w:vAlign w:val="bottom"/>
          </w:tcPr>
          <w:p>
            <w:pPr>
              <w:spacing w:after="0"/>
              <w:rPr>
                <w:sz w:val="24"/>
                <w:szCs w:val="24"/>
                <w:color w:val="auto"/>
              </w:rPr>
            </w:pPr>
          </w:p>
        </w:tc>
      </w:tr>
      <w:tr>
        <w:trPr>
          <w:trHeight w:val="412"/>
        </w:trPr>
        <w:tc>
          <w:tcPr>
            <w:tcW w:w="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Item 1.</w:t>
              </w:r>
            </w:hyperlink>
          </w:p>
        </w:tc>
        <w:tc>
          <w:tcPr>
            <w:tcW w:w="20" w:type="dxa"/>
            <w:vAlign w:val="bottom"/>
            <w:tcBorders>
              <w:top w:val="single" w:sz="8" w:color="0000EE"/>
              <w:bottom w:val="single" w:sz="8" w:color="0000EE"/>
            </w:tcBorders>
          </w:tcPr>
          <w:p>
            <w:pPr>
              <w:spacing w:after="0"/>
              <w:rPr>
                <w:sz w:val="24"/>
                <w:szCs w:val="24"/>
                <w:color w:val="auto"/>
              </w:rPr>
            </w:pPr>
          </w:p>
        </w:tc>
        <w:tc>
          <w:tcPr>
            <w:tcW w:w="13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Legal Proceedings</w:t>
              </w:r>
            </w:hyperlink>
          </w:p>
        </w:tc>
        <w:tc>
          <w:tcPr>
            <w:tcW w:w="20" w:type="dxa"/>
            <w:vAlign w:val="bottom"/>
            <w:tcBorders>
              <w:top w:val="single" w:sz="8" w:color="0000EE"/>
            </w:tcBorders>
          </w:tcPr>
          <w:p>
            <w:pPr>
              <w:spacing w:after="0"/>
              <w:rPr>
                <w:sz w:val="24"/>
                <w:szCs w:val="24"/>
                <w:color w:val="auto"/>
              </w:rPr>
            </w:pPr>
          </w:p>
        </w:tc>
        <w:tc>
          <w:tcPr>
            <w:tcW w:w="7460" w:type="dxa"/>
            <w:vAlign w:val="bottom"/>
            <w:gridSpan w:val="8"/>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gridSpan w:val="3"/>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Item 2.</w:t>
              </w:r>
            </w:hyperlink>
          </w:p>
        </w:tc>
        <w:tc>
          <w:tcPr>
            <w:tcW w:w="20" w:type="dxa"/>
            <w:vAlign w:val="bottom"/>
          </w:tcPr>
          <w:p>
            <w:pPr>
              <w:spacing w:after="0"/>
              <w:rPr>
                <w:sz w:val="24"/>
                <w:szCs w:val="24"/>
                <w:color w:val="auto"/>
              </w:rPr>
            </w:pPr>
          </w:p>
        </w:tc>
        <w:tc>
          <w:tcPr>
            <w:tcW w:w="8820" w:type="dxa"/>
            <w:vAlign w:val="bottom"/>
            <w:gridSpan w:val="1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Item 6.</w:t>
              </w:r>
            </w:hyperlink>
          </w:p>
        </w:tc>
        <w:tc>
          <w:tcPr>
            <w:tcW w:w="20" w:type="dxa"/>
            <w:vAlign w:val="bottom"/>
            <w:tcBorders>
              <w:top w:val="single" w:sz="8" w:color="0000EE"/>
              <w:bottom w:val="single" w:sz="8" w:color="0000EE"/>
            </w:tcBorders>
          </w:tcPr>
          <w:p>
            <w:pPr>
              <w:spacing w:after="0"/>
              <w:rPr>
                <w:sz w:val="24"/>
                <w:szCs w:val="24"/>
                <w:color w:val="auto"/>
              </w:rPr>
            </w:pPr>
          </w:p>
        </w:tc>
        <w:tc>
          <w:tcPr>
            <w:tcW w:w="25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Exhibits and Reports on Form 8-K</w:t>
              </w:r>
            </w:hyperlink>
          </w:p>
        </w:tc>
        <w:tc>
          <w:tcPr>
            <w:tcW w:w="1840" w:type="dxa"/>
            <w:vAlign w:val="bottom"/>
            <w:tcBorders>
              <w:top w:val="single" w:sz="8" w:color="0000EE"/>
            </w:tcBorders>
            <w:gridSpan w:val="3"/>
          </w:tcPr>
          <w:p>
            <w:pPr>
              <w:spacing w:after="0"/>
              <w:rPr>
                <w:sz w:val="24"/>
                <w:szCs w:val="24"/>
                <w:color w:val="auto"/>
              </w:rPr>
            </w:pPr>
          </w:p>
        </w:tc>
        <w:tc>
          <w:tcPr>
            <w:tcW w:w="4480" w:type="dxa"/>
            <w:vAlign w:val="bottom"/>
            <w:gridSpan w:val="3"/>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96"/>
        </w:trPr>
        <w:tc>
          <w:tcPr>
            <w:tcW w:w="60" w:type="dxa"/>
            <w:vAlign w:val="bottom"/>
          </w:tcPr>
          <w:p>
            <w:pPr>
              <w:spacing w:after="0"/>
              <w:rPr>
                <w:sz w:val="17"/>
                <w:szCs w:val="17"/>
                <w:color w:val="auto"/>
              </w:rPr>
            </w:pPr>
          </w:p>
        </w:tc>
        <w:tc>
          <w:tcPr>
            <w:tcW w:w="9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3"/>
              </w:rPr>
              <w:t>EXHIBIT 3.2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11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3"/>
              </w:rPr>
              <w:t>EXHIBIT 10.49</w:t>
            </w:r>
          </w:p>
        </w:tc>
        <w:tc>
          <w:tcPr>
            <w:tcW w:w="8700" w:type="dxa"/>
            <w:vAlign w:val="bottom"/>
            <w:gridSpan w:val="10"/>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11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3"/>
              </w:rPr>
              <w:t>EXHIBIT 10.50</w:t>
            </w:r>
          </w:p>
        </w:tc>
        <w:tc>
          <w:tcPr>
            <w:tcW w:w="8700" w:type="dxa"/>
            <w:vAlign w:val="bottom"/>
            <w:gridSpan w:val="10"/>
          </w:tcPr>
          <w:p>
            <w:pPr>
              <w:spacing w:after="0"/>
              <w:rPr>
                <w:sz w:val="17"/>
                <w:szCs w:val="17"/>
                <w:color w:val="auto"/>
              </w:rPr>
            </w:pPr>
          </w:p>
        </w:tc>
        <w:tc>
          <w:tcPr>
            <w:tcW w:w="1160" w:type="dxa"/>
            <w:vAlign w:val="bottom"/>
          </w:tcPr>
          <w:p>
            <w:pPr>
              <w:spacing w:after="0"/>
              <w:rPr>
                <w:sz w:val="17"/>
                <w:szCs w:val="17"/>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08" w:right="5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Condensed Combined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FIDELITY NATIONAL TITLE GROUP,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COMBINED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r>
      <w:tr>
        <w:trPr>
          <w:trHeight w:val="142"/>
        </w:trPr>
        <w:tc>
          <w:tcPr>
            <w:tcW w:w="8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620" w:type="dxa"/>
            <w:vAlign w:val="bottom"/>
            <w:shd w:val="clear" w:color="auto" w:fill="CCEEFF"/>
          </w:tcPr>
          <w:p>
            <w:pPr>
              <w:ind w:left="384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8"/>
              </w:rPr>
              <w:t>Fixed maturities available for sale, at fair value, at September 30, 2005 includes $310,860 and $143,901 of</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pledged fixed maturities related to secured trust deposits and the securities lending program, respectively, and</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at December 31, 2004 includes $265,639 of pledged fixed maturity securities related to secured trust deposits</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2,440,306</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2,174,817</w:t>
            </w:r>
          </w:p>
        </w:tc>
      </w:tr>
      <w:tr>
        <w:trPr>
          <w:trHeight w:val="202"/>
        </w:trPr>
        <w:tc>
          <w:tcPr>
            <w:tcW w:w="8620" w:type="dxa"/>
            <w:vAlign w:val="bottom"/>
          </w:tcPr>
          <w:p>
            <w:pPr>
              <w:ind w:left="220"/>
              <w:spacing w:after="0" w:line="201" w:lineRule="exact"/>
              <w:rPr>
                <w:sz w:val="20"/>
                <w:szCs w:val="20"/>
                <w:color w:val="auto"/>
              </w:rPr>
            </w:pPr>
            <w:r>
              <w:rPr>
                <w:rFonts w:ascii="Arial" w:cs="Arial" w:eastAsia="Arial" w:hAnsi="Arial"/>
                <w:sz w:val="18"/>
                <w:szCs w:val="18"/>
                <w:color w:val="auto"/>
                <w:w w:val="93"/>
              </w:rPr>
              <w:t>Equity securities, at fair value at September 30, 2005 includes $2,331 of pledged equities related to the securities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20" w:type="dxa"/>
            <w:vAlign w:val="bottom"/>
          </w:tcPr>
          <w:p>
            <w:pPr>
              <w:ind w:left="420"/>
              <w:spacing w:after="0"/>
              <w:rPr>
                <w:sz w:val="20"/>
                <w:szCs w:val="20"/>
                <w:color w:val="auto"/>
              </w:rPr>
            </w:pPr>
            <w:r>
              <w:rPr>
                <w:rFonts w:ascii="Arial" w:cs="Arial" w:eastAsia="Arial" w:hAnsi="Arial"/>
                <w:sz w:val="18"/>
                <w:szCs w:val="18"/>
                <w:color w:val="auto"/>
              </w:rPr>
              <w:t>lending program</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142,387</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115,070</w:t>
            </w: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long-term investments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22,609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21,219</w:t>
            </w:r>
          </w:p>
        </w:tc>
      </w:tr>
      <w:tr>
        <w:trPr>
          <w:trHeight w:val="202"/>
        </w:trPr>
        <w:tc>
          <w:tcPr>
            <w:tcW w:w="8620" w:type="dxa"/>
            <w:vAlign w:val="bottom"/>
          </w:tcPr>
          <w:p>
            <w:pPr>
              <w:ind w:left="220"/>
              <w:spacing w:after="0" w:line="201" w:lineRule="exact"/>
              <w:rPr>
                <w:sz w:val="20"/>
                <w:szCs w:val="20"/>
                <w:color w:val="auto"/>
              </w:rPr>
            </w:pPr>
            <w:r>
              <w:rPr>
                <w:rFonts w:ascii="Arial" w:cs="Arial" w:eastAsia="Arial" w:hAnsi="Arial"/>
                <w:sz w:val="18"/>
                <w:szCs w:val="18"/>
                <w:color w:val="auto"/>
                <w:w w:val="98"/>
              </w:rPr>
              <w:t>Short-term investments, at fair value, at September 30, 2005 includes $398,422 and at December 31, 2004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8620" w:type="dxa"/>
            <w:vAlign w:val="bottom"/>
          </w:tcPr>
          <w:p>
            <w:pPr>
              <w:ind w:left="420"/>
              <w:spacing w:after="0"/>
              <w:rPr>
                <w:sz w:val="20"/>
                <w:szCs w:val="20"/>
                <w:color w:val="auto"/>
              </w:rPr>
            </w:pPr>
            <w:r>
              <w:rPr>
                <w:rFonts w:ascii="Arial" w:cs="Arial" w:eastAsia="Arial" w:hAnsi="Arial"/>
                <w:sz w:val="18"/>
                <w:szCs w:val="18"/>
                <w:color w:val="auto"/>
              </w:rPr>
              <w:t>includes $280,351 of pledged short-term investments related to secured trust deposits</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739,509</w:t>
            </w:r>
          </w:p>
        </w:tc>
        <w:tc>
          <w:tcPr>
            <w:tcW w:w="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508,383</w:t>
            </w:r>
          </w:p>
        </w:tc>
        <w:tc>
          <w:tcPr>
            <w:tcW w:w="100" w:type="dxa"/>
            <w:vAlign w:val="bottom"/>
          </w:tcPr>
          <w:p>
            <w:pPr>
              <w:spacing w:after="0"/>
              <w:rPr>
                <w:sz w:val="20"/>
                <w:szCs w:val="20"/>
                <w:color w:val="auto"/>
              </w:rPr>
            </w:pP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investments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3,344,811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2,819,489</w:t>
            </w:r>
          </w:p>
        </w:tc>
      </w:tr>
      <w:tr>
        <w:trPr>
          <w:trHeight w:val="202"/>
        </w:trPr>
        <w:tc>
          <w:tcPr>
            <w:tcW w:w="8620" w:type="dxa"/>
            <w:vAlign w:val="bottom"/>
          </w:tcPr>
          <w:p>
            <w:pPr>
              <w:spacing w:after="0" w:line="201" w:lineRule="exact"/>
              <w:rPr>
                <w:sz w:val="20"/>
                <w:szCs w:val="20"/>
                <w:color w:val="auto"/>
              </w:rPr>
            </w:pPr>
            <w:r>
              <w:rPr>
                <w:rFonts w:ascii="Arial" w:cs="Arial" w:eastAsia="Arial" w:hAnsi="Arial"/>
                <w:sz w:val="18"/>
                <w:szCs w:val="18"/>
                <w:color w:val="auto"/>
                <w:w w:val="96"/>
              </w:rPr>
              <w:t>Cash and cash equivalents, at September 30, 2005 includes $301,794 and $151,322 of pledged cash related to</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20" w:type="dxa"/>
            <w:vAlign w:val="bottom"/>
          </w:tcPr>
          <w:p>
            <w:pPr>
              <w:ind w:left="220"/>
              <w:spacing w:after="0"/>
              <w:rPr>
                <w:sz w:val="20"/>
                <w:szCs w:val="20"/>
                <w:color w:val="auto"/>
              </w:rPr>
            </w:pPr>
            <w:r>
              <w:rPr>
                <w:rFonts w:ascii="Arial" w:cs="Arial" w:eastAsia="Arial" w:hAnsi="Arial"/>
                <w:sz w:val="18"/>
                <w:szCs w:val="18"/>
                <w:color w:val="auto"/>
                <w:w w:val="97"/>
              </w:rPr>
              <w:t>secured trust deposits and the securities lending program, respectively, and at December 31, 2004 includes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20" w:type="dxa"/>
            <w:vAlign w:val="bottom"/>
          </w:tcPr>
          <w:p>
            <w:pPr>
              <w:ind w:left="220"/>
              <w:spacing w:after="0"/>
              <w:rPr>
                <w:sz w:val="20"/>
                <w:szCs w:val="20"/>
                <w:color w:val="auto"/>
              </w:rPr>
            </w:pPr>
            <w:r>
              <w:rPr>
                <w:rFonts w:ascii="Arial" w:cs="Arial" w:eastAsia="Arial" w:hAnsi="Arial"/>
                <w:sz w:val="18"/>
                <w:szCs w:val="18"/>
                <w:color w:val="auto"/>
              </w:rPr>
              <w:t>$195,200 of pledged cash related to secured trust deposits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528,323</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268,414</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 of allowance of $12,705 in 2005 and $11,792 in 2004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211,023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145,447</w:t>
            </w:r>
          </w:p>
        </w:tc>
      </w:tr>
      <w:tr>
        <w:trPr>
          <w:trHeight w:val="202"/>
        </w:trPr>
        <w:tc>
          <w:tcPr>
            <w:tcW w:w="8620" w:type="dxa"/>
            <w:vAlign w:val="bottom"/>
          </w:tcPr>
          <w:p>
            <w:pPr>
              <w:spacing w:after="0" w:line="201" w:lineRule="exact"/>
              <w:rPr>
                <w:sz w:val="20"/>
                <w:szCs w:val="20"/>
                <w:color w:val="auto"/>
              </w:rPr>
            </w:pPr>
            <w:r>
              <w:rPr>
                <w:rFonts w:ascii="Arial" w:cs="Arial" w:eastAsia="Arial" w:hAnsi="Arial"/>
                <w:sz w:val="18"/>
                <w:szCs w:val="18"/>
                <w:color w:val="auto"/>
                <w:w w:val="95"/>
              </w:rPr>
              <w:t>Notes receivable, net of allowance of $1,466 at September 30, 2005 and $1,740 at December 31, 2004. Balances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20" w:type="dxa"/>
            <w:vAlign w:val="bottom"/>
          </w:tcPr>
          <w:p>
            <w:pPr>
              <w:ind w:left="220"/>
              <w:spacing w:after="0"/>
              <w:rPr>
                <w:sz w:val="20"/>
                <w:szCs w:val="20"/>
                <w:color w:val="auto"/>
              </w:rPr>
            </w:pPr>
            <w:r>
              <w:rPr>
                <w:rFonts w:ascii="Arial" w:cs="Arial" w:eastAsia="Arial" w:hAnsi="Arial"/>
                <w:sz w:val="18"/>
                <w:szCs w:val="18"/>
                <w:color w:val="auto"/>
              </w:rPr>
              <w:t>include notes from related parties of $22,800 at September 30, 2005 and December 31, 2004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37,735</w:t>
            </w: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39,196</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1,074,017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959,600</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349,903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311,730</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Title plants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304,885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301,610</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158,254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164,916</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Due from FNF</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63,689</w:t>
            </w:r>
          </w:p>
        </w:tc>
      </w:tr>
      <w:tr>
        <w:trPr>
          <w:trHeight w:val="223"/>
        </w:trPr>
        <w:tc>
          <w:tcPr>
            <w:tcW w:w="8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6,008,951</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5,074,091</w:t>
            </w:r>
          </w:p>
        </w:tc>
        <w:tc>
          <w:tcPr>
            <w:tcW w:w="100" w:type="dxa"/>
            <w:vAlign w:val="bottom"/>
          </w:tcPr>
          <w:p>
            <w:pPr>
              <w:spacing w:after="0"/>
              <w:rPr>
                <w:sz w:val="19"/>
                <w:szCs w:val="19"/>
                <w:color w:val="auto"/>
              </w:rPr>
            </w:pPr>
          </w:p>
        </w:tc>
      </w:tr>
      <w:tr>
        <w:trPr>
          <w:trHeight w:val="20"/>
        </w:trPr>
        <w:tc>
          <w:tcPr>
            <w:tcW w:w="8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20" w:type="dxa"/>
            <w:vAlign w:val="bottom"/>
            <w:shd w:val="clear" w:color="auto" w:fill="CCEEFF"/>
          </w:tcPr>
          <w:p>
            <w:pPr>
              <w:ind w:left="3080"/>
              <w:spacing w:after="0"/>
              <w:rPr>
                <w:sz w:val="20"/>
                <w:szCs w:val="20"/>
                <w:color w:val="auto"/>
              </w:rPr>
            </w:pPr>
            <w:r>
              <w:rPr>
                <w:rFonts w:ascii="Arial" w:cs="Arial" w:eastAsia="Arial" w:hAnsi="Arial"/>
                <w:sz w:val="18"/>
                <w:szCs w:val="18"/>
                <w:color w:val="auto"/>
              </w:rPr>
              <w:t>LIABILITIES AND EQUITY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833,289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603,705</w:t>
            </w:r>
          </w:p>
        </w:tc>
      </w:tr>
      <w:tr>
        <w:trPr>
          <w:trHeight w:val="216"/>
        </w:trPr>
        <w:tc>
          <w:tcPr>
            <w:tcW w:w="8620" w:type="dxa"/>
            <w:vAlign w:val="bottom"/>
          </w:tcPr>
          <w:p>
            <w:pPr>
              <w:ind w:left="220"/>
              <w:spacing w:after="0"/>
              <w:rPr>
                <w:sz w:val="20"/>
                <w:szCs w:val="20"/>
                <w:color w:val="auto"/>
              </w:rPr>
            </w:pPr>
            <w:r>
              <w:rPr>
                <w:rFonts w:ascii="Arial" w:cs="Arial" w:eastAsia="Arial" w:hAnsi="Arial"/>
                <w:sz w:val="18"/>
                <w:szCs w:val="18"/>
                <w:color w:val="auto"/>
              </w:rPr>
              <w:t>Notes payable, including $650.0 million of notes payable to FNF at September 30, 2005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657,076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22,390</w:t>
            </w: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 for claim losses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1,025,718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980,746</w:t>
            </w:r>
          </w:p>
        </w:tc>
      </w:tr>
      <w:tr>
        <w:trPr>
          <w:trHeight w:val="216"/>
        </w:trPr>
        <w:tc>
          <w:tcPr>
            <w:tcW w:w="8620" w:type="dxa"/>
            <w:vAlign w:val="bottom"/>
          </w:tcPr>
          <w:p>
            <w:pPr>
              <w:ind w:left="220"/>
              <w:spacing w:after="0"/>
              <w:rPr>
                <w:sz w:val="20"/>
                <w:szCs w:val="20"/>
                <w:color w:val="auto"/>
              </w:rPr>
            </w:pPr>
            <w:r>
              <w:rPr>
                <w:rFonts w:ascii="Arial" w:cs="Arial" w:eastAsia="Arial" w:hAnsi="Arial"/>
                <w:sz w:val="18"/>
                <w:szCs w:val="18"/>
                <w:color w:val="auto"/>
              </w:rPr>
              <w:t>Secured trust deposits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1,004,122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735,295</w:t>
            </w: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77,536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51,248</w:t>
            </w:r>
          </w:p>
        </w:tc>
      </w:tr>
      <w:tr>
        <w:trPr>
          <w:trHeight w:val="223"/>
        </w:trPr>
        <w:tc>
          <w:tcPr>
            <w:tcW w:w="8620" w:type="dxa"/>
            <w:vAlign w:val="bottom"/>
          </w:tcPr>
          <w:p>
            <w:pPr>
              <w:ind w:left="220"/>
              <w:spacing w:after="0"/>
              <w:rPr>
                <w:sz w:val="20"/>
                <w:szCs w:val="20"/>
                <w:color w:val="auto"/>
              </w:rPr>
            </w:pPr>
            <w:r>
              <w:rPr>
                <w:rFonts w:ascii="Arial" w:cs="Arial" w:eastAsia="Arial" w:hAnsi="Arial"/>
                <w:sz w:val="18"/>
                <w:szCs w:val="18"/>
                <w:color w:val="auto"/>
              </w:rPr>
              <w:t>Due to FNF</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9,740</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3,607,481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2,393,384</w:t>
            </w:r>
          </w:p>
        </w:tc>
      </w:tr>
      <w:tr>
        <w:trPr>
          <w:trHeight w:val="216"/>
        </w:trPr>
        <w:tc>
          <w:tcPr>
            <w:tcW w:w="8620" w:type="dxa"/>
            <w:vAlign w:val="bottom"/>
          </w:tcPr>
          <w:p>
            <w:pPr>
              <w:ind w:left="220"/>
              <w:spacing w:after="0"/>
              <w:rPr>
                <w:sz w:val="20"/>
                <w:szCs w:val="20"/>
                <w:color w:val="auto"/>
              </w:rPr>
            </w:pPr>
            <w:r>
              <w:rPr>
                <w:rFonts w:ascii="Arial" w:cs="Arial" w:eastAsia="Arial" w:hAnsi="Arial"/>
                <w:sz w:val="18"/>
                <w:szCs w:val="18"/>
                <w:color w:val="auto"/>
              </w:rPr>
              <w:t>Minority interests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4,801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3,951</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(72,107)</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(42,300)</w:t>
            </w: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by FNF</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2,468,776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2,719,056</w:t>
            </w:r>
          </w:p>
        </w:tc>
      </w:tr>
      <w:tr>
        <w:trPr>
          <w:trHeight w:val="230"/>
        </w:trPr>
        <w:tc>
          <w:tcPr>
            <w:tcW w:w="8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2,396,669</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2,676,756</w:t>
            </w:r>
          </w:p>
        </w:tc>
        <w:tc>
          <w:tcPr>
            <w:tcW w:w="100" w:type="dxa"/>
            <w:vAlign w:val="bottom"/>
          </w:tcPr>
          <w:p>
            <w:pPr>
              <w:spacing w:after="0"/>
              <w:rPr>
                <w:sz w:val="20"/>
                <w:szCs w:val="20"/>
                <w:color w:val="auto"/>
              </w:rPr>
            </w:pPr>
          </w:p>
        </w:tc>
      </w:tr>
      <w:tr>
        <w:trPr>
          <w:trHeight w:val="216"/>
        </w:trPr>
        <w:tc>
          <w:tcPr>
            <w:tcW w:w="86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6,008,951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5,074,091</w:t>
            </w:r>
          </w:p>
        </w:tc>
      </w:tr>
      <w:tr>
        <w:trPr>
          <w:trHeight w:val="20"/>
        </w:trPr>
        <w:tc>
          <w:tcPr>
            <w:tcW w:w="8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Combined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FIDELITY NATIONAL TITLE GROUP,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COMBINED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center"/>
              <w:ind w:right="74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23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center"/>
              <w:ind w:right="72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23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2005</w:t>
            </w:r>
          </w:p>
        </w:tc>
        <w:tc>
          <w:tcPr>
            <w:tcW w:w="640" w:type="dxa"/>
            <w:vAlign w:val="bottom"/>
            <w:tcBorders>
              <w:top w:val="single" w:sz="8" w:color="auto"/>
              <w:bottom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82"/>
              </w:rPr>
              <w:t>(Unaudited)</w:t>
            </w: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2004</w:t>
            </w:r>
          </w:p>
        </w:tc>
        <w:tc>
          <w:tcPr>
            <w:tcW w:w="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2005</w:t>
            </w:r>
          </w:p>
        </w:tc>
        <w:tc>
          <w:tcPr>
            <w:tcW w:w="6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2"/>
              </w:rPr>
              <w:t>(Unaudited)</w:t>
            </w: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Direct title insurance premiums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626,178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504,356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1,643,574</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1,491,375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Agency title insurance premiums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779,117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761,712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2,083,317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2,110,142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Escrow and other title related fees</w:t>
            </w:r>
          </w:p>
        </w:tc>
        <w:tc>
          <w:tcPr>
            <w:tcW w:w="100" w:type="dxa"/>
            <w:vAlign w:val="bottom"/>
          </w:tcPr>
          <w:p>
            <w:pPr>
              <w:spacing w:after="0"/>
              <w:rPr>
                <w:sz w:val="18"/>
                <w:szCs w:val="18"/>
                <w:color w:val="auto"/>
              </w:rPr>
            </w:pP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324,910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265,891</w:t>
            </w:r>
          </w:p>
        </w:tc>
        <w:tc>
          <w:tcPr>
            <w:tcW w:w="100" w:type="dxa"/>
            <w:vAlign w:val="bottom"/>
          </w:tcPr>
          <w:p>
            <w:pPr>
              <w:spacing w:after="0"/>
              <w:rPr>
                <w:sz w:val="18"/>
                <w:szCs w:val="18"/>
                <w:color w:val="auto"/>
              </w:rPr>
            </w:pPr>
          </w:p>
        </w:tc>
        <w:tc>
          <w:tcPr>
            <w:tcW w:w="1380" w:type="dxa"/>
            <w:vAlign w:val="bottom"/>
            <w:gridSpan w:val="2"/>
          </w:tcPr>
          <w:p>
            <w:pPr>
              <w:jc w:val="right"/>
              <w:ind w:right="568"/>
              <w:spacing w:after="0"/>
              <w:rPr>
                <w:sz w:val="20"/>
                <w:szCs w:val="20"/>
                <w:color w:val="auto"/>
              </w:rPr>
            </w:pPr>
            <w:r>
              <w:rPr>
                <w:rFonts w:ascii="Arial" w:cs="Arial" w:eastAsia="Arial" w:hAnsi="Arial"/>
                <w:sz w:val="18"/>
                <w:szCs w:val="18"/>
                <w:color w:val="auto"/>
              </w:rPr>
              <w:t>868,375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779,910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investment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31,636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17,386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77,066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Realized gains and losses, net</w:t>
            </w:r>
          </w:p>
        </w:tc>
        <w:tc>
          <w:tcPr>
            <w:tcW w:w="100" w:type="dxa"/>
            <w:vAlign w:val="bottom"/>
          </w:tcPr>
          <w:p>
            <w:pPr>
              <w:spacing w:after="0"/>
              <w:rPr>
                <w:sz w:val="18"/>
                <w:szCs w:val="18"/>
                <w:color w:val="auto"/>
              </w:rPr>
            </w:pP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3,583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8"/>
                <w:szCs w:val="18"/>
                <w:color w:val="auto"/>
              </w:rPr>
            </w:pPr>
          </w:p>
        </w:tc>
        <w:tc>
          <w:tcPr>
            <w:tcW w:w="1380" w:type="dxa"/>
            <w:vAlign w:val="bottom"/>
            <w:gridSpan w:val="2"/>
          </w:tcPr>
          <w:p>
            <w:pPr>
              <w:jc w:val="right"/>
              <w:ind w:right="568"/>
              <w:spacing w:after="0"/>
              <w:rPr>
                <w:sz w:val="20"/>
                <w:szCs w:val="20"/>
                <w:color w:val="auto"/>
              </w:rPr>
            </w:pPr>
            <w:r>
              <w:rPr>
                <w:rFonts w:ascii="Arial" w:cs="Arial" w:eastAsia="Arial" w:hAnsi="Arial"/>
                <w:sz w:val="18"/>
                <w:szCs w:val="18"/>
                <w:color w:val="auto"/>
              </w:rPr>
              <w:t>25,505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11,461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12,734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31,481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60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1,776,885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1,562,630</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4,729,318</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4,478,878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Personnel costs</w:t>
            </w:r>
          </w:p>
        </w:tc>
        <w:tc>
          <w:tcPr>
            <w:tcW w:w="100" w:type="dxa"/>
            <w:vAlign w:val="bottom"/>
          </w:tcPr>
          <w:p>
            <w:pPr>
              <w:spacing w:after="0"/>
              <w:rPr>
                <w:sz w:val="18"/>
                <w:szCs w:val="18"/>
                <w:color w:val="auto"/>
              </w:rPr>
            </w:pP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511,325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429,808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1,415,928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1,267,871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248,751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227,119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699,844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Agent commissions</w:t>
            </w:r>
          </w:p>
        </w:tc>
        <w:tc>
          <w:tcPr>
            <w:tcW w:w="100" w:type="dxa"/>
            <w:vAlign w:val="bottom"/>
          </w:tcPr>
          <w:p>
            <w:pPr>
              <w:spacing w:after="0"/>
              <w:rPr>
                <w:sz w:val="18"/>
                <w:szCs w:val="18"/>
                <w:color w:val="auto"/>
              </w:rPr>
            </w:pP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612,139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595,523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1,617,260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1,651,066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23,818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24,907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73,207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Provision for claim losses</w:t>
            </w:r>
          </w:p>
        </w:tc>
        <w:tc>
          <w:tcPr>
            <w:tcW w:w="100" w:type="dxa"/>
            <w:vAlign w:val="bottom"/>
          </w:tcPr>
          <w:p>
            <w:pPr>
              <w:spacing w:after="0"/>
              <w:rPr>
                <w:sz w:val="18"/>
                <w:szCs w:val="18"/>
                <w:color w:val="auto"/>
              </w:rPr>
            </w:pP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103,612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69,495</w:t>
            </w:r>
          </w:p>
        </w:tc>
        <w:tc>
          <w:tcPr>
            <w:tcW w:w="100" w:type="dxa"/>
            <w:vAlign w:val="bottom"/>
          </w:tcPr>
          <w:p>
            <w:pPr>
              <w:spacing w:after="0"/>
              <w:rPr>
                <w:sz w:val="18"/>
                <w:szCs w:val="18"/>
                <w:color w:val="auto"/>
              </w:rPr>
            </w:pPr>
          </w:p>
        </w:tc>
        <w:tc>
          <w:tcPr>
            <w:tcW w:w="1380" w:type="dxa"/>
            <w:vAlign w:val="bottom"/>
            <w:gridSpan w:val="2"/>
          </w:tcPr>
          <w:p>
            <w:pPr>
              <w:jc w:val="right"/>
              <w:ind w:right="568"/>
              <w:spacing w:after="0"/>
              <w:rPr>
                <w:sz w:val="20"/>
                <w:szCs w:val="20"/>
                <w:color w:val="auto"/>
              </w:rPr>
            </w:pPr>
            <w:r>
              <w:rPr>
                <w:rFonts w:ascii="Arial" w:cs="Arial" w:eastAsia="Arial" w:hAnsi="Arial"/>
                <w:sz w:val="18"/>
                <w:szCs w:val="18"/>
                <w:color w:val="auto"/>
              </w:rPr>
              <w:t>254,289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194,505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4,669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5,393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400"/>
              <w:spacing w:after="0"/>
              <w:rPr>
                <w:sz w:val="20"/>
                <w:szCs w:val="20"/>
                <w:color w:val="auto"/>
              </w:rPr>
            </w:pPr>
            <w:r>
              <w:rPr>
                <w:rFonts w:ascii="Arial" w:cs="Arial" w:eastAsia="Arial" w:hAnsi="Arial"/>
                <w:sz w:val="18"/>
                <w:szCs w:val="18"/>
                <w:color w:val="auto"/>
              </w:rPr>
              <w:t>Total expenses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1,504,314</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1,347,682</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4,065,921</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3,825,918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 and minority interest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272,571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214,948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663,397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102,137</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78,671</w:t>
            </w:r>
          </w:p>
        </w:tc>
        <w:tc>
          <w:tcPr>
            <w:tcW w:w="100" w:type="dxa"/>
            <w:vAlign w:val="bottom"/>
          </w:tcPr>
          <w:p>
            <w:pPr>
              <w:spacing w:after="0"/>
              <w:rPr>
                <w:sz w:val="18"/>
                <w:szCs w:val="18"/>
                <w:color w:val="auto"/>
              </w:rPr>
            </w:pPr>
          </w:p>
        </w:tc>
        <w:tc>
          <w:tcPr>
            <w:tcW w:w="1380" w:type="dxa"/>
            <w:vAlign w:val="bottom"/>
            <w:gridSpan w:val="2"/>
          </w:tcPr>
          <w:p>
            <w:pPr>
              <w:jc w:val="right"/>
              <w:ind w:right="568"/>
              <w:spacing w:after="0"/>
              <w:rPr>
                <w:sz w:val="20"/>
                <w:szCs w:val="20"/>
                <w:color w:val="auto"/>
              </w:rPr>
            </w:pPr>
            <w:r>
              <w:rPr>
                <w:rFonts w:ascii="Arial" w:cs="Arial" w:eastAsia="Arial" w:hAnsi="Arial"/>
                <w:sz w:val="18"/>
                <w:szCs w:val="18"/>
                <w:color w:val="auto"/>
              </w:rPr>
              <w:t>248,774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238,983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minority interest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170,434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136,277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414,623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8"/>
                <w:szCs w:val="18"/>
                <w:color w:val="auto"/>
              </w:rPr>
            </w:pPr>
          </w:p>
        </w:tc>
        <w:tc>
          <w:tcPr>
            <w:tcW w:w="1380" w:type="dxa"/>
            <w:vAlign w:val="bottom"/>
            <w:gridSpan w:val="2"/>
          </w:tcPr>
          <w:p>
            <w:pPr>
              <w:jc w:val="right"/>
              <w:ind w:right="568"/>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169,734</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135,923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412,631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413,168</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Pro forma basic and 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0.98</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 average shares outstanding, basic and diluted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173,520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173,520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173,520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Combined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FIDELITY NATIONAL TITLE GROUP, INC. AND SUBSIDIARIES CONDENSED COMBINED STATEMENTS OF COMPREHENSIVE EARNINGS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91"/>
              </w:rPr>
              <w:t>Three months ended</w:t>
            </w:r>
          </w:p>
        </w:tc>
        <w:tc>
          <w:tcPr>
            <w:tcW w:w="21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91"/>
              </w:rPr>
              <w:t>September 30,</w:t>
            </w:r>
          </w:p>
        </w:tc>
        <w:tc>
          <w:tcPr>
            <w:tcW w:w="21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2"/>
                <w:szCs w:val="12"/>
                <w:color w:val="auto"/>
              </w:rPr>
            </w:pPr>
          </w:p>
        </w:tc>
        <w:tc>
          <w:tcPr>
            <w:tcW w:w="7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7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(Unaudited)</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$ 169,734</w:t>
            </w: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$ 135,923</w:t>
            </w:r>
          </w:p>
        </w:tc>
        <w:tc>
          <w:tcPr>
            <w:tcW w:w="10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4"/>
              </w:rPr>
              <w:t>$ 412,631</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$ 413,168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Other comprehensive earnings (loss):</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 on investments and other financial instruments, net (1)</w:t>
            </w:r>
          </w:p>
        </w:tc>
        <w:tc>
          <w:tcPr>
            <w:tcW w:w="13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(23,557)</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(2,507)</w:t>
            </w:r>
          </w:p>
        </w:tc>
        <w:tc>
          <w:tcPr>
            <w:tcW w:w="10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(23,269)</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Reclassification adjustments for (gains) losses included in net earnings (2)</w:t>
            </w: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3,452</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w:t>
            </w:r>
          </w:p>
        </w:tc>
        <w:tc>
          <w:tcPr>
            <w:tcW w:w="680" w:type="dxa"/>
            <w:vAlign w:val="bottom"/>
          </w:tcPr>
          <w:p>
            <w:pPr>
              <w:spacing w:after="0"/>
              <w:rPr>
                <w:sz w:val="18"/>
                <w:szCs w:val="18"/>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8"/>
                <w:szCs w:val="18"/>
                <w:color w:val="auto"/>
              </w:rPr>
              <w:t>(5,818)</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(7,480)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(20,105)</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(2,302)</w:t>
            </w:r>
          </w:p>
        </w:tc>
        <w:tc>
          <w:tcPr>
            <w:tcW w:w="10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(29,807)</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(30,181)</w:t>
            </w: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Comprehensive earnings</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$ 149,629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$ 133,621</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$ 382,824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$ 382,987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expense of $(14.4) million and $(1.5) million and $(14.2) million and $(13.9) million for the three months and nine months ended September 30, 2005 and 2004, respectively.</w:t>
      </w:r>
    </w:p>
    <w:p>
      <w:pPr>
        <w:spacing w:after="0" w:line="21"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expense of $(2.1) million and $(0.1) million and $3.6 million and $4.6 million for the three months and nine months ended September 30, 2005 and 2004,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Combined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FIDELITY NATIONAL TITLE GROUP,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COMBINED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Accumulated Other</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by FNF</w:t>
            </w:r>
          </w:p>
        </w:tc>
        <w:tc>
          <w:tcPr>
            <w:tcW w:w="100" w:type="dxa"/>
            <w:vAlign w:val="bottom"/>
          </w:tcPr>
          <w:p>
            <w:pPr>
              <w:spacing w:after="0"/>
              <w:rPr>
                <w:sz w:val="12"/>
                <w:szCs w:val="12"/>
                <w:color w:val="auto"/>
              </w:rPr>
            </w:pPr>
          </w:p>
        </w:tc>
        <w:tc>
          <w:tcPr>
            <w:tcW w:w="172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Earnings (Loss)</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2,719,056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(42,300)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$ 2,676,756</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220"/>
              <w:spacing w:after="0"/>
              <w:rPr>
                <w:sz w:val="20"/>
                <w:szCs w:val="20"/>
                <w:color w:val="auto"/>
              </w:rPr>
            </w:pPr>
            <w:r>
              <w:rPr>
                <w:rFonts w:ascii="Arial" w:cs="Arial" w:eastAsia="Arial" w:hAnsi="Arial"/>
                <w:sz w:val="18"/>
                <w:szCs w:val="18"/>
                <w:color w:val="auto"/>
              </w:rPr>
              <w:t>Other comprehensive loss—unrealized loss on investments and other financial</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420"/>
              <w:spacing w:after="0"/>
              <w:rPr>
                <w:sz w:val="20"/>
                <w:szCs w:val="20"/>
                <w:color w:val="auto"/>
              </w:rPr>
            </w:pPr>
            <w:r>
              <w:rPr>
                <w:rFonts w:ascii="Arial" w:cs="Arial" w:eastAsia="Arial" w:hAnsi="Arial"/>
                <w:sz w:val="18"/>
                <w:szCs w:val="18"/>
                <w:color w:val="auto"/>
              </w:rPr>
              <w:t>instruments</w:t>
            </w:r>
          </w:p>
        </w:tc>
        <w:tc>
          <w:tcPr>
            <w:tcW w:w="280" w:type="dxa"/>
            <w:vAlign w:val="bottom"/>
          </w:tcPr>
          <w:p>
            <w:pPr>
              <w:spacing w:after="0"/>
              <w:rPr>
                <w:sz w:val="20"/>
                <w:szCs w:val="20"/>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(29,807)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(29,807)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contribution of Capital</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144,664</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144,664</w:t>
            </w: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Dividend to FNF</w:t>
            </w:r>
          </w:p>
        </w:tc>
        <w:tc>
          <w:tcPr>
            <w:tcW w:w="28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(807,575)</w:t>
            </w:r>
          </w:p>
        </w:tc>
        <w:tc>
          <w:tcPr>
            <w:tcW w:w="100" w:type="dxa"/>
            <w:vAlign w:val="bottom"/>
          </w:tcPr>
          <w:p>
            <w:pPr>
              <w:spacing w:after="0"/>
              <w:rPr>
                <w:sz w:val="18"/>
                <w:szCs w:val="18"/>
                <w:color w:val="auto"/>
              </w:rPr>
            </w:pPr>
          </w:p>
        </w:tc>
        <w:tc>
          <w:tcPr>
            <w:tcW w:w="17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(807,575)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412,631</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412,631</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Balance, September 30, 2005</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2,468,776</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(72,107)</w:t>
            </w:r>
          </w:p>
        </w:tc>
        <w:tc>
          <w:tcPr>
            <w:tcW w:w="6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$ 2,396,669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Combined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FIDELITY NATIONAL TITLE GROUP,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COMBINED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2"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Nine months ended</w:t>
      </w:r>
    </w:p>
    <w:p>
      <w:pPr>
        <w:jc w:val="center"/>
        <w:ind w:left="87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2005</w:t>
            </w:r>
          </w:p>
        </w:tc>
        <w:tc>
          <w:tcPr>
            <w:tcW w:w="66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2"/>
              </w:rPr>
              <w:t>(Unaudited)</w:t>
            </w: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Net earnings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412,631</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413,168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Reconciliation of net earnings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88"/>
              <w:spacing w:after="0"/>
              <w:rPr>
                <w:sz w:val="20"/>
                <w:szCs w:val="20"/>
                <w:color w:val="auto"/>
              </w:rPr>
            </w:pPr>
            <w:r>
              <w:rPr>
                <w:rFonts w:ascii="Arial" w:cs="Arial" w:eastAsia="Arial" w:hAnsi="Arial"/>
                <w:sz w:val="18"/>
                <w:szCs w:val="18"/>
                <w:color w:val="auto"/>
              </w:rPr>
              <w:t>73,207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increase in reserve for claim losses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43,925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Gain on sales of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(25,505)</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Minority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Change in assets and liabilities, net of effects from 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increase in trade 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(63,312)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Net increase in prepaid expenses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(3,182)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increase (decrease) in accounts payable, 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(94,440)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Net increase in income taxes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145,335</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594,830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666,808</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investment securities available for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1,883,026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1,767,471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Proceeds from maturities of investment securities available for sale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262,008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144,457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40,831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Cash received as collateral on loaned securities,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Collections of notes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Additions to title plants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(4,065)</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(69,925)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Additions to capitalized software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(4,316)</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investment securities available for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w w:val="91"/>
              </w:rPr>
              <w:t>(2,154,842)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(2,449,912)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Net proceeds (purchases) of short-term investment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(232,280)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251,477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notes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(7,868)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(135,438)</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(110,812)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(410,663)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(453,629)</w:t>
            </w:r>
          </w:p>
        </w:tc>
        <w:tc>
          <w:tcPr>
            <w:tcW w:w="0" w:type="dxa"/>
            <w:vAlign w:val="bottom"/>
          </w:tcPr>
          <w:p>
            <w:pPr>
              <w:spacing w:after="0"/>
              <w:rPr>
                <w:sz w:val="1"/>
                <w:szCs w:val="1"/>
                <w:color w:val="auto"/>
              </w:rPr>
            </w:pPr>
          </w:p>
        </w:tc>
      </w:tr>
      <w:tr>
        <w:trPr>
          <w:trHeight w:val="439"/>
        </w:trPr>
        <w:tc>
          <w:tcPr>
            <w:tcW w:w="88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650,174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Debt service payments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(18,115)</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(807,575)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Contribution from (distribution to) FNF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144,664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(133,083)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(30,852)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(318,616)</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color w:val="auto"/>
                <w:w w:val="99"/>
              </w:rPr>
              <w:t>Net increase (decrease) in cash and cash equivalents, excluding pledged cash related to secured trust deposits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153,315</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excluding pledged cash related to secured trust deposits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73,214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164,715</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color w:val="auto"/>
              </w:rPr>
              <w:t>Cash and cash equivalents, excluding pledged cash related to secured trust deposits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226,529</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Combined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Fidelity National Title Group, Inc. and Subsidiaries</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Notes to Condensed Combined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ind w:right="20" w:firstLine="222"/>
        <w:spacing w:after="0" w:line="279" w:lineRule="auto"/>
        <w:rPr>
          <w:sz w:val="20"/>
          <w:szCs w:val="20"/>
          <w:color w:val="auto"/>
        </w:rPr>
      </w:pPr>
      <w:r>
        <w:rPr>
          <w:rFonts w:ascii="Arial" w:cs="Arial" w:eastAsia="Arial" w:hAnsi="Arial"/>
          <w:sz w:val="17"/>
          <w:szCs w:val="17"/>
          <w:color w:val="auto"/>
        </w:rPr>
        <w:t>The unaudited condensed combined financial information included in this report includes the accounts of Fidelity National Title Group, Inc.(“FNT” or the “Company”) and subsidiaries and has been prepared in accordance with generally accepted accounting principles and the instructions to Form 10-Q and Article 10 of Regulation S-X. All adjustments considered necessary for a fair presentation have been included. This report should be read in conjunction with the Company’s combined financial statements included in its Registration Statement on Form S-1 filed on September 27, 2005.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40" w:firstLine="215"/>
        <w:spacing w:after="0" w:line="271" w:lineRule="auto"/>
        <w:rPr>
          <w:sz w:val="20"/>
          <w:szCs w:val="20"/>
          <w:color w:val="auto"/>
        </w:rPr>
      </w:pPr>
      <w:r>
        <w:rPr>
          <w:rFonts w:ascii="Arial" w:cs="Arial" w:eastAsia="Arial" w:hAnsi="Arial"/>
          <w:sz w:val="17"/>
          <w:szCs w:val="17"/>
          <w:color w:val="auto"/>
        </w:rPr>
        <w:t>As of September 30, 2005, FNT was a wholly-owned subsidiary of Fidelity National Financial, Inc. (“FNF”). On September 26, 2005 FNF received all regulatory approvals required to contribute to FNT all of the legal entities that are combined for presentation in these historical financial statements. Also, on September 26, 2005, FNF declared a dividend to its stockholders of record as of October 6, 2005 which resulted in a distribution of 17.5% (30.4 million shares) of its interest in FNT which represents the title insurance segment of FNF. On October 17, 2005, FNF distributed to its current stockholders 0.175 shares of FNT Class A common stock for each share of FNF common stock held on the record date. FNF beneficially owns 100% of the FNT Class B common stock representing 82.5% of the Company’s outstanding common stock. FNT Class B common stock has ten votes per share while FNT Class A common stock has one vote per share. This resulted in the distribution of approximately 30.4 million Class A common shares and FNF owning 143.1 million Class B common shares. Following the distribution FNF controls 97.9% of the voting rights of FNT.</w:t>
      </w:r>
    </w:p>
    <w:p>
      <w:pPr>
        <w:spacing w:after="0" w:line="71"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Prior to the distribution the Company issued two $250 million intercompany notes payable to FNF, with terms that mirror FNF’s existing $250 million, 7.30% public debentures due in August 2011 and $250 million, 5.25% public debentures due in March 2013. Interest on each note accrues from the last date on which interest was paid on the corresponding FNF note. Proceeds from the issuance of the 2011 public debentures were used by FNF to repay debt incurred in connection with the acquisition of the Company’s subsidiary, Chicago Title, and the proceeds from the 2013 public debentures were used for general corporate purposes. Following the issuance of the intercompany notes, the Company filed a Form S-4 Registration Statement with the SEC, under which the Company proposes to make an exchange offer in which the Company would offer to exchange the outstanding FNF notes for notes the Company would issue having substantially the same terms and deliver the FNF notes received to FNF to reduce the debt under the intercompany notes. On October 17, 2005, the Company also entered into a credit agreement in the amount of $400 million. On October 24, 2005, the Company borrowed $150 million under this facility and paid it to FNF in satisfaction of a $150 million intercompany note issued by one of the Company’s subsidiaries to FNF in August 2005.</w:t>
      </w:r>
    </w:p>
    <w:p>
      <w:pPr>
        <w:spacing w:after="0" w:line="5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Fidelity National Title Group, Inc., through its principal subsidiaries, is the largest title insurance company in the United States. The Company’s title insurance underwriters — Fidelity National Title, Chicago Title, Ticor Title, Security Union Title and Alamo Title — together issue all of the Company’s title insurance policies in 49 states, the District of Columbia, Guam, Puerto Rico, the U.S. Virgin Islands, and in Canada and Mexico. The Company operates its business through a single segment, title and escrow, and does not generate significant revenue outside the United States. Although the Company earns title premiums on residential and commercial sale and refinance real estate transactions, the Company does not separately track its revenues from these various types of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Combination and Basis of Presentation</w:t>
      </w:r>
    </w:p>
    <w:p>
      <w:pPr>
        <w:spacing w:after="0" w:line="117" w:lineRule="exact"/>
        <w:rPr>
          <w:sz w:val="20"/>
          <w:szCs w:val="20"/>
          <w:color w:val="auto"/>
        </w:rPr>
      </w:pPr>
    </w:p>
    <w:p>
      <w:pPr>
        <w:ind w:right="60" w:firstLine="222"/>
        <w:spacing w:after="0" w:line="279" w:lineRule="auto"/>
        <w:rPr>
          <w:sz w:val="20"/>
          <w:szCs w:val="20"/>
          <w:color w:val="auto"/>
        </w:rPr>
      </w:pPr>
      <w:r>
        <w:rPr>
          <w:rFonts w:ascii="Arial" w:cs="Arial" w:eastAsia="Arial" w:hAnsi="Arial"/>
          <w:sz w:val="17"/>
          <w:szCs w:val="17"/>
          <w:color w:val="auto"/>
        </w:rPr>
        <w:t>The accompanying Combined Financial Statements include those assets, liabilities, revenues, and expenses directly attributable to the Company’s operations and allocations of certain FNF corporate assets, liabilities and expenses to the Company. These amounts have been allocated to the Company on a basis that is considered by management to reflect most fairly the utilization of services provided to or the benefit obtained by the Company. Management believes the methods used to allocate these amounts are reasonable. All intercompany profits,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transactions and balances between the combined entities have been eliminated. The Company’s investments in non-majority-owned partnerships and affiliates are accounted for on the equity method. All dollars presented herein are in thousands unless otherwise noted.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Proforma Net Earnings Per Share</w:t>
      </w:r>
    </w:p>
    <w:p>
      <w:pPr>
        <w:spacing w:after="0" w:line="117"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Unaudited proforma net earnings per share information for the 2005 and 2004 periods is calculated using the number of outstanding shares of FNT as of October 17, 2005, the distribution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117"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Company’s financial statements reflect transactions with other businesses and operations of FNF, including those being conducted by another FNF subsidiary, Fidelity National Information Services, Inc. (“FIS”).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detail of related party items included in revenues and expenses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center"/>
              <w:ind w:right="82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313"/>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left="313"/>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(In millions)</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Agency title premiums earned</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26.8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69.7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Rental income earned</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Interest revenue</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4"/>
        </w:trPr>
        <w:tc>
          <w:tcPr>
            <w:tcW w:w="48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Agency title commissions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23.6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61.3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Data processing costs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8"/>
              <w:spacing w:after="0"/>
              <w:rPr>
                <w:sz w:val="20"/>
                <w:szCs w:val="20"/>
                <w:color w:val="auto"/>
              </w:rPr>
            </w:pPr>
            <w:r>
              <w:rPr>
                <w:rFonts w:ascii="Arial" w:cs="Arial" w:eastAsia="Arial" w:hAnsi="Arial"/>
                <w:sz w:val="18"/>
                <w:szCs w:val="18"/>
                <w:color w:val="auto"/>
              </w:rPr>
              <w:t>16.7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41.4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Corporate services allocated</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(26.0)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Title insurance information expense</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8"/>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18.1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real-estate related information</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Software expense</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8"/>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Rental expense</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7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pretax impact of related party activity</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(19.7)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(38.5)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Included as a reduction of expenses for all periods are payments from FNF and FIS relating to the provision by FNT of corporate services to FNF and to FIS and its subsidiaries. These corporate services include accounting, internal audit and treasury, payroll, human resources, tax, legal, purchasing, risk management, mergers and acquisitions and general management. For the three and nine month periods ended September 30, 2005 and 2004, the Company’s expenses were reduced by $8.4 million, $12.9 million, $26.0 million and $49.9 million related to the provision of these corporate services by the Company to FNF, FIS and its subsidiaries.</w:t>
      </w:r>
    </w:p>
    <w:p>
      <w:pPr>
        <w:spacing w:after="0" w:line="80" w:lineRule="exact"/>
        <w:rPr>
          <w:sz w:val="20"/>
          <w:szCs w:val="20"/>
          <w:color w:val="auto"/>
        </w:rPr>
      </w:pPr>
    </w:p>
    <w:p>
      <w:pPr>
        <w:ind w:right="100" w:firstLine="222"/>
        <w:spacing w:after="0" w:line="272" w:lineRule="auto"/>
        <w:rPr>
          <w:sz w:val="20"/>
          <w:szCs w:val="20"/>
          <w:color w:val="auto"/>
        </w:rPr>
      </w:pPr>
      <w:r>
        <w:rPr>
          <w:rFonts w:ascii="Arial" w:cs="Arial" w:eastAsia="Arial" w:hAnsi="Arial"/>
          <w:sz w:val="17"/>
          <w:szCs w:val="17"/>
          <w:color w:val="auto"/>
        </w:rPr>
        <w:t>The Company does business with the lender outsourcing solutions segment of FIS. This segment’s services include title agency functions whereby an FIS subsidiary acts as the title agent in the issuance of title insurance policies by a title insurance underwriter owned by the Company and in connection with certain trustee sales guarantees, a form of title insurance issued as part of the foreclosure process. As a result, the Company’s title insurance subsidiaries pay commissions on title insurance policies sold through FIS. For the three and nine months ended September 30, 2005 and 2004, these FIS operations generated $26.8 million, $21.1 million, $69.7 million and $95.6 million of revenues for the Company, which the Company records as agency title premiums. The Company pays FIS commissions at the rate of 88% of premiums generated, equal to $23.6 million, $18.6 million, $61.3 million and $84.2 million for the three and nine month periods ended September 30, 2005 and 2004,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308" w:lineRule="auto"/>
        <w:rPr>
          <w:sz w:val="20"/>
          <w:szCs w:val="20"/>
          <w:color w:val="auto"/>
        </w:rPr>
      </w:pPr>
      <w:r>
        <w:rPr>
          <w:rFonts w:ascii="Arial" w:cs="Arial" w:eastAsia="Arial" w:hAnsi="Arial"/>
          <w:sz w:val="17"/>
          <w:szCs w:val="17"/>
          <w:color w:val="auto"/>
        </w:rPr>
        <w:t>Through June 30, 2005, the Company leased equipment to a subsidiary of FIS. Revenue relating to these leases was $5.0 million for the nine months ended September 30, 2005 and $1.9 million and $4.8 million for the three and nine month periods ended September 30, 2004, respectively.</w:t>
      </w:r>
    </w:p>
    <w:p>
      <w:pPr>
        <w:spacing w:after="0" w:line="38" w:lineRule="exact"/>
        <w:rPr>
          <w:sz w:val="20"/>
          <w:szCs w:val="20"/>
          <w:color w:val="auto"/>
        </w:rPr>
      </w:pPr>
    </w:p>
    <w:p>
      <w:pPr>
        <w:ind w:right="20" w:firstLine="222"/>
        <w:spacing w:after="0" w:line="268" w:lineRule="auto"/>
        <w:rPr>
          <w:sz w:val="20"/>
          <w:szCs w:val="20"/>
          <w:color w:val="auto"/>
        </w:rPr>
      </w:pPr>
      <w:r>
        <w:rPr>
          <w:rFonts w:ascii="Arial" w:cs="Arial" w:eastAsia="Arial" w:hAnsi="Arial"/>
          <w:sz w:val="17"/>
          <w:szCs w:val="17"/>
          <w:color w:val="auto"/>
        </w:rPr>
        <w:t>The title plant assets of several of the Company’s title insurance subsidiaries are managed or maintained by a subsidiary of FIS. The underlying title plant information and software continues to be owned by each of the Company’s title insurance underwriters, but FIS manages and updates the information in return for either (i) a cash management fee or (ii) the right to sell that information to title insurers, including title insurance underwriters that the Company owns and other third party customers. In most cases, FIS is responsible for keeping the title plant assets current and fully functioning, for which the Company pays a fee to FIS based on the Company’s use of, or access to, the title plant. For the three and nine month periods ended September 30, 2005 and 2004, the Company’s payments to FIS under these arrangements were $7.7 million, $7.1 million, $20.3 million and $22.4 million, respectively. In addition, since November 2004, each applicable title insurance underwriter in turn receives a royalty on sales of access to its title plant assets. For the three and nine months ended September 30, 2005, the revenues from these title plant royalties were $0.7 million and $2.2 million. In the first nine months of 2004, there was no royalty agreement in place. In addition, the Company has entered into agreements with FIS that permit FIS and certain of its subsidiaries to access and use (but not to re-sell) the starters databases and back plant databases of the Company’s title insurance subsidiaries. Starters databases are the Company’s databases of previously issued title policies and back plant databases contain historical records relating to title that are not regularly updated. Each of the Company’s applicable title insurance subsidiaries receives a fee for any access or use of its starters and back plant databases by FIS. The Company also does business with additional entities within the information services segment of FIS that provide real estate information to the Company’s operations and the Company recorded expenses of $4.9 million, $2.5 million, $10.8 million and $7.1 million for the three and nine month periods ended September 30, 2005 and 2004, respectively related to these services.</w:t>
      </w:r>
    </w:p>
    <w:p>
      <w:pPr>
        <w:spacing w:after="0" w:line="75"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Included in the Company’s expenses for the three and nine month periods ended September 30, 2005 and 2004 are amounts paid to a subsidiary of FIS for the provision by FIS of IT infrastructure support, data center management and related IT support services. For the three and nine month periods ended September 30, 2005 and 2004, the amounts included in the Company’s expenses to FIS for these services were $16.7 million, $17.2 million, $41.4 million and $46.3 million, respectively. In addition, the Company incurred software expenses relating to an agreement with a subsidiary of FIS that amounted to expense of $2.1 million, $1.4 million, $5.7 million and $4.3 million for the three and nine month periods ended September 30, 2005 and 2004, respectively.</w:t>
      </w:r>
    </w:p>
    <w:p>
      <w:pPr>
        <w:spacing w:after="0" w:line="50"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 believes the amounts earned by the Company or charged to the Company under each of the foregoing arrangements are fair and reasonable. Although the commission rate paid on the title insurance premiums written by the FIS title agencies was set without negotiation, the Company believes the commissions earned are consistent with the average rate that would be available to a third party title agent given the amount and the geographic distribution of the business produced and the low risk of loss profile of the business placed. In connection with the title plant management and maintenance services provided by FIS, the Company believes that the fees charged to the Company by FIS are at approximately the same rates that FIS and other similar vendors charge unaffiliated title insurers. The IT infrastructure support and data center management services provided to the Company by FIS is priced within the range of prices that FIS offers to its unaffiliated third party customers for the same types of services. However, the amounts the Company earned or were charged under these arrangements were not negotiated at arm’s-length, and may not represent the terms that the Company might have obtained from an unrelated third party.</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Notes receivable from FNF, Due from FNF and Notes Payable to FNF to the Company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780" w:type="dxa"/>
            <w:vAlign w:val="bottom"/>
            <w:gridSpan w:val="3"/>
          </w:tcPr>
          <w:p>
            <w:pPr>
              <w:ind w:left="14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Pr>
          <w:p>
            <w:pPr>
              <w:jc w:val="right"/>
              <w:ind w:right="17"/>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572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2005</w:t>
            </w: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79"/>
              </w:rPr>
              <w:t>millions)</w:t>
            </w:r>
          </w:p>
        </w:tc>
        <w:tc>
          <w:tcPr>
            <w:tcW w:w="80" w:type="dxa"/>
            <w:vAlign w:val="bottom"/>
          </w:tcPr>
          <w:p>
            <w:pPr>
              <w:spacing w:after="0"/>
              <w:rPr>
                <w:sz w:val="14"/>
                <w:szCs w:val="14"/>
                <w:color w:val="auto"/>
              </w:rPr>
            </w:pPr>
          </w:p>
        </w:tc>
        <w:tc>
          <w:tcPr>
            <w:tcW w:w="980" w:type="dxa"/>
            <w:vAlign w:val="bottom"/>
          </w:tcPr>
          <w:p>
            <w:pPr>
              <w:jc w:val="right"/>
              <w:ind w:right="297"/>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1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4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from FNF</w:t>
            </w:r>
          </w:p>
        </w:tc>
        <w:tc>
          <w:tcPr>
            <w:tcW w:w="572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$ 22.8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Due from (to) FNF</w:t>
            </w:r>
          </w:p>
        </w:tc>
        <w:tc>
          <w:tcPr>
            <w:tcW w:w="5720" w:type="dxa"/>
            <w:vAlign w:val="bottom"/>
            <w:gridSpan w:val="2"/>
          </w:tcPr>
          <w:p>
            <w:pPr>
              <w:jc w:val="right"/>
              <w:ind w:right="248"/>
              <w:spacing w:after="0"/>
              <w:rPr>
                <w:sz w:val="20"/>
                <w:szCs w:val="20"/>
                <w:color w:val="auto"/>
              </w:rPr>
            </w:pPr>
            <w:r>
              <w:rPr>
                <w:rFonts w:ascii="Arial" w:cs="Arial" w:eastAsia="Arial" w:hAnsi="Arial"/>
                <w:sz w:val="18"/>
                <w:szCs w:val="18"/>
                <w:color w:val="auto"/>
              </w:rPr>
              <w:t>(9.7)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277"/>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FNF (See Note E)</w:t>
            </w:r>
          </w:p>
        </w:tc>
        <w:tc>
          <w:tcPr>
            <w:tcW w:w="572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650.0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4100" w:type="dxa"/>
            <w:vAlign w:val="bottom"/>
          </w:tcPr>
          <w:p>
            <w:pPr>
              <w:spacing w:after="0"/>
              <w:rPr>
                <w:sz w:val="24"/>
                <w:szCs w:val="24"/>
                <w:color w:val="auto"/>
              </w:rPr>
            </w:pPr>
          </w:p>
        </w:tc>
        <w:tc>
          <w:tcPr>
            <w:tcW w:w="4560" w:type="dxa"/>
            <w:vAlign w:val="bottom"/>
          </w:tcPr>
          <w:p>
            <w:pPr>
              <w:jc w:val="right"/>
              <w:ind w:right="2774"/>
              <w:spacing w:after="0"/>
              <w:rPr>
                <w:sz w:val="20"/>
                <w:szCs w:val="20"/>
                <w:color w:val="auto"/>
              </w:rPr>
            </w:pPr>
            <w:r>
              <w:rPr>
                <w:rFonts w:ascii="Arial" w:cs="Arial" w:eastAsia="Arial" w:hAnsi="Arial"/>
                <w:sz w:val="18"/>
                <w:szCs w:val="18"/>
                <w:color w:val="auto"/>
              </w:rPr>
              <w:t>10</w:t>
            </w: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0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Company has notes receivable from FNF relating to agreements between its title underwriters and FNF. These notes amounted to $22.8 million at September 30, 2005 and December 31, 2004. As of September 30, 2005, these notes bear interest at a rate of 4.66%. The Company earned interest revenue of $0.3 million, $0.1 million, $0.7 million and $0.3 million for the three and nine month periods ended September 30, 2005 and 2004, relating to these notes, respectively.</w:t>
      </w:r>
    </w:p>
    <w:p>
      <w:pPr>
        <w:spacing w:after="0" w:line="79"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Company is included in FNF’s consolidated tax returns and thus any income tax liability or receivable is due to/from FNF. As of September 30, 2005, the Company had recorded a payable to FNF of $9.7 million relating to intercompany activity, including income taxes and at December 31, 2004, the Company had recorded a receivable from FNF relating to overpayment of taxes of $63.7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Acquisitions</w:t>
      </w:r>
    </w:p>
    <w:p>
      <w:pPr>
        <w:spacing w:after="0" w:line="121" w:lineRule="exact"/>
        <w:rPr>
          <w:sz w:val="20"/>
          <w:szCs w:val="20"/>
          <w:color w:val="auto"/>
        </w:rPr>
      </w:pPr>
    </w:p>
    <w:p>
      <w:pPr>
        <w:ind w:right="60" w:firstLine="222"/>
        <w:spacing w:after="0" w:line="279" w:lineRule="auto"/>
        <w:rPr>
          <w:sz w:val="20"/>
          <w:szCs w:val="20"/>
          <w:color w:val="auto"/>
        </w:rPr>
      </w:pPr>
      <w:r>
        <w:rPr>
          <w:rFonts w:ascii="Arial" w:cs="Arial" w:eastAsia="Arial" w:hAnsi="Arial"/>
          <w:sz w:val="17"/>
          <w:szCs w:val="17"/>
          <w:color w:val="auto"/>
        </w:rPr>
        <w:t>The results of operations and financial position of the entities acquired during any year are included in the Combined Financial Statements from and after the date of acquisition. The Company generally employs an outside third party valuation firm to value the identifiable intangible and tangible assets and liabilities of each of its acquisitions. Based on this valuation any differences between the fair value of the indentifiable assets and liabilities and the purchase price paid is recorded as goodwill. The acquisitions below were not considered material for pro forma disclosure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Link L.P.</w:t>
      </w:r>
    </w:p>
    <w:p>
      <w:pPr>
        <w:spacing w:after="0" w:line="117" w:lineRule="exact"/>
        <w:rPr>
          <w:sz w:val="20"/>
          <w:szCs w:val="20"/>
          <w:color w:val="auto"/>
        </w:rPr>
      </w:pPr>
    </w:p>
    <w:p>
      <w:pPr>
        <w:ind w:right="40" w:firstLine="225"/>
        <w:spacing w:after="0" w:line="308" w:lineRule="auto"/>
        <w:rPr>
          <w:sz w:val="20"/>
          <w:szCs w:val="20"/>
          <w:color w:val="auto"/>
        </w:rPr>
      </w:pPr>
      <w:r>
        <w:rPr>
          <w:rFonts w:ascii="Arial" w:cs="Arial" w:eastAsia="Arial" w:hAnsi="Arial"/>
          <w:sz w:val="17"/>
          <w:szCs w:val="17"/>
          <w:color w:val="auto"/>
        </w:rPr>
        <w:t>On August 1, 2005, the Company acquired Service Link, L.P. (“Service Link”), a national provider of centralized mortgage and residential real estate title and closing services to major financial institutions and institutional lenders. The acquisition price was approximately $110 million in cash.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American Pioneer Title Insurance Company</w:t>
      </w:r>
    </w:p>
    <w:p>
      <w:pPr>
        <w:spacing w:after="0" w:line="117"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On March 22, 2004, FNT acquired American Pioneer Title Insurance Company (“APTIC”) for $115.2 million in cash, subject to certain equity adjustments. APTIC is a 45-state licensed title insurance underwriter with significant agency operations and computerized title plant assets in the state of Florida. APTIC operates under the Company’s Ticor Title brand. The Company recorded approximately $34.5 million in goodwill and approximately $10.6 million in other intangible assets relating to this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Investments</w:t>
      </w:r>
    </w:p>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During the second quarter of 2005, the Company began lending fixed maturity and equity securities to financial institutions in short-term security lending transactions. The Company’s security lending policy requires that the cash received as collateral be 102% or more of the fair value of the loaned securities. These short-term security lending arrangements increase investment income with minimal risk. At September 30, 2005, the Company had security loans outstanding with a fair value of $146.2 million included in accounts payable and accrued liabilities and the Company held cash in the amount of $151.3 million as collateral for the loaned securities.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Gross unrealized losses on investment securities and the fair value of the related securities, aggregated by investment category and length of time that individual securities have been in a continuous unrealized loss position at September 30, 2005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Less than 12 Months</w:t>
            </w:r>
          </w:p>
        </w:tc>
        <w:tc>
          <w:tcPr>
            <w:tcW w:w="320" w:type="dxa"/>
            <w:vAlign w:val="bottom"/>
          </w:tcPr>
          <w:p>
            <w:pPr>
              <w:spacing w:after="0"/>
              <w:rPr>
                <w:sz w:val="14"/>
                <w:szCs w:val="14"/>
                <w:color w:val="auto"/>
              </w:rPr>
            </w:pPr>
          </w:p>
        </w:tc>
        <w:tc>
          <w:tcPr>
            <w:tcW w:w="24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12 Months or Longer</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Fair Value</w:t>
            </w:r>
          </w:p>
        </w:tc>
        <w:tc>
          <w:tcPr>
            <w:tcW w:w="320" w:type="dxa"/>
            <w:vAlign w:val="bottom"/>
            <w:tcBorders>
              <w:top w:val="single" w:sz="8" w:color="auto"/>
            </w:tcBorders>
            <w:vMerge w:val="restart"/>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Unrealized</w:t>
            </w: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320" w:type="dxa"/>
            <w:vAlign w:val="bottom"/>
            <w:tcBorders>
              <w:top w:val="single" w:sz="8" w:color="auto"/>
            </w:tcBorders>
            <w:vMerge w:val="restart"/>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Unrealized</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4"/>
                <w:szCs w:val="14"/>
                <w:b w:val="1"/>
                <w:bCs w:val="1"/>
                <w:color w:val="auto"/>
                <w:w w:val="92"/>
              </w:rPr>
              <w:t>Fair Value</w:t>
            </w:r>
          </w:p>
        </w:tc>
        <w:tc>
          <w:tcPr>
            <w:tcW w:w="40" w:type="dxa"/>
            <w:vAlign w:val="bottom"/>
            <w:tcBorders>
              <w:top w:val="single" w:sz="8" w:color="auto"/>
            </w:tcBorders>
            <w:vMerge w:val="restart"/>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6"/>
              </w:rPr>
              <w:t>Losses</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619,806</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(10,370)</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$ 233,469</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(2,979)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853,275</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(13,349)</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States and political subdivisions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572,242</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(5,382)</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129,767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(3,124)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702,008</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(8,506)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295,230</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(4,073)</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239,053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(5,605)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534,283</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(9,678)</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Equity securities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95,714</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(15,515)</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95,745</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(15,554)</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temporarily impaired securities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1,582,992</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(35,340)</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$ 602,320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(11,747)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2,185,311</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(47,087)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15"/>
        <w:spacing w:after="0" w:line="293" w:lineRule="auto"/>
        <w:rPr>
          <w:sz w:val="20"/>
          <w:szCs w:val="20"/>
          <w:color w:val="auto"/>
        </w:rPr>
      </w:pPr>
      <w:r>
        <w:rPr>
          <w:rFonts w:ascii="Arial" w:cs="Arial" w:eastAsia="Arial" w:hAnsi="Arial"/>
          <w:sz w:val="16"/>
          <w:szCs w:val="16"/>
          <w:color w:val="auto"/>
        </w:rPr>
        <w:t>A substantial portion of the Company’s unrealized losses relate to its holdings of equity securities. The unrealized losses relating to these securities were caused by market changes that the Company considers to be temporary. Unrealized losses relating to U.S. government, state and political subdivision holdings were primarily caused by interest rate increases. Since the decline in fair value of these investments is attributable to changes in interest rates and not credit quality, and the Company has the intent and ability to hold these securities, the Company does not consider these investments other-than-temporarily impaired. During the third quarter of 2005, the Company did record an impairment charge on two investments that it considered to be other-than-temporarily impaired, which resulted in a charge of $6.2 million. In the third quarter of 2004, the Company also recorded an impairment charge of $6.9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Stock Based Compensation Plans</w:t>
      </w:r>
    </w:p>
    <w:p>
      <w:pPr>
        <w:spacing w:after="0" w:line="121"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Certain FNT employees are participants in FNF’s stock-based compensation plans, which provide for the granting of incentive and nonqualified stock options, restricted stock and other stock-based incentive awards for officers and key employees. The amounts below are based on allocations of FNF’s stock compensation expense relating to awards given to FNT employees during the historical period.</w:t>
      </w:r>
    </w:p>
    <w:p>
      <w:pPr>
        <w:spacing w:after="0" w:line="73" w:lineRule="exact"/>
        <w:rPr>
          <w:sz w:val="20"/>
          <w:szCs w:val="20"/>
          <w:color w:val="auto"/>
        </w:rPr>
      </w:pPr>
    </w:p>
    <w:p>
      <w:pPr>
        <w:ind w:right="180" w:firstLine="222"/>
        <w:spacing w:after="0" w:line="293" w:lineRule="auto"/>
        <w:rPr>
          <w:sz w:val="20"/>
          <w:szCs w:val="20"/>
          <w:color w:val="auto"/>
        </w:rPr>
      </w:pPr>
      <w:r>
        <w:rPr>
          <w:rFonts w:ascii="Arial" w:cs="Arial" w:eastAsia="Arial" w:hAnsi="Arial"/>
          <w:sz w:val="16"/>
          <w:szCs w:val="16"/>
          <w:color w:val="auto"/>
        </w:rPr>
        <w:t>The Company accounts for stock-based compensation using the fair value recognition provisions of SFAS No. 123, “Accounting for Stock-Based Compensation” (SFAS No. 123) effective as of the beginning of 2003. Under the fair value method of accounting, compensation cost is measured based on the fair value of the award at the grant date and recognized over the service period. The Company has elected to use the prospective method of transition, as permitted by Statement of Financial Accounting Standards No. 148, “Accounting for Stock-Based Compensation — Transition and Disclosure” (SFAS No. 148). Under this method, stock-based employee compensation cost is recognized from the beginning of 2003 as if the fair value method of accounting had been used to account for all employee awards granted, modified, or settled in years beginning after December 31, 2002.</w:t>
      </w:r>
    </w:p>
    <w:p>
      <w:pPr>
        <w:spacing w:after="0" w:line="57"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following table illustrates the effect on net income and earnings per share if the Company had applied the fair value recognition provisions of SFAS No. 123 to all outstanding and unvested awards in each period: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center"/>
              <w:ind w:left="159"/>
              <w:spacing w:after="0"/>
              <w:rPr>
                <w:sz w:val="20"/>
                <w:szCs w:val="20"/>
                <w:color w:val="auto"/>
              </w:rPr>
            </w:pPr>
            <w:r>
              <w:rPr>
                <w:rFonts w:ascii="Arial" w:cs="Arial" w:eastAsia="Arial" w:hAnsi="Arial"/>
                <w:sz w:val="14"/>
                <w:szCs w:val="14"/>
                <w:b w:val="1"/>
                <w:bCs w:val="1"/>
                <w:color w:val="auto"/>
                <w:w w:val="91"/>
              </w:rPr>
              <w:t>Three months ended</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left="179"/>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2005</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72"/>
              </w:rPr>
              <w:t>thousands,</w:t>
            </w:r>
          </w:p>
        </w:tc>
        <w:tc>
          <w:tcPr>
            <w:tcW w:w="70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auto"/>
            </w:tcBorders>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5"/>
              </w:rPr>
              <w:t>thousands,</w:t>
            </w: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9"/>
              <w:spacing w:after="0" w:line="119" w:lineRule="exact"/>
              <w:rPr>
                <w:sz w:val="20"/>
                <w:szCs w:val="20"/>
                <w:color w:val="auto"/>
              </w:rPr>
            </w:pPr>
            <w:r>
              <w:rPr>
                <w:rFonts w:ascii="Arial" w:cs="Arial" w:eastAsia="Arial" w:hAnsi="Arial"/>
                <w:sz w:val="13"/>
                <w:szCs w:val="13"/>
                <w:b w:val="1"/>
                <w:bCs w:val="1"/>
                <w:color w:val="auto"/>
              </w:rPr>
              <w:t>(In</w:t>
            </w:r>
          </w:p>
        </w:tc>
        <w:tc>
          <w:tcPr>
            <w:tcW w:w="680" w:type="dxa"/>
            <w:vAlign w:val="bottom"/>
            <w:vMerge w:val="continue"/>
          </w:tcPr>
          <w:p>
            <w:pPr>
              <w:spacing w:after="0"/>
              <w:rPr>
                <w:sz w:val="10"/>
                <w:szCs w:val="10"/>
                <w:color w:val="auto"/>
              </w:rPr>
            </w:pPr>
          </w:p>
        </w:tc>
        <w:tc>
          <w:tcPr>
            <w:tcW w:w="340" w:type="dxa"/>
            <w:vAlign w:val="bottom"/>
          </w:tcPr>
          <w:p>
            <w:pPr>
              <w:spacing w:after="0" w:line="119" w:lineRule="exact"/>
              <w:rPr>
                <w:sz w:val="20"/>
                <w:szCs w:val="20"/>
                <w:color w:val="auto"/>
              </w:rPr>
            </w:pPr>
            <w:r>
              <w:rPr>
                <w:rFonts w:ascii="Arial" w:cs="Arial" w:eastAsia="Arial" w:hAnsi="Arial"/>
                <w:sz w:val="13"/>
                <w:szCs w:val="13"/>
                <w:b w:val="1"/>
                <w:bCs w:val="1"/>
                <w:color w:val="auto"/>
                <w:w w:val="77"/>
              </w:rPr>
              <w:t>except</w:t>
            </w: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68"/>
              <w:spacing w:after="0" w:line="119" w:lineRule="exact"/>
              <w:rPr>
                <w:sz w:val="20"/>
                <w:szCs w:val="20"/>
                <w:color w:val="auto"/>
              </w:rPr>
            </w:pPr>
            <w:r>
              <w:rPr>
                <w:rFonts w:ascii="Arial" w:cs="Arial" w:eastAsia="Arial" w:hAnsi="Arial"/>
                <w:sz w:val="13"/>
                <w:szCs w:val="13"/>
                <w:b w:val="1"/>
                <w:bCs w:val="1"/>
                <w:color w:val="auto"/>
              </w:rPr>
              <w:t>(In</w:t>
            </w:r>
          </w:p>
        </w:tc>
        <w:tc>
          <w:tcPr>
            <w:tcW w:w="660" w:type="dxa"/>
            <w:vAlign w:val="bottom"/>
            <w:gridSpan w:val="2"/>
            <w:vMerge w:val="continue"/>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except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center"/>
              <w:ind w:left="179"/>
              <w:spacing w:after="0"/>
              <w:rPr>
                <w:sz w:val="20"/>
                <w:szCs w:val="20"/>
                <w:color w:val="auto"/>
              </w:rPr>
            </w:pPr>
            <w:r>
              <w:rPr>
                <w:rFonts w:ascii="Arial" w:cs="Arial" w:eastAsia="Arial" w:hAnsi="Arial"/>
                <w:sz w:val="14"/>
                <w:szCs w:val="14"/>
                <w:b w:val="1"/>
                <w:bCs w:val="1"/>
                <w:color w:val="auto"/>
                <w:w w:val="92"/>
              </w:rPr>
              <w:t>per share amounts)</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0"/>
              </w:rPr>
              <w:t>per share amounts)</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earnings, as reported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89"/>
              </w:rPr>
              <w:t>169,734</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4"/>
              </w:rPr>
              <w:t>$ 135,923</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468"/>
              <w:spacing w:after="0"/>
              <w:rPr>
                <w:sz w:val="20"/>
                <w:szCs w:val="20"/>
                <w:color w:val="auto"/>
              </w:rPr>
            </w:pPr>
            <w:r>
              <w:rPr>
                <w:rFonts w:ascii="Arial" w:cs="Arial" w:eastAsia="Arial" w:hAnsi="Arial"/>
                <w:sz w:val="18"/>
                <w:szCs w:val="18"/>
                <w:color w:val="auto"/>
                <w:w w:val="89"/>
              </w:rPr>
              <w:t>412,631</w:t>
            </w: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$ 413,168</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w w:val="94"/>
              </w:rPr>
              <w:t>Add: Stock-based compensation expense included in reported net earnings, net of</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220"/>
              <w:spacing w:after="0"/>
              <w:rPr>
                <w:sz w:val="20"/>
                <w:szCs w:val="20"/>
                <w:color w:val="auto"/>
              </w:rPr>
            </w:pPr>
            <w:r>
              <w:rPr>
                <w:rFonts w:ascii="Arial" w:cs="Arial" w:eastAsia="Arial" w:hAnsi="Arial"/>
                <w:sz w:val="18"/>
                <w:szCs w:val="18"/>
                <w:color w:val="auto"/>
              </w:rPr>
              <w:t>related tax effects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rPr>
              <w:t>2,046</w:t>
            </w:r>
          </w:p>
        </w:tc>
        <w:tc>
          <w:tcPr>
            <w:tcW w:w="340" w:type="dxa"/>
            <w:vAlign w:val="bottom"/>
          </w:tcPr>
          <w:p>
            <w:pPr>
              <w:spacing w:after="0"/>
              <w:rPr>
                <w:sz w:val="20"/>
                <w:szCs w:val="20"/>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689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468"/>
              <w:spacing w:after="0"/>
              <w:rPr>
                <w:sz w:val="20"/>
                <w:szCs w:val="20"/>
                <w:color w:val="auto"/>
              </w:rPr>
            </w:pPr>
            <w:r>
              <w:rPr>
                <w:rFonts w:ascii="Arial" w:cs="Arial" w:eastAsia="Arial" w:hAnsi="Arial"/>
                <w:sz w:val="18"/>
                <w:szCs w:val="18"/>
                <w:color w:val="auto"/>
              </w:rPr>
              <w:t>5,375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2"/>
        </w:trPr>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Deduct: Total stock-based compensation expense determined under fair value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based methods for all awards, net of related tax effects</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(2,088)</w:t>
            </w:r>
          </w:p>
        </w:tc>
        <w:tc>
          <w:tcPr>
            <w:tcW w:w="3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(830)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(5,983)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Pro forma net earnings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169,692</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$ 135,782</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412,023</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$ 412,020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earnings per share-basic and diluted, as reported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0.98</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6"/>
              </w:rPr>
              <w:t>0.78</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468"/>
              <w:spacing w:after="0"/>
              <w:rPr>
                <w:sz w:val="20"/>
                <w:szCs w:val="20"/>
                <w:color w:val="auto"/>
              </w:rPr>
            </w:pPr>
            <w:r>
              <w:rPr>
                <w:rFonts w:ascii="Arial" w:cs="Arial" w:eastAsia="Arial" w:hAnsi="Arial"/>
                <w:sz w:val="18"/>
                <w:szCs w:val="18"/>
                <w:color w:val="auto"/>
              </w:rPr>
              <w:t>2.38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2"/>
        </w:trPr>
        <w:tc>
          <w:tcPr>
            <w:tcW w:w="6180" w:type="dxa"/>
            <w:vAlign w:val="bottom"/>
          </w:tcPr>
          <w:p>
            <w:pPr>
              <w:spacing w:after="0" w:line="201" w:lineRule="exact"/>
              <w:rPr>
                <w:sz w:val="20"/>
                <w:szCs w:val="20"/>
                <w:color w:val="auto"/>
              </w:rPr>
            </w:pPr>
            <w:r>
              <w:rPr>
                <w:rFonts w:ascii="Arial" w:cs="Arial" w:eastAsia="Arial" w:hAnsi="Arial"/>
                <w:sz w:val="18"/>
                <w:szCs w:val="18"/>
                <w:color w:val="auto"/>
                <w:w w:val="93"/>
              </w:rPr>
              <w:t>Pro forma net earnings per share-basic and diluted, as reported-adjusted for SFAS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220"/>
              <w:spacing w:after="0"/>
              <w:rPr>
                <w:sz w:val="20"/>
                <w:szCs w:val="20"/>
                <w:color w:val="auto"/>
              </w:rPr>
            </w:pPr>
            <w:r>
              <w:rPr>
                <w:rFonts w:ascii="Arial" w:cs="Arial" w:eastAsia="Arial" w:hAnsi="Arial"/>
                <w:sz w:val="18"/>
                <w:szCs w:val="18"/>
                <w:color w:val="auto"/>
              </w:rPr>
              <w:t>123 effects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rPr>
              <w:t>0.98</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0.78</w:t>
            </w:r>
          </w:p>
        </w:tc>
        <w:tc>
          <w:tcPr>
            <w:tcW w:w="200" w:type="dxa"/>
            <w:vAlign w:val="bottom"/>
          </w:tcPr>
          <w:p>
            <w:pPr>
              <w:spacing w:after="0"/>
              <w:rPr>
                <w:sz w:val="20"/>
                <w:szCs w:val="20"/>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468"/>
              <w:spacing w:after="0"/>
              <w:rPr>
                <w:sz w:val="20"/>
                <w:szCs w:val="20"/>
                <w:color w:val="auto"/>
              </w:rPr>
            </w:pPr>
            <w:r>
              <w:rPr>
                <w:rFonts w:ascii="Arial" w:cs="Arial" w:eastAsia="Arial" w:hAnsi="Arial"/>
                <w:sz w:val="18"/>
                <w:szCs w:val="18"/>
                <w:color w:val="auto"/>
              </w:rPr>
              <w:t>2.37</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432"/>
        </w:trPr>
        <w:tc>
          <w:tcPr>
            <w:tcW w:w="6180" w:type="dxa"/>
            <w:vAlign w:val="bottom"/>
          </w:tcPr>
          <w:p>
            <w:pPr>
              <w:spacing w:after="0"/>
              <w:rPr>
                <w:sz w:val="20"/>
                <w:szCs w:val="20"/>
                <w:color w:val="auto"/>
              </w:rPr>
            </w:pPr>
            <w:r>
              <w:rPr>
                <w:rFonts w:ascii="Arial" w:cs="Arial" w:eastAsia="Arial" w:hAnsi="Arial"/>
                <w:sz w:val="18"/>
                <w:szCs w:val="18"/>
                <w:b w:val="1"/>
                <w:bCs w:val="1"/>
                <w:color w:val="auto"/>
              </w:rPr>
              <w:t>Note E — Notes Payable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80" w:type="dxa"/>
            <w:vAlign w:val="bottom"/>
          </w:tcPr>
          <w:p>
            <w:pPr>
              <w:ind w:left="240"/>
              <w:spacing w:after="0"/>
              <w:rPr>
                <w:sz w:val="20"/>
                <w:szCs w:val="20"/>
                <w:color w:val="auto"/>
              </w:rPr>
            </w:pPr>
            <w:r>
              <w:rPr>
                <w:rFonts w:ascii="Arial" w:cs="Arial" w:eastAsia="Arial" w:hAnsi="Arial"/>
                <w:sz w:val="18"/>
                <w:szCs w:val="18"/>
                <w:color w:val="auto"/>
              </w:rPr>
              <w:t>Notes payable consist of the following:</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gridSpan w:val="6"/>
          </w:tcPr>
          <w:p>
            <w:pPr>
              <w:jc w:val="right"/>
              <w:ind w:right="608"/>
              <w:spacing w:after="0"/>
              <w:rPr>
                <w:sz w:val="20"/>
                <w:szCs w:val="20"/>
                <w:color w:val="auto"/>
              </w:rPr>
            </w:pPr>
            <w:r>
              <w:rPr>
                <w:rFonts w:ascii="Arial" w:cs="Arial" w:eastAsia="Arial" w:hAnsi="Arial"/>
                <w:sz w:val="14"/>
                <w:szCs w:val="14"/>
                <w:b w:val="1"/>
                <w:bCs w:val="1"/>
                <w:color w:val="auto"/>
                <w:w w:val="89"/>
              </w:rPr>
              <w:t>September 30,</w:t>
            </w: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200" w:type="dxa"/>
            <w:vAlign w:val="bottom"/>
            <w:gridSpan w:val="6"/>
            <w:shd w:val="clear" w:color="auto" w:fill="CCEEFF"/>
          </w:tcPr>
          <w:p>
            <w:pPr>
              <w:spacing w:after="0" w:line="195" w:lineRule="exact"/>
              <w:rPr>
                <w:sz w:val="20"/>
                <w:szCs w:val="20"/>
                <w:color w:val="auto"/>
              </w:rPr>
            </w:pPr>
            <w:r>
              <w:rPr>
                <w:rFonts w:ascii="Arial" w:cs="Arial" w:eastAsia="Arial" w:hAnsi="Arial"/>
                <w:sz w:val="18"/>
                <w:szCs w:val="18"/>
                <w:color w:val="auto"/>
                <w:w w:val="91"/>
              </w:rPr>
              <w:t>Unsecured note due to FNF, interest payable semiannually at 3.55%, due August, 2008, refinanced October 24,</w:t>
            </w: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2005</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150,000</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5"/>
          </w:tcPr>
          <w:p>
            <w:pPr>
              <w:spacing w:after="0"/>
              <w:rPr>
                <w:sz w:val="20"/>
                <w:szCs w:val="20"/>
                <w:color w:val="auto"/>
              </w:rPr>
            </w:pPr>
            <w:r>
              <w:rPr>
                <w:rFonts w:ascii="Arial" w:cs="Arial" w:eastAsia="Arial" w:hAnsi="Arial"/>
                <w:sz w:val="18"/>
                <w:szCs w:val="18"/>
                <w:color w:val="auto"/>
                <w:w w:val="96"/>
              </w:rPr>
              <w:t>Unsecured note due to FNF, net of discount, interest payable semiannually at 7.3%, due August, 2011</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4"/>
          </w:tcPr>
          <w:p>
            <w:pPr>
              <w:ind w:left="100"/>
              <w:spacing w:after="0"/>
              <w:rPr>
                <w:sz w:val="20"/>
                <w:szCs w:val="20"/>
                <w:color w:val="auto"/>
              </w:rPr>
            </w:pPr>
            <w:r>
              <w:rPr>
                <w:rFonts w:ascii="Arial" w:cs="Arial" w:eastAsia="Arial" w:hAnsi="Arial"/>
                <w:sz w:val="18"/>
                <w:szCs w:val="18"/>
                <w:color w:val="auto"/>
              </w:rPr>
              <w:t>250,000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Unsecured note due to FNF, net of discount, interest payable semiannually at 5.25%, due March, 2013</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250,000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Other promissory notes with various interest rates and maturities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657,076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22,390</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Prior to the distribution, on September 30, 2005, the Company issued two $250 million intercompany notes payable to FNF, with terms that mirror FNF’s existing $250 million 7.30% public debentures due in August 2011 and $250 million 5.25% public debentures due in March 2013. Proceeds from the issuance of the 2011 public debentures were used by FNF to repay debt incurred in connection with the acquisition of the Company’s subsidiary, Chicago Title, and the proceeds from the 2013 public debentures were used for general corporate purposes. Following the issuance of the intercompany notes, the Company filed a Registration Statement on Form S-4, pursuant to which it proposes to make an exchange offer in which the Company would offer to exchange the outstanding FNF notes for notes the Company would issue having substantially the same terms and deliver the FNF notes received to FNF to reduce the debt under the intercompany notes.</w:t>
      </w:r>
    </w:p>
    <w:p>
      <w:pPr>
        <w:spacing w:after="0" w:line="81" w:lineRule="exact"/>
        <w:rPr>
          <w:sz w:val="20"/>
          <w:szCs w:val="20"/>
          <w:color w:val="auto"/>
        </w:rPr>
      </w:pPr>
    </w:p>
    <w:p>
      <w:pPr>
        <w:ind w:right="500" w:firstLine="225"/>
        <w:spacing w:after="0" w:line="308" w:lineRule="auto"/>
        <w:rPr>
          <w:sz w:val="20"/>
          <w:szCs w:val="20"/>
          <w:color w:val="auto"/>
        </w:rPr>
      </w:pPr>
      <w:r>
        <w:rPr>
          <w:rFonts w:ascii="Arial" w:cs="Arial" w:eastAsia="Arial" w:hAnsi="Arial"/>
          <w:sz w:val="17"/>
          <w:szCs w:val="17"/>
          <w:color w:val="auto"/>
        </w:rPr>
        <w:t>Subsequent to September 30, 2005, on October 17, 2005, the Company entered into a Credit Agreement, dated as of October 17, 2005, with Bank of America, N.A. as Administrative Agent and Swing Line Lender (the “Credit Agreement”), and the other financial institutions party thereto.</w:t>
      </w:r>
    </w:p>
    <w:p>
      <w:pPr>
        <w:spacing w:after="0" w:line="38" w:lineRule="exact"/>
        <w:rPr>
          <w:sz w:val="20"/>
          <w:szCs w:val="20"/>
          <w:color w:val="auto"/>
        </w:rPr>
      </w:pPr>
    </w:p>
    <w:p>
      <w:pPr>
        <w:jc w:val="both"/>
        <w:ind w:right="20" w:firstLine="222"/>
        <w:spacing w:after="0" w:line="255" w:lineRule="auto"/>
        <w:rPr>
          <w:sz w:val="20"/>
          <w:szCs w:val="20"/>
          <w:color w:val="auto"/>
        </w:rPr>
      </w:pPr>
      <w:r>
        <w:rPr>
          <w:rFonts w:ascii="Arial" w:cs="Arial" w:eastAsia="Arial" w:hAnsi="Arial"/>
          <w:sz w:val="18"/>
          <w:szCs w:val="18"/>
          <w:color w:val="auto"/>
        </w:rPr>
        <w:t>The Credit Agreement provides for a $400 million unsecured revolving credit facility maturing on the fifth anniversary of the closing date. Amounts under the revolving credit facility may be borrowed, repaid and reborrowed by the borrowers thereunder from time to time until the maturity of the revolving credit facility. Voluntary prepayment of the revolving credit facility under the Credit Agreement is permitted at any time without fee upon proper notice and subject to a minimum dollar requirement. Revolving loans under the credit facility bear interest at a variable rate based on either (i) the higher of (a) a rate per annum equal to one-half of one percent in excess of the Federal Reserve’s Federal Funds rate, or (b) Bank of America’s “prime rate;” or (ii) a rate per annum equal to the British Bankers Association LIBOR rate plus a margin of between .35%-1.25%, all in, depending on the Company’s then current public debt credit rating from the rating agencies.</w:t>
      </w:r>
    </w:p>
    <w:p>
      <w:pPr>
        <w:spacing w:after="0" w:line="81"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Credit Agreement contains affirmative, negative and financial covenants customary for financings of this type, including, among other things, limits on the creation of liens, limits on the incurrence of indebtedness,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restrictions on investments, and limitations on restricted payments and transactions with affiliates. The Credit Agreement requires the Company to maintain investment grade debt ratings, certain financial ratios related to liquidity and statutory surplus and certain levels of capitalization. The Credit Agreement also includes customary events of default for facilities of this type (with customary grace periods, as applicable) and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Credit Agreement shall automatically become immediately due and payable, and the lenders’ commitments will automatically terminate.</w:t>
      </w:r>
    </w:p>
    <w:p>
      <w:pPr>
        <w:spacing w:after="0" w:line="5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On October 24, 2005, the Company borrowed $150 million under this facility and paid it to FNF in satisfaction of a $150 million intercompany note issued by one of the Company’s subsidiaries to FNF in August 2005.</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Principal maturities of notes payable at September 30, 2005, are as follows (dollars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150,000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$ 657,076</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Note F — Pension and Postretirement Benefits</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00" w:type="dxa"/>
            <w:vAlign w:val="bottom"/>
            <w:gridSpan w:val="8"/>
          </w:tcPr>
          <w:p>
            <w:pPr>
              <w:ind w:left="220"/>
              <w:spacing w:after="0"/>
              <w:rPr>
                <w:sz w:val="20"/>
                <w:szCs w:val="20"/>
                <w:color w:val="auto"/>
              </w:rPr>
            </w:pPr>
            <w:r>
              <w:rPr>
                <w:rFonts w:ascii="Arial" w:cs="Arial" w:eastAsia="Arial" w:hAnsi="Arial"/>
                <w:sz w:val="18"/>
                <w:szCs w:val="18"/>
                <w:color w:val="auto"/>
                <w:w w:val="95"/>
              </w:rPr>
              <w:t>The following details the Company’s periodic (income) expense for pension and postretirement benefits:</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3"/>
              </w:rPr>
              <w:t>For the Three Months Ended September 30,</w:t>
            </w: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2004</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Pension Benefits</w:t>
            </w:r>
          </w:p>
        </w:tc>
        <w:tc>
          <w:tcPr>
            <w:tcW w:w="520" w:type="dxa"/>
            <w:vAlign w:val="bottom"/>
          </w:tcPr>
          <w:p>
            <w:pPr>
              <w:spacing w:after="0"/>
              <w:rPr>
                <w:sz w:val="12"/>
                <w:szCs w:val="12"/>
                <w:color w:val="auto"/>
              </w:rPr>
            </w:pPr>
          </w:p>
        </w:tc>
        <w:tc>
          <w:tcPr>
            <w:tcW w:w="6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82"/>
              </w:rPr>
              <w:t>except per</w:t>
            </w:r>
          </w:p>
        </w:tc>
        <w:tc>
          <w:tcPr>
            <w:tcW w:w="140" w:type="dxa"/>
            <w:vAlign w:val="bottom"/>
          </w:tcPr>
          <w:p>
            <w:pPr>
              <w:spacing w:after="0"/>
              <w:rPr>
                <w:sz w:val="12"/>
                <w:szCs w:val="12"/>
                <w:color w:val="auto"/>
              </w:rPr>
            </w:pPr>
          </w:p>
        </w:tc>
        <w:tc>
          <w:tcPr>
            <w:tcW w:w="2000" w:type="dxa"/>
            <w:vAlign w:val="bottom"/>
            <w:gridSpan w:val="7"/>
          </w:tcPr>
          <w:p>
            <w:pPr>
              <w:jc w:val="right"/>
              <w:ind w:right="320"/>
              <w:spacing w:after="0" w:line="142" w:lineRule="exact"/>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vMerge w:val="continue"/>
          </w:tcPr>
          <w:p>
            <w:pPr>
              <w:spacing w:after="0"/>
              <w:rPr>
                <w:sz w:val="12"/>
                <w:szCs w:val="12"/>
                <w:color w:val="auto"/>
              </w:rPr>
            </w:pPr>
          </w:p>
        </w:tc>
        <w:tc>
          <w:tcPr>
            <w:tcW w:w="11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share amounts)</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2,087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8"/>
              <w:spacing w:after="0"/>
              <w:rPr>
                <w:sz w:val="20"/>
                <w:szCs w:val="20"/>
                <w:color w:val="auto"/>
              </w:rPr>
            </w:pPr>
            <w:r>
              <w:rPr>
                <w:rFonts w:ascii="Arial" w:cs="Arial" w:eastAsia="Arial" w:hAnsi="Arial"/>
                <w:sz w:val="18"/>
                <w:szCs w:val="18"/>
                <w:color w:val="auto"/>
              </w:rPr>
              <w:t>2,163</w:t>
            </w:r>
          </w:p>
        </w:tc>
        <w:tc>
          <w:tcPr>
            <w:tcW w:w="14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(1,959)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w w:val="98"/>
              </w:rPr>
              <w:t>(2,113)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1,751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6540" w:type="dxa"/>
            <w:vAlign w:val="bottom"/>
          </w:tcPr>
          <w:p>
            <w:pPr>
              <w:ind w:left="220"/>
              <w:spacing w:after="0"/>
              <w:rPr>
                <w:sz w:val="20"/>
                <w:szCs w:val="20"/>
                <w:color w:val="auto"/>
              </w:rPr>
            </w:pPr>
            <w:r>
              <w:rPr>
                <w:rFonts w:ascii="Arial" w:cs="Arial" w:eastAsia="Arial" w:hAnsi="Arial"/>
                <w:sz w:val="18"/>
                <w:szCs w:val="18"/>
                <w:color w:val="auto"/>
              </w:rPr>
              <w:t>Total net periodic (income) expense</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1,801</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4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2004</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Pension Benefits</w:t>
            </w:r>
          </w:p>
        </w:tc>
        <w:tc>
          <w:tcPr>
            <w:tcW w:w="520" w:type="dxa"/>
            <w:vAlign w:val="bottom"/>
          </w:tcPr>
          <w:p>
            <w:pPr>
              <w:spacing w:after="0"/>
              <w:rPr>
                <w:sz w:val="12"/>
                <w:szCs w:val="12"/>
                <w:color w:val="auto"/>
              </w:rPr>
            </w:pPr>
          </w:p>
        </w:tc>
        <w:tc>
          <w:tcPr>
            <w:tcW w:w="6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82"/>
              </w:rPr>
              <w:t>except per</w:t>
            </w:r>
          </w:p>
        </w:tc>
        <w:tc>
          <w:tcPr>
            <w:tcW w:w="140" w:type="dxa"/>
            <w:vAlign w:val="bottom"/>
          </w:tcPr>
          <w:p>
            <w:pPr>
              <w:spacing w:after="0"/>
              <w:rPr>
                <w:sz w:val="12"/>
                <w:szCs w:val="12"/>
                <w:color w:val="auto"/>
              </w:rPr>
            </w:pPr>
          </w:p>
        </w:tc>
        <w:tc>
          <w:tcPr>
            <w:tcW w:w="2000" w:type="dxa"/>
            <w:vAlign w:val="bottom"/>
            <w:gridSpan w:val="7"/>
          </w:tcPr>
          <w:p>
            <w:pPr>
              <w:jc w:val="right"/>
              <w:ind w:right="320"/>
              <w:spacing w:after="0" w:line="142" w:lineRule="exact"/>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vMerge w:val="continue"/>
          </w:tcPr>
          <w:p>
            <w:pPr>
              <w:spacing w:after="0"/>
              <w:rPr>
                <w:sz w:val="12"/>
                <w:szCs w:val="12"/>
                <w:color w:val="auto"/>
              </w:rPr>
            </w:pPr>
          </w:p>
        </w:tc>
        <w:tc>
          <w:tcPr>
            <w:tcW w:w="11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share amounts)</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6,261</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8"/>
              <w:spacing w:after="0"/>
              <w:rPr>
                <w:sz w:val="20"/>
                <w:szCs w:val="20"/>
                <w:color w:val="auto"/>
              </w:rPr>
            </w:pPr>
            <w:r>
              <w:rPr>
                <w:rFonts w:ascii="Arial" w:cs="Arial" w:eastAsia="Arial" w:hAnsi="Arial"/>
                <w:sz w:val="18"/>
                <w:szCs w:val="18"/>
                <w:color w:val="auto"/>
              </w:rPr>
              <w:t>6,488</w:t>
            </w:r>
          </w:p>
        </w:tc>
        <w:tc>
          <w:tcPr>
            <w:tcW w:w="14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888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(5,877)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w w:val="98"/>
              </w:rPr>
              <w:t>(5,678)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(1,152)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6,621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5,253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3"/>
        </w:trPr>
        <w:tc>
          <w:tcPr>
            <w:tcW w:w="6540" w:type="dxa"/>
            <w:vAlign w:val="bottom"/>
          </w:tcPr>
          <w:p>
            <w:pPr>
              <w:ind w:left="220"/>
              <w:spacing w:after="0"/>
              <w:rPr>
                <w:sz w:val="20"/>
                <w:szCs w:val="20"/>
                <w:color w:val="auto"/>
              </w:rPr>
            </w:pPr>
            <w:r>
              <w:rPr>
                <w:rFonts w:ascii="Arial" w:cs="Arial" w:eastAsia="Arial" w:hAnsi="Arial"/>
                <w:sz w:val="18"/>
                <w:szCs w:val="18"/>
                <w:color w:val="auto"/>
              </w:rPr>
              <w:t>Total net periodic (income) expense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7,005</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6,063</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4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have been no material changes to the Company’s projected benefit payments under these plans since December 31, 2004.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Legal Proceedings</w:t>
      </w:r>
    </w:p>
    <w:p>
      <w:pPr>
        <w:spacing w:after="0" w:line="121"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In the ordinary course of business, the Company is involved in various pending and threatened litigation matters related to its operations, some of which include claims for punitive or exemplary damages. The Company believes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that no actions, other than those listed below, depart from customary litigation incidental to its business. As background to the disclosure below, please note the following:</w:t>
      </w:r>
    </w:p>
    <w:p>
      <w:pPr>
        <w:spacing w:after="0" w:line="62" w:lineRule="exact"/>
        <w:rPr>
          <w:sz w:val="20"/>
          <w:szCs w:val="20"/>
          <w:color w:val="auto"/>
        </w:rPr>
      </w:pPr>
    </w:p>
    <w:p>
      <w:pPr>
        <w:ind w:left="440" w:right="80" w:hanging="216"/>
        <w:spacing w:after="0" w:line="272" w:lineRule="auto"/>
        <w:tabs>
          <w:tab w:leader="none" w:pos="44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These matters raise difficult and complicated factual and legal issues and are subject to many uncertainties and complexities, including but not limited to the underlying facts of each matter, novel legal issues, variations between jurisdictions in which matters are being litigated, differences in 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83" w:lineRule="exact"/>
        <w:rPr>
          <w:rFonts w:ascii="Arial" w:cs="Arial" w:eastAsia="Arial" w:hAnsi="Arial"/>
          <w:sz w:val="17"/>
          <w:szCs w:val="17"/>
          <w:b w:val="1"/>
          <w:bCs w:val="1"/>
          <w:color w:val="auto"/>
        </w:rPr>
      </w:pPr>
    </w:p>
    <w:p>
      <w:pPr>
        <w:ind w:left="440" w:right="20" w:hanging="216"/>
        <w:spacing w:after="0" w:line="255" w:lineRule="auto"/>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 general, the dollar amount of damages sought is not specified. In those cases where plaintiffs have made a specific statement with regard to monetary damages, they often specify damages just below a jurisdictional limit regardless of the facts of the case. This represents the maximum they can seek without risking removal from state court to federal court. In our experience, monetary demands in plaintiffs’ court pleadings bear little relation to the ultimate loss, if any, we may experience.</w:t>
      </w:r>
    </w:p>
    <w:p>
      <w:pPr>
        <w:spacing w:after="0" w:line="94" w:lineRule="exact"/>
        <w:rPr>
          <w:rFonts w:ascii="Arial" w:cs="Arial" w:eastAsia="Arial" w:hAnsi="Arial"/>
          <w:sz w:val="18"/>
          <w:szCs w:val="18"/>
          <w:b w:val="1"/>
          <w:bCs w:val="1"/>
          <w:color w:val="auto"/>
        </w:rPr>
      </w:pPr>
    </w:p>
    <w:p>
      <w:pPr>
        <w:ind w:left="440" w:right="20" w:hanging="216"/>
        <w:spacing w:after="0" w:line="259" w:lineRule="auto"/>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For the reasons specified above, it is not possible to make meaningful estimates of the amount or range of loss that could result from these matters at this time. The Company reviews these matters on an on-going basis and follows the provisions of SFAS No. 5, “Accounting for Contingencies” when making accrual and disclosure decisions. When assessing reasonably possible and probable outcomes, the Company bases its decision on its assessment of the ultimate outcome following all appeals.</w:t>
      </w:r>
    </w:p>
    <w:p>
      <w:pPr>
        <w:spacing w:after="0" w:line="92" w:lineRule="exact"/>
        <w:rPr>
          <w:rFonts w:ascii="Arial" w:cs="Arial" w:eastAsia="Arial" w:hAnsi="Arial"/>
          <w:sz w:val="18"/>
          <w:szCs w:val="18"/>
          <w:b w:val="1"/>
          <w:bCs w:val="1"/>
          <w:color w:val="auto"/>
        </w:rPr>
      </w:pPr>
    </w:p>
    <w:p>
      <w:pPr>
        <w:ind w:left="440" w:hanging="216"/>
        <w:spacing w:after="0" w:line="277" w:lineRule="auto"/>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the opinion of the Company’s management, while some of these matters may be material to the Company’s operating results for any particular period if an unfavorable outcome results, none will have a material adverse effect on its overall financial condition.</w:t>
      </w:r>
    </w:p>
    <w:p>
      <w:pPr>
        <w:spacing w:after="0" w:line="62"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Several class actions are pending in Ohio, Pennsylvania and Florida alleging improper premiums were charged for title insurance. The cases allege that the named defendant companies failed to provide notice of premium discounts to consumers refinancing their mortgages, and failed to give discounts in refinancing transactions in violation of the filed rates. The actions seek refunds of the premiums charged and punitive damages. Recently the court’s order denying class certification in one of the Ohio actions was reversed and the case was remanded to the trial court for further proceedings. The Company has petitioned the Supreme Court of Ohio for review. The Company intends to vigorously defend the actions.</w:t>
      </w:r>
    </w:p>
    <w:p>
      <w:pPr>
        <w:spacing w:after="0" w:line="64" w:lineRule="exact"/>
        <w:rPr>
          <w:sz w:val="20"/>
          <w:szCs w:val="20"/>
          <w:color w:val="auto"/>
        </w:rPr>
      </w:pPr>
    </w:p>
    <w:p>
      <w:pPr>
        <w:ind w:right="320" w:firstLine="215"/>
        <w:spacing w:after="0" w:line="312" w:lineRule="auto"/>
        <w:rPr>
          <w:sz w:val="20"/>
          <w:szCs w:val="20"/>
          <w:color w:val="auto"/>
        </w:rPr>
      </w:pPr>
      <w:r>
        <w:rPr>
          <w:rFonts w:ascii="Arial" w:cs="Arial" w:eastAsia="Arial" w:hAnsi="Arial"/>
          <w:sz w:val="16"/>
          <w:szCs w:val="16"/>
          <w:color w:val="auto"/>
        </w:rPr>
        <w:t>A class action in California alleges that the Company violated the Real Estate Settlement Procedures Act (“RESPA”) and state law by giving favorable discounts or rates to builders and developers for escrow fees and requiring purchasers to use Chicago Title Insurance Company for escrow services. The action seeks refunds of the premiums charged and additional damages. The Company intends to vigorously defend this action.</w:t>
      </w:r>
    </w:p>
    <w:p>
      <w:pPr>
        <w:spacing w:after="0" w:line="39" w:lineRule="exact"/>
        <w:rPr>
          <w:sz w:val="20"/>
          <w:szCs w:val="20"/>
          <w:color w:val="auto"/>
        </w:rPr>
      </w:pPr>
    </w:p>
    <w:p>
      <w:pPr>
        <w:ind w:right="140" w:firstLine="215"/>
        <w:spacing w:after="0" w:line="272" w:lineRule="auto"/>
        <w:rPr>
          <w:sz w:val="20"/>
          <w:szCs w:val="20"/>
          <w:color w:val="auto"/>
        </w:rPr>
      </w:pPr>
      <w:r>
        <w:rPr>
          <w:rFonts w:ascii="Arial" w:cs="Arial" w:eastAsia="Arial" w:hAnsi="Arial"/>
          <w:sz w:val="17"/>
          <w:szCs w:val="17"/>
          <w:color w:val="auto"/>
        </w:rPr>
        <w:t>A shareholder derivative action was filed in Florida on February 11, 2005 alleging that FNF directors and certain executive officers breached their fiduciary and other duties, and exposed FNF to potential fines, penalties and suits in the future, by permitting so called contingent commissions to obtain business. The Company and the directors and executive officers named as defendants filed motions to dismiss the action on June 3, 2005. The plaintiff abandoned his original complaint and responded to the motions by filing an amended complaint on July 13, 2005, and FNF, along with the directors and executive officers named as defendants, have responded to the amended complaint. The amended complaint repeats the allegations of the original complaint and adds allegations about “captive reinsurance” programs, which FNF continues to believe were lawful. These “captive reinsurance” programs are the subject of investigations by several state departments of insurance and attorney generals. FNT has agreed to</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indemnify FNF in connection with this matter under the separation agreement that was entered into in connection with the distribution of FNT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agreed to indemnify FNF in connection with this matter and FNF intends to vigorously defend this action.</w:t>
      </w:r>
    </w:p>
    <w:p>
      <w:pPr>
        <w:spacing w:after="0" w:line="103" w:lineRule="exact"/>
        <w:rPr>
          <w:sz w:val="20"/>
          <w:szCs w:val="20"/>
          <w:color w:val="auto"/>
        </w:rPr>
      </w:pPr>
    </w:p>
    <w:p>
      <w:pPr>
        <w:jc w:val="both"/>
        <w:ind w:right="100" w:firstLine="225"/>
        <w:spacing w:after="0" w:line="375" w:lineRule="auto"/>
        <w:rPr>
          <w:sz w:val="20"/>
          <w:szCs w:val="20"/>
          <w:color w:val="auto"/>
        </w:rPr>
      </w:pPr>
      <w:r>
        <w:rPr>
          <w:rFonts w:ascii="Arial" w:cs="Arial" w:eastAsia="Arial" w:hAnsi="Arial"/>
          <w:sz w:val="15"/>
          <w:szCs w:val="15"/>
          <w:color w:val="auto"/>
        </w:rPr>
        <w:t>None of the cases described above includes a statement as to the dollar amount of damages demanded. Instead, each of the cases includes a demand in an amount to be proved at trial. Two of the Ohio cases state that the damages per class member are less than the jurisdictional limit for removal to federal court.</w:t>
      </w:r>
    </w:p>
    <w:p>
      <w:pPr>
        <w:spacing w:after="0" w:line="1"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The Company gets inquiries and requests for information from state insurance departments, attorneys general and other regulatory agencies from time to time about various matters relating to its business. Sometimes these take the form of civil investigative subpoenas. The Company attempts to cooperate with all such inquiries. From time to time, the Company is assessed fines for violations of regulations or other matters or enters into settlements with such authorities which require the Company to pay money or take other actions.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fall of 2004, the California Department of Insurance began an investigation into reinsurance practices in the title insurance industry. 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February 2005 FNF was issued a subpoena to provide information to the California Department of Insurance as part of its investigation. This investigation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paralleled similar inquiries of the National Association of Insurance Commissioners, which began earlier in 2004. The investigations have focused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arrangements in which title insurers would write title insurance generated by realtors, developers and lenders and cede a portion of the premiums to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reinsurance company affiliate of the entity that generated the business.</w:t>
      </w:r>
    </w:p>
    <w:p>
      <w:pPr>
        <w:spacing w:after="0" w:line="103" w:lineRule="exact"/>
        <w:rPr>
          <w:sz w:val="20"/>
          <w:szCs w:val="20"/>
          <w:color w:val="auto"/>
        </w:rPr>
      </w:pPr>
    </w:p>
    <w:p>
      <w:pPr>
        <w:ind w:right="120" w:firstLine="222"/>
        <w:spacing w:after="0" w:line="273" w:lineRule="auto"/>
        <w:rPr>
          <w:sz w:val="20"/>
          <w:szCs w:val="20"/>
          <w:color w:val="auto"/>
        </w:rPr>
      </w:pPr>
      <w:r>
        <w:rPr>
          <w:rFonts w:ascii="Arial" w:cs="Arial" w:eastAsia="Arial" w:hAnsi="Arial"/>
          <w:sz w:val="17"/>
          <w:szCs w:val="17"/>
          <w:color w:val="auto"/>
        </w:rPr>
        <w:t>The Company recently negotiated a settlement with the California Department of Insurance with respect to that department’s inquiry into these arrangements, which the Company refers to as captive reinsurance arrangements. Under the terms of the settlement, the Company will refund approximately $7.7 million to those consumers whose California property was subject to a captive reinsurance arrangement and will pay a penalty of $5.6 million. The Company also recently entered into similar settlements with 15 other states, in which the Company agreed to refund a total of approximately $2 million to policyholders. Other state insurance departments and attorneys general and the U.S. Department of Housing and Urban Development (“HUD”) also have made formal or informal inquiries of the Company regarding these matters.</w:t>
      </w:r>
    </w:p>
    <w:p>
      <w:pPr>
        <w:spacing w:after="0" w:line="70"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Company has been cooperating and intends to continue to cooperate with the other ongoing investigations. The Company has discontinued all captive reinsurance arrangements. The total amount of premiums the Company ceded to reinsurers was approximately $10 million over the existence of these agreements. The remaining investigations are continuing and the Company currently is unable to give any assurance regarding their consequences for the industry or for FNT.</w:t>
      </w:r>
    </w:p>
    <w:p>
      <w:pPr>
        <w:spacing w:after="0" w:line="79"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Additionally, the Company has received inquiries from regulators about its business involvement with title insurance agencies affiliated with builders, realtors and other traditional sources of title insurance business, some of which the Company participated in forming as joint ventures with its subsidiaries. These inquiries have focused on whether the placement of title insurance with the Company through these affiliated agencies is proper or an improper form of referral payment. Like most other title insurers, the Company participates in these affiliated business arrangements in a number of states. The Company recently entered into a settlement with the Florida Department of Financial Services under which it agreed to refund approximately $3 million in premiums received though these types of agencies in Florida and pay a fine of $1 million. The other pending inquiries are at an early stage and as a result the Company can give no assurance as to their likely outcome.</w:t>
      </w:r>
    </w:p>
    <w:p>
      <w:pPr>
        <w:spacing w:after="0" w:line="81"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Since 2004 the Company’s subsidiaries have received civil subpoenas and other inquiries from the New York State Attorney General, requesting information about their arrangements with agents and customers and other matters relating to, among other things, rates, calculation practices, use of blended rates in multi-state transactions, rebates and referral fees. These inquiries are at an early stage and as a result the Company can give no assurance as to their likely outcome.</w:t>
      </w:r>
    </w:p>
    <w:p>
      <w:pPr>
        <w:spacing w:after="0" w:line="79"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Finally, the California Department of Insurance has recently announced its intent to examine levels of pricing and competition in the title insurance industry in California, with a view to determining whether prices are too high and if so, implementing rate reductions. New York and Colorado insurance regulators have also announced similar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inquiries and other states could follow. At this stage, the Company is unable to predict what the outcome will be of this or any similar review.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Subsequent Event</w:t>
      </w:r>
    </w:p>
    <w:p>
      <w:pPr>
        <w:spacing w:after="0" w:line="121" w:lineRule="exact"/>
        <w:rPr>
          <w:sz w:val="20"/>
          <w:szCs w:val="20"/>
          <w:color w:val="auto"/>
        </w:rPr>
      </w:pPr>
    </w:p>
    <w:p>
      <w:pPr>
        <w:ind w:right="760" w:firstLine="225"/>
        <w:spacing w:after="0" w:line="277" w:lineRule="auto"/>
        <w:rPr>
          <w:sz w:val="20"/>
          <w:szCs w:val="20"/>
          <w:color w:val="auto"/>
        </w:rPr>
      </w:pPr>
      <w:r>
        <w:rPr>
          <w:rFonts w:ascii="Arial" w:cs="Arial" w:eastAsia="Arial" w:hAnsi="Arial"/>
          <w:sz w:val="18"/>
          <w:szCs w:val="18"/>
          <w:color w:val="auto"/>
        </w:rPr>
        <w:t>On October 18, 2005, the date of the distribution, the Company granted 777,500 shares of restricted stock and 2,206,500 stock options to certain employees and directors. These awards vest over a four year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ind w:right="120" w:firstLine="222"/>
        <w:spacing w:after="0" w:line="270" w:lineRule="auto"/>
        <w:rPr>
          <w:sz w:val="20"/>
          <w:szCs w:val="20"/>
          <w:color w:val="auto"/>
        </w:rPr>
      </w:pPr>
      <w:r>
        <w:rPr>
          <w:rFonts w:ascii="Arial" w:cs="Arial" w:eastAsia="Arial" w:hAnsi="Arial"/>
          <w:sz w:val="17"/>
          <w:szCs w:val="17"/>
          <w:color w:val="auto"/>
        </w:rPr>
        <w:t>The statements contained in this Quarterly Report on Form 10-Q that are not purely historical are forward-looking statements within the meaning of Section 27A of the Securities Act of 1933 and Section 21E of the Securities Exchange Act of 1934,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general economic and business conditions, including interest rate fluctuations and general volatility in the capital markets; changes in the performance of the real estate markets; the impact of competitive products and pricing; success of operating initiatives; adverse publicity; the ability to identify businesses to be acquired; availability of qualified personnel; employee benefits costs and changes in, or the failure to comply with, government regulations and other risks detailed in our filings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are the largest title insurance company in the United States. Our title insurance underwriters — Fidelity National Title, Chicago Title, Ticor Title, Security Union Title and Alamo Title — together issue all of the Company’s title insurance policies in 49 states, the District of Columbia, Guam, Puerto Rico, the U.S. Virgin Islands, and in Canada and Mexico. We operate our business through a single segment, title and escrow, and do not generate significant revenue outside the United States.</w:t>
      </w:r>
    </w:p>
    <w:p>
      <w:pPr>
        <w:spacing w:after="0" w:line="79"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Prior to October 17, 2005, we were a wholly-owned subsidiary of FNF. On that date, FNF distributed shares of our Class A Common Stock representing 17.5% of our outstanding shares to its stockholders as a dividend. FNF continues to hold shares of our Class B Common Stock representing 82.5% of our outstanding stock and 97.9% of all voting rights of our common stock.</w:t>
      </w:r>
    </w:p>
    <w:p>
      <w:pPr>
        <w:spacing w:after="0" w:line="73"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Our historical financial statements include assets, liabilities, revenues and expenses directly attributable to our operations. Our historical financial statements reflect allocations of certain of our corporate expenses to FNF and FIS. These expenses have been allocated to FNF and FIS on a basis that management considers to reflect most fairly or reasonably the utilization of the services provided to or the benefit obtained by those businesses. These expense allocations to FNF and FIS reflect an allocation to us of a portion of the compensation of certain senior officers and other personnel of FNF who will not be our employees after the distribution but who historically provided services to us. Our historical financial statements do not reflect the debt or interest expense we might have incurred if we had been a stand-alone entity. In addition, we will incur other expenses, not reflected in our historical financial statements, as a result of being a separate publicly traded company. As a result, our historical financial statements do not necessarily reflect what our financial position or results of operations would have been if we had been operated as a stand-alone public entity during the periods covered, and may not be indicative of our future results of operations or financial position.</w:t>
      </w:r>
    </w:p>
    <w:p>
      <w:pPr>
        <w:spacing w:after="0" w:line="74"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Our historical financial statements reflect transactions with other businesses and operations of FNF that were not transferred to us, including those being conducted with FIS. See Note A to our Condensed Combined Financial Statements included herein.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620"/>
        <w:spacing w:after="0" w:line="402" w:lineRule="auto"/>
        <w:rPr>
          <w:sz w:val="20"/>
          <w:szCs w:val="20"/>
          <w:color w:val="auto"/>
        </w:rPr>
      </w:pPr>
      <w:r>
        <w:rPr>
          <w:rFonts w:ascii="Arial" w:cs="Arial" w:eastAsia="Arial" w:hAnsi="Arial"/>
          <w:sz w:val="18"/>
          <w:szCs w:val="18"/>
          <w:b w:val="1"/>
          <w:bCs w:val="1"/>
          <w:i w:val="1"/>
          <w:iCs w:val="1"/>
          <w:color w:val="auto"/>
        </w:rPr>
        <w:t xml:space="preserve">Comparisons of Three Month and Nine Month Periods ended September 30, 2005 and 2004 </w:t>
      </w:r>
      <w:r>
        <w:rPr>
          <w:rFonts w:ascii="Arial" w:cs="Arial" w:eastAsia="Arial" w:hAnsi="Arial"/>
          <w:sz w:val="18"/>
          <w:szCs w:val="18"/>
          <w:i w:val="1"/>
          <w:iCs w:val="1"/>
          <w:color w:val="auto"/>
        </w:rPr>
        <w:t>Results of Operations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center"/>
              <w:ind w:right="74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23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center"/>
              <w:ind w:right="72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23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2005</w:t>
            </w:r>
          </w:p>
        </w:tc>
        <w:tc>
          <w:tcPr>
            <w:tcW w:w="640" w:type="dxa"/>
            <w:vAlign w:val="bottom"/>
            <w:tcBorders>
              <w:top w:val="single" w:sz="8" w:color="auto"/>
              <w:bottom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82"/>
              </w:rPr>
              <w:t>(Unaudited)</w:t>
            </w: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2004</w:t>
            </w:r>
          </w:p>
        </w:tc>
        <w:tc>
          <w:tcPr>
            <w:tcW w:w="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2005</w:t>
            </w:r>
          </w:p>
        </w:tc>
        <w:tc>
          <w:tcPr>
            <w:tcW w:w="6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2"/>
              </w:rPr>
              <w:t>(Unaudited)</w:t>
            </w: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Direct title insurance premiums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626,178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504,356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1,643,574</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1,491,375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Agency title insurance premiums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779,117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761,712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2,083,317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2,110,142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Escrow and other title related fees</w:t>
            </w:r>
          </w:p>
        </w:tc>
        <w:tc>
          <w:tcPr>
            <w:tcW w:w="100" w:type="dxa"/>
            <w:vAlign w:val="bottom"/>
          </w:tcPr>
          <w:p>
            <w:pPr>
              <w:spacing w:after="0"/>
              <w:rPr>
                <w:sz w:val="18"/>
                <w:szCs w:val="18"/>
                <w:color w:val="auto"/>
              </w:rPr>
            </w:pP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324,910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265,891</w:t>
            </w:r>
          </w:p>
        </w:tc>
        <w:tc>
          <w:tcPr>
            <w:tcW w:w="100" w:type="dxa"/>
            <w:vAlign w:val="bottom"/>
          </w:tcPr>
          <w:p>
            <w:pPr>
              <w:spacing w:after="0"/>
              <w:rPr>
                <w:sz w:val="18"/>
                <w:szCs w:val="18"/>
                <w:color w:val="auto"/>
              </w:rPr>
            </w:pPr>
          </w:p>
        </w:tc>
        <w:tc>
          <w:tcPr>
            <w:tcW w:w="1380" w:type="dxa"/>
            <w:vAlign w:val="bottom"/>
            <w:gridSpan w:val="2"/>
          </w:tcPr>
          <w:p>
            <w:pPr>
              <w:jc w:val="right"/>
              <w:ind w:right="568"/>
              <w:spacing w:after="0"/>
              <w:rPr>
                <w:sz w:val="20"/>
                <w:szCs w:val="20"/>
                <w:color w:val="auto"/>
              </w:rPr>
            </w:pPr>
            <w:r>
              <w:rPr>
                <w:rFonts w:ascii="Arial" w:cs="Arial" w:eastAsia="Arial" w:hAnsi="Arial"/>
                <w:sz w:val="18"/>
                <w:szCs w:val="18"/>
                <w:color w:val="auto"/>
              </w:rPr>
              <w:t>868,375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779,910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investment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31,636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17,386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77,066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Realized gains and losses, net</w:t>
            </w:r>
          </w:p>
        </w:tc>
        <w:tc>
          <w:tcPr>
            <w:tcW w:w="100" w:type="dxa"/>
            <w:vAlign w:val="bottom"/>
          </w:tcPr>
          <w:p>
            <w:pPr>
              <w:spacing w:after="0"/>
              <w:rPr>
                <w:sz w:val="18"/>
                <w:szCs w:val="18"/>
                <w:color w:val="auto"/>
              </w:rPr>
            </w:pP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3,583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8"/>
                <w:szCs w:val="18"/>
                <w:color w:val="auto"/>
              </w:rPr>
            </w:pPr>
          </w:p>
        </w:tc>
        <w:tc>
          <w:tcPr>
            <w:tcW w:w="1380" w:type="dxa"/>
            <w:vAlign w:val="bottom"/>
            <w:gridSpan w:val="2"/>
          </w:tcPr>
          <w:p>
            <w:pPr>
              <w:jc w:val="right"/>
              <w:ind w:right="568"/>
              <w:spacing w:after="0"/>
              <w:rPr>
                <w:sz w:val="20"/>
                <w:szCs w:val="20"/>
                <w:color w:val="auto"/>
              </w:rPr>
            </w:pPr>
            <w:r>
              <w:rPr>
                <w:rFonts w:ascii="Arial" w:cs="Arial" w:eastAsia="Arial" w:hAnsi="Arial"/>
                <w:sz w:val="18"/>
                <w:szCs w:val="18"/>
                <w:color w:val="auto"/>
              </w:rPr>
              <w:t>25,505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11,461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12,734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31,481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60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1,776,885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1,562,630</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4,729,318</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4,478,878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Personnel costs</w:t>
            </w:r>
          </w:p>
        </w:tc>
        <w:tc>
          <w:tcPr>
            <w:tcW w:w="100" w:type="dxa"/>
            <w:vAlign w:val="bottom"/>
          </w:tcPr>
          <w:p>
            <w:pPr>
              <w:spacing w:after="0"/>
              <w:rPr>
                <w:sz w:val="18"/>
                <w:szCs w:val="18"/>
                <w:color w:val="auto"/>
              </w:rPr>
            </w:pP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511,325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429,808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1,415,928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1,267,871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248,751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227,119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699,844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Agent commissions</w:t>
            </w:r>
          </w:p>
        </w:tc>
        <w:tc>
          <w:tcPr>
            <w:tcW w:w="100" w:type="dxa"/>
            <w:vAlign w:val="bottom"/>
          </w:tcPr>
          <w:p>
            <w:pPr>
              <w:spacing w:after="0"/>
              <w:rPr>
                <w:sz w:val="18"/>
                <w:szCs w:val="18"/>
                <w:color w:val="auto"/>
              </w:rPr>
            </w:pP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612,139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595,523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1,617,260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1,651,066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23,818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24,907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73,207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Provision for claim losses</w:t>
            </w:r>
          </w:p>
        </w:tc>
        <w:tc>
          <w:tcPr>
            <w:tcW w:w="100" w:type="dxa"/>
            <w:vAlign w:val="bottom"/>
          </w:tcPr>
          <w:p>
            <w:pPr>
              <w:spacing w:after="0"/>
              <w:rPr>
                <w:sz w:val="18"/>
                <w:szCs w:val="18"/>
                <w:color w:val="auto"/>
              </w:rPr>
            </w:pP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103,612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69,495</w:t>
            </w:r>
          </w:p>
        </w:tc>
        <w:tc>
          <w:tcPr>
            <w:tcW w:w="100" w:type="dxa"/>
            <w:vAlign w:val="bottom"/>
          </w:tcPr>
          <w:p>
            <w:pPr>
              <w:spacing w:after="0"/>
              <w:rPr>
                <w:sz w:val="18"/>
                <w:szCs w:val="18"/>
                <w:color w:val="auto"/>
              </w:rPr>
            </w:pPr>
          </w:p>
        </w:tc>
        <w:tc>
          <w:tcPr>
            <w:tcW w:w="1380" w:type="dxa"/>
            <w:vAlign w:val="bottom"/>
            <w:gridSpan w:val="2"/>
          </w:tcPr>
          <w:p>
            <w:pPr>
              <w:jc w:val="right"/>
              <w:ind w:right="568"/>
              <w:spacing w:after="0"/>
              <w:rPr>
                <w:sz w:val="20"/>
                <w:szCs w:val="20"/>
                <w:color w:val="auto"/>
              </w:rPr>
            </w:pPr>
            <w:r>
              <w:rPr>
                <w:rFonts w:ascii="Arial" w:cs="Arial" w:eastAsia="Arial" w:hAnsi="Arial"/>
                <w:sz w:val="18"/>
                <w:szCs w:val="18"/>
                <w:color w:val="auto"/>
              </w:rPr>
              <w:t>254,289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194,505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4,669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5,393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400"/>
              <w:spacing w:after="0"/>
              <w:rPr>
                <w:sz w:val="20"/>
                <w:szCs w:val="20"/>
                <w:color w:val="auto"/>
              </w:rPr>
            </w:pPr>
            <w:r>
              <w:rPr>
                <w:rFonts w:ascii="Arial" w:cs="Arial" w:eastAsia="Arial" w:hAnsi="Arial"/>
                <w:sz w:val="18"/>
                <w:szCs w:val="18"/>
                <w:color w:val="auto"/>
              </w:rPr>
              <w:t>Total expenses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1,504,314</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1,347,682</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4,065,921</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3,825,918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 and minority interest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272,571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214,948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663,397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102,137</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78,671</w:t>
            </w:r>
          </w:p>
        </w:tc>
        <w:tc>
          <w:tcPr>
            <w:tcW w:w="100" w:type="dxa"/>
            <w:vAlign w:val="bottom"/>
          </w:tcPr>
          <w:p>
            <w:pPr>
              <w:spacing w:after="0"/>
              <w:rPr>
                <w:sz w:val="18"/>
                <w:szCs w:val="18"/>
                <w:color w:val="auto"/>
              </w:rPr>
            </w:pPr>
          </w:p>
        </w:tc>
        <w:tc>
          <w:tcPr>
            <w:tcW w:w="1380" w:type="dxa"/>
            <w:vAlign w:val="bottom"/>
            <w:gridSpan w:val="2"/>
          </w:tcPr>
          <w:p>
            <w:pPr>
              <w:jc w:val="right"/>
              <w:ind w:right="568"/>
              <w:spacing w:after="0"/>
              <w:rPr>
                <w:sz w:val="20"/>
                <w:szCs w:val="20"/>
                <w:color w:val="auto"/>
              </w:rPr>
            </w:pPr>
            <w:r>
              <w:rPr>
                <w:rFonts w:ascii="Arial" w:cs="Arial" w:eastAsia="Arial" w:hAnsi="Arial"/>
                <w:sz w:val="18"/>
                <w:szCs w:val="18"/>
                <w:color w:val="auto"/>
              </w:rPr>
              <w:t>248,774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238,983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minority interest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170,434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136,277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414,623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8"/>
                <w:szCs w:val="18"/>
                <w:color w:val="auto"/>
              </w:rPr>
            </w:pPr>
          </w:p>
        </w:tc>
        <w:tc>
          <w:tcPr>
            <w:tcW w:w="1380" w:type="dxa"/>
            <w:vAlign w:val="bottom"/>
            <w:gridSpan w:val="2"/>
          </w:tcPr>
          <w:p>
            <w:pPr>
              <w:jc w:val="right"/>
              <w:ind w:right="568"/>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169,734</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135,923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412,631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Total revenues for the third quarter of 2005 increased $214.3 million or 13.7% to $1,776.9 million. Total revenues for the first nine months of 2005 increased $250.4 million to $4,729.3 million.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title insurance premiums for the three and nine-month periods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6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w w:val="94"/>
              </w:rPr>
              <w:t>Nine months ended September 30,</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2"/>
                <w:szCs w:val="12"/>
                <w:color w:val="auto"/>
              </w:rPr>
            </w:pPr>
          </w:p>
        </w:tc>
        <w:tc>
          <w:tcPr>
            <w:tcW w:w="8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2"/>
                <w:szCs w:val="12"/>
                <w:color w:val="auto"/>
              </w:rPr>
            </w:pPr>
          </w:p>
        </w:tc>
        <w:tc>
          <w:tcPr>
            <w:tcW w:w="8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360" w:type="dxa"/>
            <w:vAlign w:val="bottom"/>
            <w:gridSpan w:val="3"/>
          </w:tcPr>
          <w:p>
            <w:pPr>
              <w:jc w:val="right"/>
              <w:ind w:right="334"/>
              <w:spacing w:after="0" w:line="142" w:lineRule="exact"/>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360" w:type="dxa"/>
            <w:vAlign w:val="bottom"/>
            <w:gridSpan w:val="2"/>
          </w:tcPr>
          <w:p>
            <w:pPr>
              <w:jc w:val="right"/>
              <w:ind w:right="434"/>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Title premiums from</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direct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626,178</w:t>
            </w:r>
          </w:p>
        </w:tc>
        <w:tc>
          <w:tcPr>
            <w:tcW w:w="146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504,356</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$ 1,643,574</w:t>
            </w:r>
          </w:p>
        </w:tc>
        <w:tc>
          <w:tcPr>
            <w:tcW w:w="150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44.1%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$ 1,491,375</w:t>
            </w:r>
          </w:p>
        </w:tc>
        <w:tc>
          <w:tcPr>
            <w:tcW w:w="4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w:t>
            </w: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auto"/>
              </w:rPr>
              <w:t>Title premiums from</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280" w:type="dxa"/>
            <w:vAlign w:val="bottom"/>
          </w:tcPr>
          <w:p>
            <w:pPr>
              <w:ind w:left="220"/>
              <w:spacing w:after="0"/>
              <w:rPr>
                <w:sz w:val="20"/>
                <w:szCs w:val="20"/>
                <w:color w:val="auto"/>
              </w:rPr>
            </w:pPr>
            <w:r>
              <w:rPr>
                <w:rFonts w:ascii="Arial" w:cs="Arial" w:eastAsia="Arial" w:hAnsi="Arial"/>
                <w:sz w:val="18"/>
                <w:szCs w:val="18"/>
                <w:color w:val="auto"/>
              </w:rPr>
              <w:t>agency operations</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779,117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88"/>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761,712</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60.2%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2,083,317</w:t>
            </w:r>
          </w:p>
        </w:tc>
        <w:tc>
          <w:tcPr>
            <w:tcW w:w="1500" w:type="dxa"/>
            <w:vAlign w:val="bottom"/>
            <w:gridSpan w:val="3"/>
          </w:tcPr>
          <w:p>
            <w:pPr>
              <w:jc w:val="right"/>
              <w:ind w:right="288"/>
              <w:spacing w:after="0"/>
              <w:rPr>
                <w:sz w:val="20"/>
                <w:szCs w:val="20"/>
                <w:color w:val="auto"/>
              </w:rPr>
            </w:pPr>
            <w:r>
              <w:rPr>
                <w:rFonts w:ascii="Arial" w:cs="Arial" w:eastAsia="Arial" w:hAnsi="Arial"/>
                <w:sz w:val="18"/>
                <w:szCs w:val="18"/>
                <w:color w:val="auto"/>
              </w:rPr>
              <w:t>55.9%</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2,110,142</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58.6%</w:t>
            </w:r>
          </w:p>
        </w:tc>
      </w:tr>
      <w:tr>
        <w:trPr>
          <w:trHeight w:val="27"/>
        </w:trPr>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1,405,295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1,266,068</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$ 3,726,891</w:t>
            </w:r>
          </w:p>
        </w:tc>
        <w:tc>
          <w:tcPr>
            <w:tcW w:w="150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100.0%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$ 3,601,517</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100.0%</w:t>
            </w:r>
          </w:p>
        </w:tc>
      </w:tr>
      <w:tr>
        <w:trPr>
          <w:trHeight w:val="20"/>
        </w:trPr>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Title insurance premiums increased 11.0% to $1,405.3 million in the third quarter of 2005 as compared with the third quarter of 2004. The increase was made up of a $121.8 million or 24.2% increase in direct premiums and a $17.4 million or 2.3% increase in premiums from agency operations. The increased level of direct title premiums is the result of an increase in closed order levels during the current year quarter as compared to the prior year period and we also experienced an increase in the average fee per file as compared with the prior year. The increase in closed order levels reflects an increased refinance market and a strong, stable purchase market. The increase in fee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per file is the result of the stronger purchase market in 2005 as compared with the third quarter of 2004, as purchase transactions typically have higher fees, as well as the appreciation of home prices over the past year. During the second quarter of 2005, we re-evaluated our method of estimation for accruing agency title revenues and commissions and refined the method which resulted in our recording approximately $50 million in additional agency revenue in the second quarter of 2005 than we would have under our prior method. The impact on net earnings of this adjustment was approximately $2 million. The increase in agency premiums as compared to an increase in direct premiums has a much smaller effect on profitability as our margins as a percentage of premiums for agency business are significantly lower than the margins realized from our direct operations due to commissions paid to our agents and other costs related to agency business.</w:t>
      </w:r>
    </w:p>
    <w:p>
      <w:pPr>
        <w:spacing w:after="0" w:line="81"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Trends in escrow and other title related fees are primarily related to title insurance activity generated by our direct operations. Escrow and other title related fees during the third quarters of 2005 and 2004 fluctuated in a pattern generally consistent with the fluctuation in direct title insurance premiums and order counts. Escrow and other title related fees were $324.9 million and $265.9 million for the third quarters of 2005 and 2004, respectively and $868.4 million and $779.9 million for the first nine months of 2005 and 2004, respectively.</w:t>
      </w:r>
    </w:p>
    <w:p>
      <w:pPr>
        <w:spacing w:after="0" w:line="79"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Interest and investment income levels are primarily a function of securities markets, interest rates and the amount of cash available for investment. Interest and investment income in the third quarter of 2005 was $31.6 million, compared with $17.4 million in the third quarter of 2004, an increase of $14.3 million, or 82.0%. The increase in interest and investment income in the third quarter and first nine months of 2005 is due primarily to an increase in the short-term investment and fixed income asset base during the current year periods compared to the prior year and the increasing interest rate environment.</w:t>
      </w:r>
    </w:p>
    <w:p>
      <w:pPr>
        <w:spacing w:after="0" w:line="46"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Net realized gains for the third quarter were $3.6 million compared with net realized gains of $0.6 million for the corresponding period of the prior year. The increase was primarily the result of capital gains realized on a number of securities sold during the third quarter of 2005, which were offset by charges of approximately $6.9 million relating to the other than temporary impairment of two investments. The prior year quarter also had other than temporary impairment charges of approximately $6.2 million. Net realized gains for the first nine months of 2005 were $25.5 million as compared to $17.6 million for the same period of the prior year.</w:t>
      </w:r>
    </w:p>
    <w:p>
      <w:pPr>
        <w:spacing w:after="0" w:line="80"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Personnel costs include base salaries, commissions, benefits and bonuses paid to employees are one of our most significant operating expenses. Personnel costs totaled $511.3 million and $429.8 million for the third quarters of 2005 and 2004, respectively. Personnel costs as a percentage of total revenues from direct title premiums and escrow and other fees were 53.8% in the third quarter of 2005, and 55.8% for the third quarter of 2004. Personnel costs as a percentage of total revenues from direct title premiums and escrow and other fees were 56.4% for the first nine months of 2005, and 55.8% for the first nine months of 2004. Personnel costs have increased in the current period primarily due to a recent trend in salary increases relating to increased competition for top employees and the strong real estate environment.</w:t>
      </w:r>
    </w:p>
    <w:p>
      <w:pPr>
        <w:spacing w:after="0" w:line="85"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advertising expenses, general insurance and trade and notes receivable allowances. Other operating expenses totaled $248.8 million and $227.1 million for the third quarter of 2005 and 2004, respectively and $699.8 million and $640.3 million for the first nine months of 2005 and 2004, respectively.</w:t>
      </w:r>
    </w:p>
    <w:p>
      <w:pPr>
        <w:spacing w:after="0" w:line="63" w:lineRule="exact"/>
        <w:rPr>
          <w:sz w:val="20"/>
          <w:szCs w:val="20"/>
          <w:color w:val="auto"/>
        </w:rPr>
      </w:pPr>
    </w:p>
    <w:p>
      <w:pPr>
        <w:ind w:right="240" w:firstLine="215"/>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illustrates the relationship of agent premiums and agent commissions: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96"/>
              </w:rPr>
              <w:t>Three months ended September 30,</w:t>
            </w:r>
          </w:p>
        </w:tc>
        <w:tc>
          <w:tcPr>
            <w:tcW w:w="6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7"/>
          </w:tcPr>
          <w:p>
            <w:pPr>
              <w:jc w:val="right"/>
              <w:ind w:right="600"/>
              <w:spacing w:after="0"/>
              <w:rPr>
                <w:sz w:val="20"/>
                <w:szCs w:val="20"/>
                <w:color w:val="auto"/>
              </w:rPr>
            </w:pPr>
            <w:r>
              <w:rPr>
                <w:rFonts w:ascii="Arial" w:cs="Arial" w:eastAsia="Arial" w:hAnsi="Arial"/>
                <w:sz w:val="14"/>
                <w:szCs w:val="14"/>
                <w:b w:val="1"/>
                <w:bCs w:val="1"/>
                <w:color w:val="auto"/>
                <w:w w:val="97"/>
              </w:rPr>
              <w:t>Nine months ended September 30,</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1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1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ind w:left="240"/>
              <w:spacing w:after="0" w:line="142" w:lineRule="exact"/>
              <w:rPr>
                <w:sz w:val="20"/>
                <w:szCs w:val="20"/>
                <w:color w:val="auto"/>
              </w:rPr>
            </w:pPr>
            <w:r>
              <w:rPr>
                <w:rFonts w:ascii="Arial" w:cs="Arial" w:eastAsia="Arial" w:hAnsi="Arial"/>
                <w:sz w:val="14"/>
                <w:szCs w:val="14"/>
                <w:b w:val="1"/>
                <w:bCs w:val="1"/>
                <w:color w:val="auto"/>
                <w:w w:val="76"/>
              </w:rPr>
              <w:t>(Dollars</w:t>
            </w:r>
          </w:p>
        </w:tc>
        <w:tc>
          <w:tcPr>
            <w:tcW w:w="1220" w:type="dxa"/>
            <w:vAlign w:val="bottom"/>
            <w:gridSpan w:val="3"/>
          </w:tcPr>
          <w:p>
            <w:pPr>
              <w:jc w:val="right"/>
              <w:ind w:right="208"/>
              <w:spacing w:after="0" w:line="142"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(Dollars in thousands)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Agent premiums</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$ 779,117</w:t>
            </w:r>
          </w:p>
        </w:tc>
        <w:tc>
          <w:tcPr>
            <w:tcW w:w="130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100.0%</w:t>
            </w:r>
          </w:p>
        </w:tc>
        <w:tc>
          <w:tcPr>
            <w:tcW w:w="13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$ 761,712</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2,083,317</w:t>
            </w: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2,110,142</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100.0%</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Agent commissions</w:t>
            </w:r>
          </w:p>
        </w:tc>
        <w:tc>
          <w:tcPr>
            <w:tcW w:w="4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612,139</w:t>
            </w:r>
          </w:p>
        </w:tc>
        <w:tc>
          <w:tcPr>
            <w:tcW w:w="1300" w:type="dxa"/>
            <w:vAlign w:val="bottom"/>
            <w:gridSpan w:val="3"/>
          </w:tcPr>
          <w:p>
            <w:pPr>
              <w:jc w:val="right"/>
              <w:ind w:right="128"/>
              <w:spacing w:after="0"/>
              <w:rPr>
                <w:sz w:val="20"/>
                <w:szCs w:val="20"/>
                <w:color w:val="auto"/>
              </w:rPr>
            </w:pPr>
            <w:r>
              <w:rPr>
                <w:rFonts w:ascii="Arial" w:cs="Arial" w:eastAsia="Arial" w:hAnsi="Arial"/>
                <w:sz w:val="18"/>
                <w:szCs w:val="18"/>
                <w:color w:val="auto"/>
              </w:rPr>
              <w:t>78.6%</w:t>
            </w:r>
          </w:p>
        </w:tc>
        <w:tc>
          <w:tcPr>
            <w:tcW w:w="1360" w:type="dxa"/>
            <w:vAlign w:val="bottom"/>
            <w:gridSpan w:val="3"/>
          </w:tcPr>
          <w:p>
            <w:pPr>
              <w:jc w:val="right"/>
              <w:ind w:right="480"/>
              <w:spacing w:after="0"/>
              <w:rPr>
                <w:sz w:val="20"/>
                <w:szCs w:val="20"/>
                <w:color w:val="auto"/>
              </w:rPr>
            </w:pPr>
            <w:r>
              <w:rPr>
                <w:rFonts w:ascii="Arial" w:cs="Arial" w:eastAsia="Arial" w:hAnsi="Arial"/>
                <w:sz w:val="18"/>
                <w:szCs w:val="18"/>
                <w:color w:val="auto"/>
              </w:rPr>
              <w:t>595,523</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1,617,260</w:t>
            </w:r>
          </w:p>
        </w:tc>
        <w:tc>
          <w:tcPr>
            <w:tcW w:w="80" w:type="dxa"/>
            <w:vAlign w:val="bottom"/>
          </w:tcPr>
          <w:p>
            <w:pPr>
              <w:spacing w:after="0"/>
              <w:rPr>
                <w:sz w:val="18"/>
                <w:szCs w:val="18"/>
                <w:color w:val="auto"/>
              </w:rPr>
            </w:pP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1,651,066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78.2%</w:t>
            </w:r>
          </w:p>
        </w:tc>
      </w:tr>
      <w:tr>
        <w:trPr>
          <w:trHeight w:val="27"/>
        </w:trPr>
        <w:tc>
          <w:tcPr>
            <w:tcW w:w="1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1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$ 166,978</w:t>
            </w:r>
          </w:p>
        </w:tc>
        <w:tc>
          <w:tcPr>
            <w:tcW w:w="130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21.4%</w:t>
            </w:r>
          </w:p>
        </w:tc>
        <w:tc>
          <w:tcPr>
            <w:tcW w:w="13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$ 166,189</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466,057</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459,076</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r>
      <w:tr>
        <w:trPr>
          <w:trHeight w:val="20"/>
        </w:trPr>
        <w:tc>
          <w:tcPr>
            <w:tcW w:w="1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Net margin from agency title insurance premiums in the 2005 nine month period compared with 2004 increased as a percentage of total agency premiums due to the Company writing a higher percentage of policies in states where we pay lower commission rates.</w:t>
      </w:r>
    </w:p>
    <w:p>
      <w:pPr>
        <w:spacing w:after="0" w:line="62"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Depreciation and amortization was $23.8 million in the third quarter of 2005 as compared to $24.9 million in the third quarter of 2004 and $73.2 million in the nine month period of 2005 as compared to $69.1 million in the 2004 nine month period.</w:t>
      </w:r>
    </w:p>
    <w:p>
      <w:pPr>
        <w:spacing w:after="0" w:line="62" w:lineRule="exact"/>
        <w:rPr>
          <w:sz w:val="20"/>
          <w:szCs w:val="20"/>
          <w:color w:val="auto"/>
        </w:rPr>
      </w:pPr>
    </w:p>
    <w:p>
      <w:pPr>
        <w:ind w:right="40" w:firstLine="222"/>
        <w:spacing w:after="0" w:line="293" w:lineRule="auto"/>
        <w:rPr>
          <w:sz w:val="20"/>
          <w:szCs w:val="20"/>
          <w:color w:val="auto"/>
        </w:rPr>
      </w:pPr>
      <w:r>
        <w:rPr>
          <w:rFonts w:ascii="Arial" w:cs="Arial" w:eastAsia="Arial" w:hAnsi="Arial"/>
          <w:sz w:val="16"/>
          <w:szCs w:val="16"/>
          <w:color w:val="auto"/>
        </w:rPr>
        <w:t>The provision for claim losses includes an estimate of anticipated title and title related claims and escrow losses. The estimate of anticipated title and title related claims is accrued as a percentage of title premium revenue based on our historical loss experience and other relevant factors. We monitor our claims loss experience on a continual basis and adjust the provision for claim losses accordingly. The claim loss provision for title insurance was $103.6 million in the third quarter of 2005 as compared to $69.5 million in the third quarter of 2004. Our claim loss provision as a percentage of total title premiums was 7.4% and 5.5% in the third quarter of 2005 and 2004, respectively. The increase is attributable to higher than expected loss development, especially for individually significant claims, and a return to a more normalized environment with the volume of resale transactions exceeding the refinance transactions.</w:t>
      </w:r>
    </w:p>
    <w:p>
      <w:pPr>
        <w:spacing w:after="0" w:line="5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Interest expense was $4.7 million and $0.8 million in the third quarter of 2005 and 2004, respectively. The increase of $3.9 million relates primarily to an increase in average borrowings as compared to the prior year including the $650 million borrowed from FNF during the third quarter of 2005. Interest expense was $5.4 million and $3.1 million for the first nine months of 2005 and 2004, respectively.</w:t>
      </w:r>
    </w:p>
    <w:p>
      <w:pPr>
        <w:spacing w:after="0" w:line="73"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Income tax expense as a percentage of earnings before income taxes was 37.5% for the third quarter of 2005 and 36.6% for the third quarter of 2004. Income tax expense as a percentage of earnings before income taxes was 37.5% for the first nine months of 2005 and 36.6% for the first nine months of 2004. Income tax expense as a percentage of earnings before income taxes is attributable to our estimate of ultimate income tax liability, and changes in the characteristics of net earnings year to year.</w:t>
      </w:r>
    </w:p>
    <w:p>
      <w:pPr>
        <w:spacing w:after="0" w:line="79"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Net earnings were $169.7 million and $135.9 million for the third quarters of 2005 and 2004, respectively and $412.6 million and $413.2 million for the first nine months of 2005 and 2004,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Requirements</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Our cash requirements include operating expenses, taxes, payments of interest and principal on our debt, capital expenditures, business acquisitions and dividends on our common stock. We believe that all anticipated cash requirements for current operations will be met from internally generated funds, through cash dividends from subsidiaries, cash generated by investment securities and borrowings on existing credit facilities. Our short-term and long-term liquidity requirements are monitored regularly to ensure that we can meet our cash requirements. We forecast the daily needs of all of our subsidiaries and periodically review their short-term and long-term projected sources and uses of funds, as well as the asset, liability, investment and cash flow assumptions underlying these projections.</w:t>
      </w:r>
    </w:p>
    <w:p>
      <w:pPr>
        <w:spacing w:after="0" w:line="85"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Our insurance subsidiaries generate cash from premiums earned and their respective investment portfolios and these funds are adequate to satisfy the payments of claims and other liabilities. Due to the magnitude of our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investment portfolio in relation to our claim loss reserves, we do not specifically match durations of our investments to the cash outflows required to pay claims, but do manage outflows on a shorter time frame.</w:t>
      </w:r>
    </w:p>
    <w:p>
      <w:pPr>
        <w:spacing w:after="0" w:line="62" w:lineRule="exact"/>
        <w:rPr>
          <w:sz w:val="20"/>
          <w:szCs w:val="20"/>
          <w:color w:val="auto"/>
        </w:rPr>
      </w:pPr>
    </w:p>
    <w:p>
      <w:pPr>
        <w:ind w:right="60" w:firstLine="225"/>
        <w:spacing w:after="0" w:line="284" w:lineRule="auto"/>
        <w:rPr>
          <w:sz w:val="20"/>
          <w:szCs w:val="20"/>
          <w:color w:val="auto"/>
        </w:rPr>
      </w:pPr>
      <w:r>
        <w:rPr>
          <w:rFonts w:ascii="Arial" w:cs="Arial" w:eastAsia="Arial" w:hAnsi="Arial"/>
          <w:sz w:val="16"/>
          <w:szCs w:val="16"/>
          <w:color w:val="auto"/>
        </w:rPr>
        <w:t>Our two significant sources of internally generated funds are dividends and other payments from our subsidiaries. As a holding company, we will receive cash from our subsidiaries in the form of dividends and as reimbursement for operating and other administrative expenses we incur. The reimbursements will be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other distributions to us. As of December 31, 2004, $1,731.3 million of our net assets were restricted from dividend payments without prior approval from the relevant departments of insurance. During the remainder of 2005, our first tier title subsidiaries can pay or make distributions to us of approximately</w:t>
      </w:r>
    </w:p>
    <w:p>
      <w:pPr>
        <w:spacing w:after="0" w:line="5"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$89.1 million without prior regulatory approval. Our underwritten title companies collect revenue and pay operating expenses. However, they are not regulated to the same extent as our insurance subsidiaries.</w:t>
      </w:r>
    </w:p>
    <w:p>
      <w:pPr>
        <w:spacing w:after="0" w:line="76" w:lineRule="exact"/>
        <w:rPr>
          <w:sz w:val="20"/>
          <w:szCs w:val="20"/>
          <w:color w:val="auto"/>
        </w:rPr>
      </w:pPr>
    </w:p>
    <w:p>
      <w:pPr>
        <w:ind w:right="180" w:firstLine="225"/>
        <w:spacing w:after="0" w:line="312" w:lineRule="auto"/>
        <w:rPr>
          <w:sz w:val="20"/>
          <w:szCs w:val="20"/>
          <w:color w:val="auto"/>
        </w:rPr>
      </w:pPr>
      <w:r>
        <w:rPr>
          <w:rFonts w:ascii="Arial" w:cs="Arial" w:eastAsia="Arial" w:hAnsi="Arial"/>
          <w:sz w:val="16"/>
          <w:szCs w:val="16"/>
          <w:color w:val="auto"/>
        </w:rPr>
        <w:t>In the third quarter of 2005, we paid a cash dividend to FNF in the amount of $145 million. This dividend required prior regulatory approval, which was obtained. In August 2005 one of our subsidiaries that is not subject to regulatory limitations on dividend payments paid a dividend to FNF in the form of a promissory note having a principal amount of $150 million which was paid off in October 2005, using proceeds from the Company’s new credit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Prior to the distribution, on September 30, 2005, we issued two $250 million intercompany notes payable to FNF, with terms that mirror FNF’s existing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$250 million 7.30% public debentures due in August 2011 and $250 million 5.25% public debentures due in March 2013. Interest on each mirror note accrues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last date on which interest on the corresponding FNF notes was paid and at the same rate. The mirror notes mature on the maturity dates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corresponding FNF notes. Upon any acceleration of maturity of the FNF notes, whether upon redemption or an event of default of the FNF notes, we must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repay the corresponding mirror note. Following issuance of the intercompany notes, we filed a Registration Statement on Form S-4, pursuant to which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propose to make an exchange offer in which we would offer to exchange the outstanding FNF notes for notes we would issue having substantially the same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and deliver the FNF notes received to FNF to reduce the debt under the intercompany notes. We also entered into a credit agreement in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$400 million. On October 24, 2005, we borrowed $150 million under this facility and paid it to FNF in satisfaction of a $150 million intercompany note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issued by one of our subsidiaries to FNF in August 2005.</w:t>
      </w:r>
    </w:p>
    <w:p>
      <w:pPr>
        <w:spacing w:after="0" w:line="103"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Subsequent to September 30, 2005, on October 17, 2005, the Company entered into a Credit Agreement, dated as of October 17, 2005, with Bank of America, N.A. as Administrative Agent and Swing Line Lender, and the other financial institutions party thereto.</w:t>
      </w:r>
    </w:p>
    <w:p>
      <w:pPr>
        <w:spacing w:after="0" w:line="62" w:lineRule="exact"/>
        <w:rPr>
          <w:sz w:val="20"/>
          <w:szCs w:val="20"/>
          <w:color w:val="auto"/>
        </w:rPr>
      </w:pPr>
    </w:p>
    <w:p>
      <w:pPr>
        <w:jc w:val="both"/>
        <w:ind w:firstLine="222"/>
        <w:spacing w:after="0" w:line="255" w:lineRule="auto"/>
        <w:rPr>
          <w:sz w:val="20"/>
          <w:szCs w:val="20"/>
          <w:color w:val="auto"/>
        </w:rPr>
      </w:pPr>
      <w:r>
        <w:rPr>
          <w:rFonts w:ascii="Arial" w:cs="Arial" w:eastAsia="Arial" w:hAnsi="Arial"/>
          <w:sz w:val="18"/>
          <w:szCs w:val="18"/>
          <w:color w:val="auto"/>
        </w:rPr>
        <w:t>The Credit Agreement provides for a $400 million unsecured revolving credit facility maturing on the fifth anniversary of the closing date. Amounts under the revolving credit facility may be borrowed, repaid and reborrowed by the borrowers thereunder from time to time until the maturity of the revolving credit facility. Voluntary prepayment of the revolving credit facility under the Credit Agreement is permitted at any time without fee upon proper notice and subject to a minimum dollar requirement. Revolving loans under the credit facility bear interest at a variable rate based on either (i) the higher of (a) a rate per annum equal to one-half of one percent in excess of the Federal Reserve’s Federal Funds rate, or (b) Bank of America’s “prime rate;” or (ii) a rate per annum equal to the British Bankers Association LIBOR rate plus a margin of between .35%-1.25%, all in, depending on the Company’s then current public debt credit rating from the rating agencies.</w:t>
      </w:r>
    </w:p>
    <w:p>
      <w:pPr>
        <w:spacing w:after="0" w:line="81" w:lineRule="exact"/>
        <w:rPr>
          <w:sz w:val="20"/>
          <w:szCs w:val="20"/>
          <w:color w:val="auto"/>
        </w:rPr>
      </w:pPr>
    </w:p>
    <w:p>
      <w:pPr>
        <w:ind w:right="180" w:firstLine="222"/>
        <w:spacing w:after="0" w:line="257" w:lineRule="auto"/>
        <w:rPr>
          <w:sz w:val="20"/>
          <w:szCs w:val="20"/>
          <w:color w:val="auto"/>
        </w:rPr>
      </w:pPr>
      <w:r>
        <w:rPr>
          <w:rFonts w:ascii="Arial" w:cs="Arial" w:eastAsia="Arial" w:hAnsi="Arial"/>
          <w:sz w:val="18"/>
          <w:szCs w:val="18"/>
          <w:color w:val="auto"/>
        </w:rPr>
        <w:t>The Credit Agreement contains affirmative, negative and financial covenants customary for financings of this type, including, among other things, limits on the creation of liens, limits on the incurrence of indebtedness, restrictions on investments, and limitations on restricted payments and transactions with affiliates. The Credit Agreement requires the Company to maintain investment grade debt ratings, certain financial ratios related to liquidity and statutory surplus and certain levels of capitalization. The Credit Agreement also includes customary events of default for facilities of this type (with customary grace periods, as applicable) and provides that, upon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Credit Agreement shall automatically become immediately due and payable, and the lenders’ commitments will automatically terminate.</w:t>
      </w:r>
    </w:p>
    <w:p>
      <w:pPr>
        <w:spacing w:after="0" w:line="7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On October 24, 2005, the Company borrowed $150 million under this facility and paid it to FNF in satisfaction of a $150 million intercompany note issued by one of the Company’s subsidiaries to FNF in August 2005.</w:t>
      </w:r>
    </w:p>
    <w:p>
      <w:pPr>
        <w:spacing w:after="0" w:line="62"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We have agreed that, without FNF’s consent, we will not issue any shares of our capital stock or any rights, warrants or options to acquire our capital stock, if after giving effect to the issuances and considering all of the shares of our capital stock which may be acquired under the rights, warrants and options outstanding on the date of the issuance, FNF would not be eligible to consolidate our results of operations for tax purposes, would not receive favorable tax treatment of dividends paid by us or would not be able, if it so desired, to distribute the rest of our stock it holds to its stockholders in a tax-free distribution. These limits will generally enable FNF to continue to own at least 80% of our outstanding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conducting our operations, we routinely hold customers’ assets in escrow, pending completion of real estate transactions. Certain of these amounts are maintained in segregated bank accounts and have not been included in the Combined Balance Sheets. As a result of holding these customers’ assets in escrow, we have ongoing programs for realizing economic benefits during the year through favorable borrowing and vendor arrangements with various banks. There were no investments or loans outstanding as of September 30, 2005 related to these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have been no material changes in our critical accounting policies described in Form S-1 filed on September 27,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In December 2004, the FASB issued FASB Statement No. 123R (“SFAS No. 123R”), “Share-Based Payment,” which requires that compensation cost relating to share-based payments be recognized in FNT’s financial statements. During 2003, we adopted the fair value recognition provision of Statement of Financial Accounting Standards No. 123, “Accounting for Stock-Based Compensation” (“SFAS No. 123”), for stock-based employee compensation, effective as of the beginning of 2003. We had elected to use the prospective method of transition, as permitted by Statement of Financial Accounting Standards</w:t>
      </w:r>
    </w:p>
    <w:p>
      <w:pPr>
        <w:spacing w:after="0" w:line="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No. 148, “Accounting for Stock-Based Compensation — Transition and Disclosure” (“SFAS No. 148”). Under this method, stock-based employee compensation cost is recognized from the beginning of 2003 as if the fair value method of accounting had been used to account for all employee awards granted, modified, or settled in years beginning after December 31, 2002. SFAS No. 123R does not allow for the prospective method, but requires the recording of expense relating to the vesting of all unvested options beginning in the first quarter of 2006. Since we adopted SFAS No. 123 in 2003, the impact of recording additional expense in 2006 under SFAS No. 123R relating to options granted prior to January 1, 2003 is not significant.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 about Market Risk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have been no material changes in the market risks described in our Form S-1 filed on September 27,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We carried out an evaluation, under the supervision and with the participation of our principal executive officer and principal financial officer, of the effectiveness of the design and operation of our disclosure controls and procedures as of the end of the period covered by this report. Based on this evaluation, our principal executive officer and principal financial officer concluded that our disclosure controls and procedures are effective to provide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reasonable assurance that our disclosure controls and procedures will timely alert them to material information required to be included in our periodic SEC reports.</w:t>
      </w:r>
    </w:p>
    <w:p>
      <w:pPr>
        <w:spacing w:after="0" w:line="62"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occurred during our last fiscal quarter that have materially affected or are reasonably likely to materially affect our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the ordinary course of business, the Company is involved in various pending and threatened litigation matters related to its operations, some of which include claims for punitive or exemplary damages. The Company believes that no actions, other than those listed below, depart from customary litigation incidental to its business. As background to the disclosure below, please note the following:</w:t>
      </w:r>
    </w:p>
    <w:p>
      <w:pPr>
        <w:spacing w:after="0" w:line="73" w:lineRule="exact"/>
        <w:rPr>
          <w:sz w:val="20"/>
          <w:szCs w:val="20"/>
          <w:color w:val="auto"/>
        </w:rPr>
      </w:pPr>
    </w:p>
    <w:p>
      <w:pPr>
        <w:ind w:left="560" w:hanging="214"/>
        <w:spacing w:after="0" w:line="272" w:lineRule="auto"/>
        <w:tabs>
          <w:tab w:leader="none" w:pos="5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These matters raise difficult and complicated factual and legal issues and are subject to many uncertainties and complexities, including but not limited to the underlying facts of each matter, novel legal issues, variations between jurisdictions in which matters are being litigated, differences in 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83" w:lineRule="exact"/>
        <w:rPr>
          <w:rFonts w:ascii="Arial" w:cs="Arial" w:eastAsia="Arial" w:hAnsi="Arial"/>
          <w:sz w:val="17"/>
          <w:szCs w:val="17"/>
          <w:b w:val="1"/>
          <w:bCs w:val="1"/>
          <w:color w:val="auto"/>
        </w:rPr>
      </w:pPr>
    </w:p>
    <w:p>
      <w:pPr>
        <w:ind w:left="560" w:right="40" w:hanging="214"/>
        <w:spacing w:after="0" w:line="272" w:lineRule="auto"/>
        <w:tabs>
          <w:tab w:leader="none" w:pos="5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 general, the dollar amount of damages sought is not specified. In those cases where plaintiffs have made a specific statement with regard to monetary damages, they often specify damages just below a jurisdictional limit regardless of the facts of the case. This represents the maximum they can seek without risking removal from state court to federal court. In our experience, monetary demands in plaintiffs’ court pleadings bear little relation to the ultimate loss, if any, we may experience.</w:t>
      </w:r>
    </w:p>
    <w:p>
      <w:pPr>
        <w:spacing w:after="0" w:line="83" w:lineRule="exact"/>
        <w:rPr>
          <w:rFonts w:ascii="Arial" w:cs="Arial" w:eastAsia="Arial" w:hAnsi="Arial"/>
          <w:sz w:val="17"/>
          <w:szCs w:val="17"/>
          <w:b w:val="1"/>
          <w:bCs w:val="1"/>
          <w:color w:val="auto"/>
        </w:rPr>
      </w:pPr>
    </w:p>
    <w:p>
      <w:pPr>
        <w:ind w:left="560" w:right="40" w:hanging="214"/>
        <w:spacing w:after="0" w:line="259" w:lineRule="auto"/>
        <w:tabs>
          <w:tab w:leader="none" w:pos="5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For the reasons specified above, it is not possible to make meaningful estimates of the amount or range of loss that could result from these matters at this time. The Company reviews these matters on an on-going basis and follows the provisions of SFAS No. 5, “Accounting for Contingencies” when making accrual and disclosure decisions. When assessing reasonably possible and probable outcomes, the Company bases its decision on its assessment of the ultimate outcome following all appeals.</w:t>
      </w:r>
    </w:p>
    <w:p>
      <w:pPr>
        <w:spacing w:after="0" w:line="92" w:lineRule="exact"/>
        <w:rPr>
          <w:rFonts w:ascii="Arial" w:cs="Arial" w:eastAsia="Arial" w:hAnsi="Arial"/>
          <w:sz w:val="18"/>
          <w:szCs w:val="18"/>
          <w:b w:val="1"/>
          <w:bCs w:val="1"/>
          <w:color w:val="auto"/>
        </w:rPr>
      </w:pPr>
    </w:p>
    <w:p>
      <w:pPr>
        <w:ind w:left="560" w:right="360" w:hanging="214"/>
        <w:spacing w:after="0" w:line="277" w:lineRule="auto"/>
        <w:tabs>
          <w:tab w:leader="none" w:pos="5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 the opinion of the Company’s management, while some of these matters may be material to the Company’s operating results for any particular period if an unfavorable outcome results, none will have a material adverse effect on its overall financial condition.</w:t>
      </w:r>
    </w:p>
    <w:p>
      <w:pPr>
        <w:spacing w:after="0" w:line="62"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Several class actions are pending in Ohio, Pennsylvania and Florida alleging improper premiums were charged for title insurance. The cases allege that the named defendant companies failed to provide notice of premium discounts to consumers refinancing their mortgages, and failed to give discounts in refinancing transactions in violation of the filed rates. The actions seek refunds of the premiums charged and punitive damages. Recently the court’s order denying class certification in one of the Ohio actions was reversed and the case was remanded to the trial court for further proceedings. The Company has petitioned the Supreme Court of Ohio for review. The Company intends to vigorously defend the actions.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215"/>
        <w:spacing w:after="0" w:line="312" w:lineRule="auto"/>
        <w:rPr>
          <w:sz w:val="20"/>
          <w:szCs w:val="20"/>
          <w:color w:val="auto"/>
        </w:rPr>
      </w:pPr>
      <w:r>
        <w:rPr>
          <w:rFonts w:ascii="Arial" w:cs="Arial" w:eastAsia="Arial" w:hAnsi="Arial"/>
          <w:sz w:val="16"/>
          <w:szCs w:val="16"/>
          <w:color w:val="auto"/>
        </w:rPr>
        <w:t>A class action in California alleges that the Company violated the Real Estate Settlement Procedures Act (“RESPA”) and state law by giving favorable discounts or rates to builders and developers for escrow fees and requiring purchasers to use Chicago Title Insurance Company for escrow services. The action seeks refunds of the premiums charged and additional damages. The Company intends to vigorously defend this action.</w:t>
      </w:r>
    </w:p>
    <w:p>
      <w:pPr>
        <w:spacing w:after="0" w:line="39" w:lineRule="exact"/>
        <w:rPr>
          <w:sz w:val="20"/>
          <w:szCs w:val="20"/>
          <w:color w:val="auto"/>
        </w:rPr>
      </w:pPr>
    </w:p>
    <w:p>
      <w:pPr>
        <w:ind w:right="40" w:firstLine="215"/>
        <w:spacing w:after="0" w:line="290" w:lineRule="auto"/>
        <w:rPr>
          <w:sz w:val="20"/>
          <w:szCs w:val="20"/>
          <w:color w:val="auto"/>
        </w:rPr>
      </w:pPr>
      <w:r>
        <w:rPr>
          <w:rFonts w:ascii="Arial" w:cs="Arial" w:eastAsia="Arial" w:hAnsi="Arial"/>
          <w:sz w:val="16"/>
          <w:szCs w:val="16"/>
          <w:color w:val="auto"/>
        </w:rPr>
        <w:t>A shareholder derivative action was filed in Florida on February 11, 2005 alleging that the FNF’s directors and certain executive officers breached their fiduciary and other duties, and exposed FNF to potential fines, penalties and suits in the future, by permitting so called contingent commissions to obtain business. FNF and the directors and executive officers named as defendants filed Motions to Dismiss the action on June 3, 2005. The plaintiff abandoned his original complaint and responded to the motions by filing an amended Complaint on July 13, 2005, and FNF, along with the directors and executive officers named as defendants, have responded to the amended complaint. The amended complaint repeats the allegations of the original complaint and adds allegations about “captive reinsurance” programs, which FNF continues to believe were lawful. These “captive reinsurance” programs are the subject of investigations by several state departments of insurance and attorney generals. FNT has agreed to indemnify FNF in connection with this matter under the separation agreement that was entered into in connection with the distribution of FNT common stock. FNF intends to vigorously defend this action.</w:t>
      </w:r>
    </w:p>
    <w:p>
      <w:pPr>
        <w:spacing w:after="0" w:line="58" w:lineRule="exact"/>
        <w:rPr>
          <w:sz w:val="20"/>
          <w:szCs w:val="20"/>
          <w:color w:val="auto"/>
        </w:rPr>
      </w:pPr>
    </w:p>
    <w:p>
      <w:pPr>
        <w:jc w:val="both"/>
        <w:ind w:right="40" w:firstLine="225"/>
        <w:spacing w:after="0" w:line="375" w:lineRule="auto"/>
        <w:rPr>
          <w:sz w:val="20"/>
          <w:szCs w:val="20"/>
          <w:color w:val="auto"/>
        </w:rPr>
      </w:pPr>
      <w:r>
        <w:rPr>
          <w:rFonts w:ascii="Arial" w:cs="Arial" w:eastAsia="Arial" w:hAnsi="Arial"/>
          <w:sz w:val="15"/>
          <w:szCs w:val="15"/>
          <w:color w:val="auto"/>
        </w:rPr>
        <w:t>None of the cases described above includes a statement as to the dollar amount of damages demanded. Instead, each of the cases includes a demand in an amount to be proved at trial. Two of the Ohio cases state that the damages per class member are less than the jurisdictional limit for removal to federal court.</w:t>
      </w:r>
    </w:p>
    <w:p>
      <w:pPr>
        <w:spacing w:after="0" w:line="1"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We get inquiries and requests for information from state insurance departments, attorneys general and other regulatory agencies from time to time about various matters relating to our business. Sometimes these take the form of civil investigative subpoenas. We attempt to cooperate with all such inquiries. From time to time, we are assessed fines for violations of regulations or other matters or enter into settlements with such authorities which require us to pay money or take other actions.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the fall of 2004, the California Department of Insurance began an investigation into reinsurance practices in the title insurance industry.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February 2005 FNF was issued a subpoena to provide information to the California Department of Insurance as part of its investigation. This investigation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paralleled similar inquiries of the National Association of Insurance Commissioners, which began earlier in 2004. The investigations have focused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arrangements in which title insurers would write title insurance generated by realtors, developers and lenders and cede a portion of the premiums to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reinsurance company affiliate of the entity that generated the business.</w:t>
      </w:r>
    </w:p>
    <w:p>
      <w:pPr>
        <w:spacing w:after="0" w:line="103"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recently negotiated a settlement with the California Department of Insurance with respect to that department’s inquiry into these arrangements, which we refer to as captive reinsurance arrangements. Under the terms of the settlement, we will refund approximately $7.7 million to those consumers whose California property was subject to a captive reinsurance arrangement and we will pay a penalty of $5.6 million. We also recently entered into similar settlements with 15 other states, in which we agreed to refund a total of approximately $2 million to policyholders. Other state insurance departments and attorneys general and the U.S. Department of Housing and Urban Development (“HUD”) also have made formal or informal inquiries of us regarding these matters.</w:t>
      </w:r>
    </w:p>
    <w:p>
      <w:pPr>
        <w:spacing w:after="0" w:line="85" w:lineRule="exact"/>
        <w:rPr>
          <w:sz w:val="20"/>
          <w:szCs w:val="20"/>
          <w:color w:val="auto"/>
        </w:rPr>
      </w:pPr>
    </w:p>
    <w:p>
      <w:pPr>
        <w:ind w:right="180" w:firstLine="222"/>
        <w:spacing w:after="0" w:line="312" w:lineRule="auto"/>
        <w:rPr>
          <w:sz w:val="20"/>
          <w:szCs w:val="20"/>
          <w:color w:val="auto"/>
        </w:rPr>
      </w:pPr>
      <w:r>
        <w:rPr>
          <w:rFonts w:ascii="Arial" w:cs="Arial" w:eastAsia="Arial" w:hAnsi="Arial"/>
          <w:sz w:val="16"/>
          <w:szCs w:val="16"/>
          <w:color w:val="auto"/>
        </w:rPr>
        <w:t>We have been cooperating and intend to continue to cooperate with the other ongoing investigations. We have discontinued all captive reinsurance arrangements. The total amount of premiums we ceded to reinsurers was approximately $10 million over the existence of these agreements. The remaining investigations are continuing and we are currently unable to give any assurance regarding their consequences for the industry or for us.</w:t>
      </w:r>
    </w:p>
    <w:p>
      <w:pPr>
        <w:spacing w:after="0" w:line="39"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Additionally, we have received inquiries from regulators about our business involvement with title insurance agencies affiliated with builders, realtors and other traditional sources of title insurance business, some of which we have participated in forming as joint ventures with our company. These inquiries have focused on whether the placement of title insurance with us through these affiliated agencies is proper or an improper form of referral payment. Like most other title insurers, we participate in these affiliated business arrangements in a number of states. We recently entered into a settlement with the Florida Department of Financial Services under which we agreed to refund approximately $3 million in premiums received though these types of agencies in Florida and pay a</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fine of $1 million. The other pending inquiries are at an early stage and as a result we can give no assurance as to their likely outcome.</w:t>
      </w:r>
    </w:p>
    <w:p>
      <w:pPr>
        <w:spacing w:after="0" w:line="117"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color w:val="auto"/>
        </w:rPr>
        <w:t>Since 2004, our subsidiaries have received civil subpoenas and other inquiries from the New York State Attorney General, requesting information about our arrangements with agents and customers and other matters relating to, among other things, rates, calculation practices, use of blended rates in multi-state transactions, rebates and referral fees. These inquiries are at an early stage and as a result we can give no assurance as to their likely outcome.</w:t>
      </w:r>
    </w:p>
    <w:p>
      <w:pPr>
        <w:spacing w:after="0" w:line="39" w:lineRule="exact"/>
        <w:rPr>
          <w:sz w:val="20"/>
          <w:szCs w:val="20"/>
          <w:color w:val="auto"/>
        </w:rPr>
      </w:pPr>
    </w:p>
    <w:p>
      <w:pPr>
        <w:ind w:right="300" w:firstLine="225"/>
        <w:spacing w:after="0" w:line="259" w:lineRule="auto"/>
        <w:rPr>
          <w:sz w:val="20"/>
          <w:szCs w:val="20"/>
          <w:color w:val="auto"/>
        </w:rPr>
      </w:pPr>
      <w:r>
        <w:rPr>
          <w:rFonts w:ascii="Arial" w:cs="Arial" w:eastAsia="Arial" w:hAnsi="Arial"/>
          <w:sz w:val="18"/>
          <w:szCs w:val="18"/>
          <w:color w:val="auto"/>
        </w:rPr>
        <w:t>Finally, the California Department of Insurance has recently announced its intent to examine levels of pricing and competition in the title insurance industry in California, with a view to determining whether prices are too high and if so, implementing rate reductions. New York and Colorado insurance regulators have also announced similar inquiries and other states could follow. At this stage, the Company is unable to predict what the outcome will be of this or any similar review.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July 6, 2005, the Company filed a Form S-1 registration statement with the SEC (Registration No. 333-126402) for distribution of shares representing 17.5% of the outstanding common stock of the Company as a dividend to the shareholders of its parent FNF. This distribution was completed on October 17, 2005. Because this was not an offering for cash, there were no proceeds to the Company from the distribution of shares. The amount of expenses incurred in connection with the distribution was approximately $1.8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Exhibits: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ind w:left="76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120" w:type="dxa"/>
            <w:vAlign w:val="bottom"/>
            <w:vMerge w:val="restart"/>
          </w:tcPr>
          <w:p>
            <w:pPr>
              <w:ind w:left="42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96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960" w:type="dxa"/>
            <w:vAlign w:val="bottom"/>
          </w:tcPr>
          <w:p>
            <w:pPr>
              <w:ind w:left="106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w w:val="94"/>
              </w:rPr>
              <w:t>Amended and Restated Certificate of Incorporation dated October 12, 2005. Incorporated by reference to the Registrant’s</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current report on Form 8-K (File No. 1-32630) filed on October 19, 2005 as Exhibit 3.1.</w:t>
            </w:r>
          </w:p>
        </w:tc>
        <w:tc>
          <w:tcPr>
            <w:tcW w:w="0" w:type="dxa"/>
            <w:vAlign w:val="bottom"/>
          </w:tcPr>
          <w:p>
            <w:pPr>
              <w:spacing w:after="0"/>
              <w:rPr>
                <w:sz w:val="1"/>
                <w:szCs w:val="1"/>
                <w:color w:val="auto"/>
              </w:rPr>
            </w:pPr>
          </w:p>
        </w:tc>
      </w:tr>
      <w:tr>
        <w:trPr>
          <w:trHeight w:val="216"/>
        </w:trPr>
        <w:tc>
          <w:tcPr>
            <w:tcW w:w="1960" w:type="dxa"/>
            <w:vAlign w:val="bottom"/>
          </w:tcPr>
          <w:p>
            <w:pPr>
              <w:ind w:left="1060"/>
              <w:spacing w:after="0"/>
              <w:rPr>
                <w:sz w:val="20"/>
                <w:szCs w:val="20"/>
                <w:color w:val="auto"/>
              </w:rPr>
            </w:pPr>
            <w:r>
              <w:rPr>
                <w:rFonts w:ascii="Arial" w:cs="Arial" w:eastAsia="Arial" w:hAnsi="Arial"/>
                <w:sz w:val="18"/>
                <w:szCs w:val="18"/>
                <w:color w:val="auto"/>
              </w:rPr>
              <w:t>3.2</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Amended and Restated Bylaws of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10.1</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Separation Agreement, dated September 27, 2005 between FNF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10.2</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Corporate Services Agreement, dated September 27, 2005 between FNF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10.3</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Reverse Corporate Services Agreement, dated September 27, 2005 between FNF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10.4</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Tax Matters Agreement, dated September 27, 2005 between FNF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10.5</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Employee Matters Agreement, dated September 27, 2005 between FNF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10.6</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Registration Rights Agreement, dated September 27, 2005 between FNF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10.7</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Intellectual Property Cross License Agreement, dated September 27, 2005 between FNF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10.8</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Sublease Agreement dated September 27, 2005 between FNF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10.9</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Assignment, Assumption and Novation Agreement dated September 27, 2005 between FNF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10.10</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Corporate Services Agreement, dated September 27, 2005 between FIS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10.11</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Reverse Corporate Services Agreement, dated September 27, 2005 between FIS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10.12</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Starters Repository Access Agreement, dated September 27, 2005 between FIS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10.13</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Back Plant Repository Access Agreement, dated September 27, 2005 between FIS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10.14</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License and Services Agreement dated September 27, 2005 between FIS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10.15</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Lease Agreement, dated September 27, 2005 between FIS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10.16</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w w:val="99"/>
              </w:rPr>
              <w:t>Master Information Technology Services Agreement, dated September 27, 2005 between FIS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10.17</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w w:val="91"/>
              </w:rPr>
              <w:t>SoftPro Software License Agreement dated September 27, 2005 between Fidelity National Information Solutions, Inc. and the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10.18</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7.30% Mirror Note due 2011.**</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10.19</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5.25% Mirror Note due 2013.**</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10.20</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w w:val="92"/>
              </w:rPr>
              <w:t>Tax Sharing Agreement dated June 17, 1998 among Chicago Title Corporation, Chicago Title and Trust Company, Chicago</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Title Insurance Company, Ticor Title Insurance Company and Security Union Title Insurance Company.***</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10.21</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w w:val="92"/>
              </w:rPr>
              <w:t>Tax Sharing Agreement dated May 13, 2004 among Chicago Title and Trust Company, Chicago Title Insurance Company of</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Oregon and FNF.***</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10.22</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w w:val="92"/>
              </w:rPr>
              <w:t>Tax Sharing Agreement dated August 20, 2004 among Chicago Title and Trust Company, Ticor Title Insurance Company of</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Florida and FNF.***</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10.23</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w w:val="92"/>
              </w:rPr>
              <w:t>Tax Sharing Agreement dated January 31, 2005 among Alamo Title Holding Company, Alamo Title Insurance Company and</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FNF.***</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10.24</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w w:val="95"/>
              </w:rPr>
              <w:t>Tax Allocation Agreement dated December 13, 1999 among Fidelity National Title Insurance Company (as successor in</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w w:val="94"/>
              </w:rPr>
              <w:t>interest by merger with Fidelity National Title Insurance Company of New York), Nations Title Insurance Company of New</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York, Inc., and FNF.***</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10.25</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w w:val="94"/>
              </w:rPr>
              <w:t>Issuing Agency Contract dated as of July 22, 2004 between Chicago Title Insurance Company and LSI Title Company.***</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10.26</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w w:val="92"/>
              </w:rPr>
              <w:t>Issuing Agency Contract dated as of July 22, 2004 between Chicago Title Insurance Company and LSI Title Agency, Inc.***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10.27</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w w:val="94"/>
              </w:rPr>
              <w:t>Issuing Agency Contract dated as of July 22, 2004 between Chicago Title Insurance Company and Lender’s Service Title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Agency, Inc.***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10.28</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w w:val="93"/>
              </w:rPr>
              <w:t>Issuing Agency Contract dated as of August 9, 2004 between Chicago Title Insurance Company and LSI Alabama, LLC.***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10.29</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w w:val="92"/>
              </w:rPr>
              <w:t>Issuing Agency Contract dated as of February 8, 2005 between Chicago Title Insurance Company and LSI Title Company of</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Oregon, LLC.***</w:t>
            </w: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ind w:left="76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120" w:type="dxa"/>
            <w:vAlign w:val="bottom"/>
            <w:vMerge w:val="restart"/>
          </w:tcPr>
          <w:p>
            <w:pPr>
              <w:ind w:left="42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96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960" w:type="dxa"/>
            <w:vAlign w:val="bottom"/>
          </w:tcPr>
          <w:p>
            <w:pPr>
              <w:ind w:left="98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w w:val="93"/>
              </w:rPr>
              <w:t>Issuing Agency Contract dated as of September 28, 2004 between Fidelity National Title Insurance Company and LSI Title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3"/>
              </w:rPr>
              <w:t>Issuing Agency Contract dated as of September 28, 2004 between Fidelity National Title Insurance Company and LSI Title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Agency, Inc.***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3"/>
              </w:rPr>
              <w:t>Issuing Agency Contract dated as of September 28, 2004 between Fidelity National Title Insurance Company and Lender’s</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Service Title Agency, Inc.***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7"/>
              </w:rPr>
              <w:t>Issuing Agency Contract dated as of September 28, 2004 between Fidelity National Title Insurance Company and LSI</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Alabama, LLC.***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4"/>
              </w:rPr>
              <w:t>Issuing Agency Contract dated as of February 24, 2005 between Fidelity National Title Insurance Company and LSI Title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Company of Oregon, LLC.***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6"/>
              </w:rPr>
              <w:t>Transitional Cost Sharing Agreement dated as of April 14, 2005 by and among Chicago Title Insurance Company, FIS</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4"/>
              </w:rPr>
              <w:t>Management Services, LLC, Lender’s Service Title Agency, Inc., LSI Alabama, LLC, LSI Maryland, Inc., LSI Title Agency,</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Inc., LSI Title Company, and LSI Title Company of Oregon, LLC.***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2"/>
              </w:rPr>
              <w:t>Agreement for Sale of Title Plants dated January 4, 2005 between Ticor Title Company of Oregon and LSI Title Company of</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Oregon, LLC.***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0"/>
              </w:rPr>
              <w:t>Agreement For Sale of Plant Index and For Use of Computerized Title Plant Services dated as of December 20, 2004 between</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Chicago Title Insurance Company and LSI Title Agency, Inc.***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2"/>
              </w:rPr>
              <w:t>Title Plant Maintenance Agreement dated as of March 4, 2005 among Property Insight, LLC, Security Union Title Insurance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Company, Chicago Title Insurance Company and Ticor Title Insurance Company.***</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4"/>
              </w:rPr>
              <w:t>Title Plant Access Agreement dated March 4, 2005 between Rocky Mountain Support Services, Inc. and Property Insight,</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6"/>
              </w:rPr>
              <w:t>Title Plant Management Agreement dated as of May 17, 2005 between Property Insight, LLC and Ticor Title Insurance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Company of Florida.***</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8"/>
              </w:rPr>
              <w:t>Master Loan Agreement, dated December 28, 2000 among Chicago Title Insurance Company, Fidelity National Title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7"/>
              </w:rPr>
              <w:t>Insurance Company, Ticor Title Insurance Company, Alamo Title Insurance Company, Security Union Title Insurance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Company and FNF.***</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8"/>
              </w:rPr>
              <w:t>Master Loan Agreement dated February 10, 1999 among Chicago Title and Trust Company, Chicago Title Insurance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Company, Security Union Title Insurance Company and Ticor Title Insurance Company.***</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1"/>
              </w:rPr>
              <w:t>OTS and OTS Gold Software License Agreement dated as of March 4, 2005 between Rocky Mountain Support Services, Inc.</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and Fidelity National Tax Service, Inc.***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1"/>
              </w:rPr>
              <w:t>SIMON Software License Agreement dated as of March 4, 2005 between Rocky Mountain Support Services, Inc. and Fidelity</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National Tax Service, Inc.***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2"/>
              </w:rPr>
              <w:t>TEAM Software License Agreement dated as of March 4, 2005 between Rocky Mountain Support Services, Inc. and Fidelity</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National Tax Service, Inc.***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0"/>
              </w:rPr>
              <w:t>Cross Conveyance and Joint Ownership Agreement dated March 4, 2005 between Rocky Mountain Support Services, Inc. and</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LSI Title Company.***</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5"/>
              </w:rPr>
              <w:t>eLenderSolutions Software Development and Property Allocation Agreement dated as of March 4, 2005 between Rocky</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Mountain Support Services, Inc. and LSI Title Company.***</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4"/>
              </w:rPr>
              <w:t>Titlepoint Software Development and Property Allocation Agreement dated as of March 4, 2005 between Rocky Mountain</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Support Services, Inc. and Property Insight, LLC.***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Fidelity National Title Group, Inc. 2005 Omnibus Incentive Plan.*</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Fidelity National Title Group, Inc. Employee Stock Purchase Plan.*</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1"/>
              </w:rPr>
              <w:t>Form of Restricted Stock Grant Agreement incorporated by reference to the Registrant’s Registration Statement on Form S-1</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(File No. 333-126402) filed on September 15, 2005.</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5"/>
              </w:rPr>
              <w:t>Credit Agreement, dated October 17, 2005 between the Registrant, Bank of America, N.A., as Administrative Agent and</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2"/>
              </w:rPr>
              <w:t>Swing Line Lender, and certain agents and other lenders party thereto, incorporated by reference to the Registrant’s current</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report on Form 8-K (File No. 1-32630) filed on October 21, 2005 as Exhibit 10.1.</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3"/>
              </w:rPr>
              <w:t>Certification by Chief Executive Officer of Periodic Financial Reports pursuant to Section 906 of the Sarbanes-Oxley Act of</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2002, 18 U.S.C. Section 1350.*</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4"/>
              </w:rPr>
              <w:t>Certification by Chief Financial Officer of Periodic Financial Reports pursuant to Section 906 of the Sarbanes-Oxley Act of</w:t>
            </w:r>
          </w:p>
        </w:tc>
        <w:tc>
          <w:tcPr>
            <w:tcW w:w="0" w:type="dxa"/>
            <w:vAlign w:val="bottom"/>
          </w:tcPr>
          <w:p>
            <w:pPr>
              <w:spacing w:after="0"/>
              <w:rPr>
                <w:sz w:val="1"/>
                <w:szCs w:val="1"/>
                <w:color w:val="auto"/>
              </w:rPr>
            </w:pPr>
          </w:p>
        </w:tc>
      </w:tr>
      <w:tr>
        <w:trPr>
          <w:trHeight w:val="230"/>
        </w:trPr>
        <w:tc>
          <w:tcPr>
            <w:tcW w:w="1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2002, 18 U.S.C. Section 1350.*</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36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07"/>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the Registrant’s Registration Statement on Form S-4 (File No. 333-129310) filed on October 28, 2005.</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Incorporated by reference to the Registrant’s Registration Statement on Form S-1 (File No. 333-126402) filed on September 26, 2005.</w:t>
      </w:r>
    </w:p>
    <w:p>
      <w:pPr>
        <w:spacing w:after="0" w:line="102" w:lineRule="exact"/>
        <w:rPr>
          <w:rFonts w:ascii="Arial" w:cs="Arial" w:eastAsia="Arial" w:hAnsi="Arial"/>
          <w:sz w:val="18"/>
          <w:szCs w:val="18"/>
          <w:color w:val="auto"/>
        </w:rPr>
      </w:pPr>
    </w:p>
    <w:p>
      <w:pPr>
        <w:ind w:left="540" w:hanging="262"/>
        <w:spacing w:after="0"/>
        <w:tabs>
          <w:tab w:leader="none" w:pos="54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V — Valuation and Qualifying Accounts — Years ended December 31, 2004, 2003 and 2002.</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TITLE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Anthony J. Park</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Date: November 9, 2005</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120" w:type="dxa"/>
            <w:vAlign w:val="bottom"/>
          </w:tcPr>
          <w:p>
            <w:pPr>
              <w:ind w:left="27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47"/>
        </w:trPr>
        <w:tc>
          <w:tcPr>
            <w:tcW w:w="1960" w:type="dxa"/>
            <w:vAlign w:val="bottom"/>
          </w:tcPr>
          <w:p>
            <w:pPr>
              <w:ind w:left="76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1"/>
                <w:szCs w:val="21"/>
                <w:color w:val="auto"/>
              </w:rPr>
            </w:pPr>
          </w:p>
        </w:tc>
        <w:tc>
          <w:tcPr>
            <w:tcW w:w="9120" w:type="dxa"/>
            <w:vAlign w:val="bottom"/>
            <w:vMerge w:val="restart"/>
          </w:tcPr>
          <w:p>
            <w:pPr>
              <w:ind w:left="42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96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960" w:type="dxa"/>
            <w:vAlign w:val="bottom"/>
          </w:tcPr>
          <w:p>
            <w:pPr>
              <w:ind w:left="106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w w:val="94"/>
              </w:rPr>
              <w:t>Amended and Restated Certificate of Incorporation dated October 12, 2005. Incorporated by reference to the Registrant’s</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current report on Form 8-K (File No. 1-32630) filed on October 19, 2005 as Exhibit 3.1.</w:t>
            </w:r>
          </w:p>
        </w:tc>
        <w:tc>
          <w:tcPr>
            <w:tcW w:w="0" w:type="dxa"/>
            <w:vAlign w:val="bottom"/>
          </w:tcPr>
          <w:p>
            <w:pPr>
              <w:spacing w:after="0"/>
              <w:rPr>
                <w:sz w:val="1"/>
                <w:szCs w:val="1"/>
                <w:color w:val="auto"/>
              </w:rPr>
            </w:pPr>
          </w:p>
        </w:tc>
      </w:tr>
      <w:tr>
        <w:trPr>
          <w:trHeight w:val="216"/>
        </w:trPr>
        <w:tc>
          <w:tcPr>
            <w:tcW w:w="1960" w:type="dxa"/>
            <w:vAlign w:val="bottom"/>
          </w:tcPr>
          <w:p>
            <w:pPr>
              <w:ind w:left="1060"/>
              <w:spacing w:after="0"/>
              <w:rPr>
                <w:sz w:val="20"/>
                <w:szCs w:val="20"/>
                <w:color w:val="auto"/>
              </w:rPr>
            </w:pPr>
            <w:r>
              <w:rPr>
                <w:rFonts w:ascii="Arial" w:cs="Arial" w:eastAsia="Arial" w:hAnsi="Arial"/>
                <w:sz w:val="18"/>
                <w:szCs w:val="18"/>
                <w:color w:val="auto"/>
              </w:rPr>
              <w:t>3.2</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Amended and Restated Bylaws of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10.1</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Separation Agreement, dated September 27, 2005 between FNF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10.2</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Corporate Services Agreement, dated September 27, 2005 between FNF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10.3</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Reverse Corporate Services Agreement, dated September 27, 2005 between FNF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10.4</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Tax Matters Agreement, dated September 27, 2005 between FNF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10.5</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Employee Matters Agreement, dated September 27, 2005 between FNF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10.6</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Registration Rights Agreement, dated September 27, 2005 between FNF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10.7</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Intellectual Property Cross License Agreement, dated September 27, 2005 between FNF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10.8</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Sublease Agreement dated September 27, 2005 between FNF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10.9</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Assignment, Assumption and Novation Agreement dated September 27, 2005 between FNF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10.10</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Corporate Services Agreement, dated September 27, 2005 between FIS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10.11</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Reverse Corporate Services Agreement, dated September 27, 2005 between FIS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10.12</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Starters Repository Access Agreement, dated September 27, 2005 between FIS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10.13</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Back Plant Repository Access Agreement, dated September 27, 2005 between FIS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10.14</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License and Services Agreement dated September 27, 2005 between FIS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10.15</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Lease Agreement, dated September 27, 2005 between FIS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10.16</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w w:val="99"/>
              </w:rPr>
              <w:t>Master Information Technology Services Agreement, dated September 27, 2005 between FIS and the 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10.17</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w w:val="91"/>
              </w:rPr>
              <w:t>SoftPro Software License Agreement dated September 27, 2005 between Fidelity National Information Solutions, Inc. and the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10.18</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7.30% Mirror Note due 2011.**</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10.19</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5.25% Mirror Note due 2013.**</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10.20</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w w:val="92"/>
              </w:rPr>
              <w:t>Tax Sharing Agreement dated June 17, 1998 among Chicago Title Corporation, Chicago Title and Trust Company, Chicago</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Title Insurance Company, Ticor Title Insurance Company and Security Union Title Insurance Company.***</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10.21</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w w:val="92"/>
              </w:rPr>
              <w:t>Tax Sharing Agreement dated May 13, 2004 among Chicago Title and Trust Company, Chicago Title Insurance Company of</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Oregon and FNF.***</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10.22</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w w:val="92"/>
              </w:rPr>
              <w:t>Tax Sharing Agreement dated August 20, 2004 among Chicago Title and Trust Company, Ticor Title Insurance Company of</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Florida and FNF.***</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10.23</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w w:val="92"/>
              </w:rPr>
              <w:t>Tax Sharing Agreement dated January 31, 2005 among Alamo Title Holding Company, Alamo Title Insurance Company and</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FNF.***</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10.24</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w w:val="95"/>
              </w:rPr>
              <w:t>Tax Allocation Agreement dated December 13, 1999 among Fidelity National Title Insurance Company (as successor in</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w w:val="94"/>
              </w:rPr>
              <w:t>interest by merger with Fidelity National Title Insurance Company of New York), Nations Title Insurance Company of New</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York, Inc., and FNF.***</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10.25</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w w:val="94"/>
              </w:rPr>
              <w:t>Issuing Agency Contract dated as of July 22, 2004 between Chicago Title Insurance Company and LSI Title Company.***</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10.26</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w w:val="92"/>
              </w:rPr>
              <w:t>Issuing Agency Contract dated as of July 22, 2004 between Chicago Title Insurance Company and LSI Title Agency, Inc.***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10.27</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w w:val="94"/>
              </w:rPr>
              <w:t>Issuing Agency Contract dated as of July 22, 2004 between Chicago Title Insurance Company and Lender’s Service Title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Agency, Inc.***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10.28</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w w:val="93"/>
              </w:rPr>
              <w:t>Issuing Agency Contract dated as of August 9, 2004 between Chicago Title Insurance Company and LSI Alabama, LLC.***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10.29</w:t>
            </w: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w w:val="92"/>
              </w:rPr>
              <w:t>Issuing Agency Contract dated as of February 8, 2005 between Chicago Title Insurance Company and LSI Title Company of</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Oregon, LLC.***</w:t>
            </w:r>
          </w:p>
        </w:tc>
        <w:tc>
          <w:tcPr>
            <w:tcW w:w="0" w:type="dxa"/>
            <w:vAlign w:val="bottom"/>
          </w:tcPr>
          <w:p>
            <w:pPr>
              <w:spacing w:after="0"/>
              <w:rPr>
                <w:sz w:val="1"/>
                <w:szCs w:val="1"/>
                <w:color w:val="auto"/>
              </w:rPr>
            </w:pPr>
          </w:p>
        </w:tc>
      </w:tr>
      <w:tr>
        <w:trPr>
          <w:trHeight w:val="405"/>
        </w:trPr>
        <w:tc>
          <w:tcPr>
            <w:tcW w:w="1960" w:type="dxa"/>
            <w:vAlign w:val="bottom"/>
          </w:tcPr>
          <w:p>
            <w:pPr>
              <w:spacing w:after="0"/>
              <w:rPr>
                <w:sz w:val="24"/>
                <w:szCs w:val="24"/>
                <w:color w:val="auto"/>
              </w:rPr>
            </w:pPr>
          </w:p>
        </w:tc>
        <w:tc>
          <w:tcPr>
            <w:tcW w:w="9460" w:type="dxa"/>
            <w:vAlign w:val="bottom"/>
            <w:gridSpan w:val="2"/>
          </w:tcPr>
          <w:p>
            <w:pPr>
              <w:ind w:left="36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6"/>
        </w:trPr>
        <w:tc>
          <w:tcPr>
            <w:tcW w:w="19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ind w:left="76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120" w:type="dxa"/>
            <w:vAlign w:val="bottom"/>
            <w:vMerge w:val="restart"/>
          </w:tcPr>
          <w:p>
            <w:pPr>
              <w:ind w:left="42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96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960" w:type="dxa"/>
            <w:vAlign w:val="bottom"/>
          </w:tcPr>
          <w:p>
            <w:pPr>
              <w:ind w:left="98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w w:val="93"/>
              </w:rPr>
              <w:t>Issuing Agency Contract dated as of September 28, 2004 between Fidelity National Title Insurance Company and LSI Title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3"/>
              </w:rPr>
              <w:t>Issuing Agency Contract dated as of September 28, 2004 between Fidelity National Title Insurance Company and LSI Title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Agency, Inc.***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3"/>
              </w:rPr>
              <w:t>Issuing Agency Contract dated as of September 28, 2004 between Fidelity National Title Insurance Company and Lender’s</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Service Title Agency, Inc.***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7"/>
              </w:rPr>
              <w:t>Issuing Agency Contract dated as of September 28, 2004 between Fidelity National Title Insurance Company and LSI</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Alabama, LLC.***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4"/>
              </w:rPr>
              <w:t>Issuing Agency Contract dated as of February 24, 2005 between Fidelity National Title Insurance Company and LSI Title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Company of Oregon, LLC.***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6"/>
              </w:rPr>
              <w:t>Transitional Cost Sharing Agreement dated as of April 14, 2005 by and among Chicago Title Insurance Company, FIS</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4"/>
              </w:rPr>
              <w:t>Management Services, LLC, Lender’s Service Title Agency, Inc., LSI Alabama, LLC, LSI Maryland, Inc., LSI Title Agency,</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Inc., LSI Title Company, and LSI Title Company of Oregon, LLC.***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2"/>
              </w:rPr>
              <w:t>Agreement for Sale of Title Plants dated January 4, 2005 between Ticor Title Company of Oregon and LSI Title Company of</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Oregon, LLC.***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0"/>
              </w:rPr>
              <w:t>Agreement For Sale of Plant Index and For Use of Computerized Title Plant Services dated as of December 20, 2004 between</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Chicago Title Insurance Company and LSI Title Agency, Inc.***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2"/>
              </w:rPr>
              <w:t>Title Plant Maintenance Agreement dated as of March 4, 2005 among Property Insight, LLC, Security Union Title Insurance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Company, Chicago Title Insurance Company and Ticor Title Insurance Company.***</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4"/>
              </w:rPr>
              <w:t>Title Plant Access Agreement dated March 4, 2005 between Rocky Mountain Support Services, Inc. and Property Insight,</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6"/>
              </w:rPr>
              <w:t>Title Plant Management Agreement dated as of May 17, 2005 between Property Insight, LLC and Ticor Title Insurance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Company of Florida.***</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8"/>
              </w:rPr>
              <w:t>Master Loan Agreement, dated December 28, 2000 among Chicago Title Insurance Company, Fidelity National Title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7"/>
              </w:rPr>
              <w:t>Insurance Company, Ticor Title Insurance Company, Alamo Title Insurance Company, Security Union Title Insurance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Company and FNF.***</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8"/>
              </w:rPr>
              <w:t>Master Loan Agreement dated February 10, 1999 among Chicago Title and Trust Company, Chicago Title Insurance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Company, Security Union Title Insurance Company and Ticor Title Insurance Company.***</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1"/>
              </w:rPr>
              <w:t>OTS and OTS Gold Software License Agreement dated as of March 4, 2005 between Rocky Mountain Support Services, Inc.</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and Fidelity National Tax Service, Inc.***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1"/>
              </w:rPr>
              <w:t>SIMON Software License Agreement dated as of March 4, 2005 between Rocky Mountain Support Services, Inc. and Fidelity</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National Tax Service, Inc.***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2"/>
              </w:rPr>
              <w:t>TEAM Software License Agreement dated as of March 4, 2005 between Rocky Mountain Support Services, Inc. and Fidelity</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National Tax Service, Inc.***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0"/>
              </w:rPr>
              <w:t>Cross Conveyance and Joint Ownership Agreement dated March 4, 2005 between Rocky Mountain Support Services, Inc. and</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LSI Title Company.***</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5"/>
              </w:rPr>
              <w:t>eLenderSolutions Software Development and Property Allocation Agreement dated as of March 4, 2005 between Rocky</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Mountain Support Services, Inc. and LSI Title Company.***</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4"/>
              </w:rPr>
              <w:t>Titlepoint Software Development and Property Allocation Agreement dated as of March 4, 2005 between Rocky Mountain</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Support Services, Inc. and Property Insight, LLC.***</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Fidelity National Title Group, Inc. 2005 Omnibus Incentive Plan.*</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Fidelity National Title Group, Inc. Employee Stock Purchase Plan.*</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1"/>
              </w:rPr>
              <w:t>Form of Restricted Stock Grant Agreement incorporated by reference to the Registrant’s Registration Statement on Form S-1</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(File No. 333-126402) filed on September 15, 2005.</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5"/>
              </w:rPr>
              <w:t>Credit Agreement, dated October 17, 2005 between the Registrant, Bank of America, N.A., as Administrative Agent and</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2"/>
              </w:rPr>
              <w:t>Swing Line Lender, and certain agents and other lenders party thereto, incorporated by reference to the Registrant’s current</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report on Form 8-K (File No. 1-32630) filed on October 21, 2005 as Exhibit 10.1.</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3"/>
              </w:rPr>
              <w:t>Certification by Chief Executive Officer of Periodic Financial Reports pursuant to Section 906 of the Sarbanes-Oxley Act of</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2002, 18 U.S.C. Section 1350.*</w:t>
            </w:r>
          </w:p>
        </w:tc>
        <w:tc>
          <w:tcPr>
            <w:tcW w:w="0" w:type="dxa"/>
            <w:vAlign w:val="bottom"/>
          </w:tcPr>
          <w:p>
            <w:pPr>
              <w:spacing w:after="0"/>
              <w:rPr>
                <w:sz w:val="1"/>
                <w:szCs w:val="1"/>
                <w:color w:val="auto"/>
              </w:rPr>
            </w:pPr>
          </w:p>
        </w:tc>
      </w:tr>
      <w:tr>
        <w:trPr>
          <w:trHeight w:val="216"/>
        </w:trPr>
        <w:tc>
          <w:tcPr>
            <w:tcW w:w="1960" w:type="dxa"/>
            <w:vAlign w:val="bottom"/>
          </w:tcPr>
          <w:p>
            <w:pPr>
              <w:ind w:left="98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4"/>
              </w:rPr>
              <w:t>Certification by Chief Financial Officer of Periodic Financial Reports pursuant to Section 906 of the Sarbanes-Oxley Act of</w:t>
            </w:r>
          </w:p>
        </w:tc>
        <w:tc>
          <w:tcPr>
            <w:tcW w:w="0" w:type="dxa"/>
            <w:vAlign w:val="bottom"/>
          </w:tcPr>
          <w:p>
            <w:pPr>
              <w:spacing w:after="0"/>
              <w:rPr>
                <w:sz w:val="1"/>
                <w:szCs w:val="1"/>
                <w:color w:val="auto"/>
              </w:rPr>
            </w:pPr>
          </w:p>
        </w:tc>
      </w:tr>
      <w:tr>
        <w:trPr>
          <w:trHeight w:val="230"/>
        </w:trPr>
        <w:tc>
          <w:tcPr>
            <w:tcW w:w="1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2002, 18 U.S.C. Section 1350.*</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36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07"/>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the Registrant’s Registration Statement on Form S-4 (File No. 333-129310) filed on October 28, 2005.</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Incorporated by reference to the Registrant’s Registration Statement on Form S-1 (File No. 333-126402) filed on September 26, 2005.</w:t>
      </w:r>
    </w:p>
    <w:p>
      <w:pPr>
        <w:sectPr>
          <w:pgSz w:w="11900" w:h="16838" w:orient="portrait"/>
          <w:cols w:equalWidth="0" w:num="1">
            <w:col w:w="11420"/>
          </w:cols>
          <w:pgMar w:left="240" w:top="419"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19" w:right="239" w:bottom="1440" w:gutter="0" w:footer="0" w:header="0"/>
          <w:type w:val="continuous"/>
        </w:sectPr>
      </w:pPr>
    </w:p>
    <w:bookmarkStart w:id="30" w:name="page31"/>
    <w:bookmarkEnd w:id="30"/>
    <w:p>
      <w:pPr>
        <w:jc w:val="right"/>
        <w:ind w:right="1779"/>
        <w:spacing w:after="0"/>
        <w:rPr>
          <w:sz w:val="20"/>
          <w:szCs w:val="20"/>
          <w:color w:val="auto"/>
        </w:rPr>
      </w:pPr>
      <w:r>
        <w:rPr>
          <w:rFonts w:ascii="Courier New" w:cs="Courier New" w:eastAsia="Courier New" w:hAnsi="Courier New"/>
          <w:sz w:val="18"/>
          <w:szCs w:val="18"/>
          <w:color w:val="auto"/>
        </w:rPr>
        <w:t>EXHIBIT 3.2</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AMENDED AND RESTATED BYLAWS OF</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FIDELITY NATIONAL TITLE GROUP,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AS ADOPTED ON SEPTEMBER 26, 2005</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OFFICES</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1.1. Registered Office. The registered office of Fidelity National Title Group, Inc. (the "Corporation") shall be in the City of Wilmington, County of New Castle, State of Delaware and the name and address of its registered agent is "The Corporation Trust Company," 1209 Orange Street, Wilmington, Delaware, 19801.</w:t>
      </w:r>
    </w:p>
    <w:p>
      <w:pPr>
        <w:spacing w:after="0" w:line="209" w:lineRule="exact"/>
        <w:rPr>
          <w:sz w:val="20"/>
          <w:szCs w:val="20"/>
          <w:color w:val="auto"/>
        </w:rPr>
      </w:pPr>
    </w:p>
    <w:p>
      <w:pPr>
        <w:ind w:right="2099" w:firstLine="1896"/>
        <w:spacing w:after="0" w:line="237" w:lineRule="auto"/>
        <w:rPr>
          <w:sz w:val="20"/>
          <w:szCs w:val="20"/>
          <w:color w:val="auto"/>
        </w:rPr>
      </w:pPr>
      <w:r>
        <w:rPr>
          <w:rFonts w:ascii="Courier New" w:cs="Courier New" w:eastAsia="Courier New" w:hAnsi="Courier New"/>
          <w:sz w:val="18"/>
          <w:szCs w:val="18"/>
          <w:color w:val="auto"/>
        </w:rPr>
        <w:t>Section 1.2. Other Offices. The Corporation may also have offices at such other places both within and without the State of Delaware as the Board of Directors of the Corporation (the "Board of Directors") may from time to time determine.</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MEETINGS OF STOCKHOLDERS</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2.1. Place of Meetings. Meetings of the stockholders for the election of directors or for any other purpose shall be held at such time and place, either within or without the State of Delaware, as shall be designated from time to time by the Board of Directors and stated in the notice of the meeting or in a duly executed waiver of notice thereof.</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2.2. Annual Meetings. (a) The annual meetings of stockholders (the "Annual Meeting") shall be held on such date and at such time as shall be designated from time to time by the Board of Directors and stated in the notice of the meeting, at which meetings the stockholders, subject to the provisions of the Amended and Restated Certificate of Incorporation of the Corporation (the "Certificate of Incorporation"), shall elect by a plurality vote a Board of Directors, and transact such other business as may properly be brought before the meeting. Written notice of the Annual Meeting stating the place, date and hour of the meeting shall be given to each stockholder entitled to vote at such meeting not less than ten days nor more than sixty days before the date of the meeting.</w:t>
      </w:r>
    </w:p>
    <w:p>
      <w:pPr>
        <w:spacing w:after="0" w:line="216" w:lineRule="exact"/>
        <w:rPr>
          <w:sz w:val="20"/>
          <w:szCs w:val="20"/>
          <w:color w:val="auto"/>
        </w:rPr>
      </w:pPr>
    </w:p>
    <w:p>
      <w:pPr>
        <w:ind w:right="1779" w:firstLine="1904"/>
        <w:spacing w:after="0" w:line="237" w:lineRule="auto"/>
        <w:tabs>
          <w:tab w:leader="none" w:pos="231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business may be transacted at an Annual Meeting, other than business that is either (i) specified in the notice of meeting (or any supplement thereto) given by or at the direction of the Board of Directors (or any duly authorized committee thereof), (ii) otherwise properly brought before the Annual Meeting by or at the direction of the Board of Directors (or any duly authorized committee thereof) or (iii) otherwise properly brought before the Annual Meeting by any stockholder of the Corporation (A) who is a stockholder of record on the date of</w:t>
      </w:r>
    </w:p>
    <w:p>
      <w:pPr>
        <w:sectPr>
          <w:pgSz w:w="11900" w:h="16838" w:orient="portrait"/>
          <w:cols w:equalWidth="0" w:num="1">
            <w:col w:w="10219"/>
          </w:cols>
          <w:pgMar w:left="240" w:top="541" w:right="1440" w:bottom="1440" w:gutter="0" w:footer="0" w:header="0"/>
        </w:sectPr>
      </w:pPr>
    </w:p>
    <w:bookmarkStart w:id="31" w:name="page32"/>
    <w:bookmarkEnd w:id="31"/>
    <w:p>
      <w:pPr>
        <w:ind w:right="1779"/>
        <w:spacing w:after="0" w:line="279" w:lineRule="auto"/>
        <w:rPr>
          <w:sz w:val="20"/>
          <w:szCs w:val="20"/>
          <w:color w:val="auto"/>
        </w:rPr>
      </w:pPr>
      <w:r>
        <w:rPr>
          <w:rFonts w:ascii="Courier New" w:cs="Courier New" w:eastAsia="Courier New" w:hAnsi="Courier New"/>
          <w:sz w:val="16"/>
          <w:szCs w:val="16"/>
          <w:color w:val="auto"/>
        </w:rPr>
        <w:t>the giving of the notice provided for in this Section 2.2 and on the record date for the determination of stockholders entitled to vote at such Annual Meeting and (B) who complies with the notice procedures set forth in this Section 2.2.</w:t>
      </w:r>
    </w:p>
    <w:p>
      <w:pPr>
        <w:spacing w:after="0" w:line="178" w:lineRule="exact"/>
        <w:rPr>
          <w:sz w:val="20"/>
          <w:szCs w:val="20"/>
          <w:color w:val="auto"/>
        </w:rPr>
      </w:pPr>
    </w:p>
    <w:p>
      <w:pPr>
        <w:ind w:right="1779" w:firstLine="1904"/>
        <w:spacing w:after="0" w:line="269" w:lineRule="auto"/>
        <w:tabs>
          <w:tab w:leader="none" w:pos="2318"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any other applicable requirements, for business to be properly brought before an Annual Meeting by a stockholder, such stockholder must have given timely notice thereof in proper written form to the Secretary of the Corporation. To be timely, a stockholder's notice to the Secretary must be delivered to or mailed and received at the principal executive offices of the Corporation not less than one-hundred and twenty days prior to the anniversary date of the date of the proxy statement for the immediately preceding Annual Meeting; provided, however, that in the event that the Annual Meeting is called for a date that is not within thirty days before or after the anniversary date of the immediately preceding Annual Meeting, notice by the stockholder in order to be timely must be so received not later than the close of business on the tenth day following the day on which public disclosure of the date of the Annual Meeting was first made. To be in proper written form, a stockholder's notice to the Secretary must set forth as to each matter such stockholder proposes to bring before the Annual Meeting (i) a brief description of the business desired to be brought before the Annual Meeting and the reasons for conducting such business at the Annual Meeting, (ii) the name and record address of such stockholder, (iii) the class or series and number of shares of capital stock of the Corporation which are owned beneficially or of record by such stockholder, (iv) a description of all arrangements or understandings between such stockholder and any other person or persons (including their names) in connection with the proposal of such business by such stockholder and any material interest of such stockholder in such business and (v) a representation that such stockholder intends to appear in person or by proxy at the Annual Meeting to bring such business before the meeting.</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business shall be conducted at the Annual Meeting except business brought before the Annual Meeting in accordance with the procedures set forth in this Section 2.2, provided, however, that, once business has been properly brought before the Annual Meeting in accordance with such procedures, nothing in this Section 2.2 shall be deemed to preclude discussion by any stockholder of any such business. If the Chairman of an Annual Meeting determines that business was not properly brought before the Annual Meeting in accordance with the foregoing procedures, the Chairman shall declare to the meeting that the business was not properly brought before the meeting and such business shall not be discussed or transacted.</w:t>
      </w:r>
    </w:p>
    <w:p>
      <w:pPr>
        <w:spacing w:after="0" w:line="215"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2.3. Special Meetings. Unless otherwise prescribed by law or by the Certificate of Incorporation, Special Meetings of Stockholders ("Special Meetings"), for any purpose or purposes, may be called by the majority vote of the Board of Directors or by the Chief Executive Officer. Special Meetings may not be called by any other person or persons. Written notice of a Special Meeting stating the place, date and hour of the meeting and the purpose or purposes for which the meeting is called shall be given not less than ten days nor more than sixty days before the date of the meeting to each stockholder entitled to vote at such meeting.</w:t>
      </w:r>
    </w:p>
    <w:p>
      <w:pPr>
        <w:spacing w:after="0" w:line="214" w:lineRule="exact"/>
        <w:rPr>
          <w:sz w:val="20"/>
          <w:szCs w:val="20"/>
          <w:color w:val="auto"/>
        </w:rPr>
      </w:pPr>
    </w:p>
    <w:p>
      <w:pPr>
        <w:jc w:val="both"/>
        <w:ind w:right="2319" w:firstLine="1896"/>
        <w:spacing w:after="0" w:line="236" w:lineRule="auto"/>
        <w:rPr>
          <w:sz w:val="20"/>
          <w:szCs w:val="20"/>
          <w:color w:val="auto"/>
        </w:rPr>
      </w:pPr>
      <w:r>
        <w:rPr>
          <w:rFonts w:ascii="Courier New" w:cs="Courier New" w:eastAsia="Courier New" w:hAnsi="Courier New"/>
          <w:sz w:val="18"/>
          <w:szCs w:val="18"/>
          <w:color w:val="auto"/>
        </w:rPr>
        <w:t>Section 2.4. Quorum. Except as otherwise required by law, these Amended and Restated Bylaws (these "Bylaws") or by the Certificate of Incorporation, holders of a majority of</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20" w:right="1440" w:bottom="1440" w:gutter="0" w:footer="0" w:header="0"/>
        </w:sectPr>
      </w:pPr>
    </w:p>
    <w:bookmarkStart w:id="32" w:name="page33"/>
    <w:bookmarkEnd w:id="32"/>
    <w:p>
      <w:pPr>
        <w:ind w:right="1779"/>
        <w:spacing w:after="0" w:line="238" w:lineRule="auto"/>
        <w:rPr>
          <w:sz w:val="20"/>
          <w:szCs w:val="20"/>
          <w:color w:val="auto"/>
        </w:rPr>
      </w:pPr>
      <w:r>
        <w:rPr>
          <w:rFonts w:ascii="Courier New" w:cs="Courier New" w:eastAsia="Courier New" w:hAnsi="Courier New"/>
          <w:sz w:val="18"/>
          <w:szCs w:val="18"/>
          <w:color w:val="auto"/>
        </w:rPr>
        <w:t>the capital stock issued and entitled to vote thereat present in person or represented by proxy shall constitute a quorum at all meetings of the stockholders for the transaction of business.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noticed. If the adjournment is for more than thirty days, or if after the adjournment a new record date is fixed for the adjourned meeting, a notice of the adjourned meeting shall be given to each stockholder entitled to vote at the meeting.</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2.5. Voting. Unless otherwise required by law, the Certificate of Incorporation or these Bylaws, any question brought before any meeting of stockholders shall be decided by the vote of the holders of a majority of the stock represented and entitled to vote thereat. Such votes may be cast in person or by proxy but no proxy shall be voted on or after three years from its date, unless such proxy provides for a longer period. The Board of Directors, in its discretion, or the officer of the Corporation presiding at a meeting of stockholders, in his discretion, may require that any votes cast at such meeting shall be cast by written ballot.</w:t>
      </w:r>
    </w:p>
    <w:p>
      <w:pPr>
        <w:spacing w:after="0" w:line="214"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2.6. No Consent of Stockholders in Lieu of Meeting. Any action required or permitted to be taken at any annual or special meeting of stockholders may be taken only upon the vote of the stockholders at an annual or special meeting duly noticed and called, as provided in these Bylaws, and may not be taken by a written consent of the stockholders pursuant to the General Corporation Law of the State of Delaware (the "DGCL").</w:t>
      </w:r>
    </w:p>
    <w:p>
      <w:pPr>
        <w:spacing w:after="0" w:line="210"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2.7. List of Stockholders Entitled to Vote. The officer of the Corporation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of the Corporation who is present.</w:t>
      </w:r>
    </w:p>
    <w:p>
      <w:pPr>
        <w:spacing w:after="0" w:line="208" w:lineRule="exact"/>
        <w:rPr>
          <w:sz w:val="20"/>
          <w:szCs w:val="20"/>
          <w:color w:val="auto"/>
        </w:rPr>
      </w:pPr>
    </w:p>
    <w:p>
      <w:pPr>
        <w:ind w:right="1779" w:firstLine="1896"/>
        <w:spacing w:after="0" w:line="275" w:lineRule="auto"/>
        <w:rPr>
          <w:sz w:val="20"/>
          <w:szCs w:val="20"/>
          <w:color w:val="auto"/>
        </w:rPr>
      </w:pPr>
      <w:r>
        <w:rPr>
          <w:rFonts w:ascii="Courier New" w:cs="Courier New" w:eastAsia="Courier New" w:hAnsi="Courier New"/>
          <w:sz w:val="16"/>
          <w:szCs w:val="16"/>
          <w:color w:val="auto"/>
        </w:rPr>
        <w:t>Section 2.8. Stock Ledger. The stock ledger of the Corporation shall be the only evidence as to who are the stockholders entitled to examine the stock ledger, the list required by Section 2.7 hereof or the books of the Corporation, or to vote in person or by proxy at any meeting of stockholders.</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33" w:name="page34"/>
    <w:bookmarkEnd w:id="33"/>
    <w:p>
      <w:pPr>
        <w:ind w:left="35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3.1. Number and Election of Directors. (a) Subject to the rights, if any, of holders of preferred stock of the Corporation to elect directors of the Corporation, the Board of Directors shall consist of not less than one nor more than fourteen members with the exact number of directors to be determined from time to time exclusively by resolution duly adopted by the Board of Directors. Directors shall be elected by a plurality of the votes cast at the Annual Meeting, and, unless otherwise provided by the Certificate of Incorporation, each director so elected shall hold office until the Annual Meeting for the year in which his term expires and until his successor is duly elected and qualified, or until his earlier death, resignation, retirement, disqualification or removal. Any director may resign at any time effective upon giving written notice to the Corporation, unless the notice specifies a later time for the effectiveness of such resignation. Directors need not be stockholders.</w:t>
      </w:r>
    </w:p>
    <w:p>
      <w:pPr>
        <w:spacing w:after="0" w:line="208" w:lineRule="exact"/>
        <w:rPr>
          <w:sz w:val="20"/>
          <w:szCs w:val="20"/>
          <w:color w:val="auto"/>
        </w:rPr>
      </w:pPr>
    </w:p>
    <w:p>
      <w:pPr>
        <w:ind w:right="1779" w:firstLine="1904"/>
        <w:spacing w:after="0" w:line="270" w:lineRule="auto"/>
        <w:tabs>
          <w:tab w:leader="none" w:pos="231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Only persons who are nominated in accordance with the following procedures shall be eligible for election as directors of the Corporation, except as may be otherwise provided in the Certificate of Incorporation with respect to the right of holders of preferred stock of the Corporation to nominate and elect a specified number of directors in certain circumstances. Nominations of persons for election to the Board of Directors may be made at any Annual Meeting or at any Special Meeting called by a majority vote of the Board of Directors or by the Chief Executive Officer for the purpose of electing directors (i) by or at the direction of the Board of Directors (or any duly authorized committee thereof) or (ii) by any stockholder of the Corporation (A) who is a stockholder of record on the date of the giving of the notice provided for in this Section 3.1 and on the record date for the determination of stockholders entitled to vote at such Annual or Special Meeting and (B) who complies with the notice procedures set forth in this Section 3.1.</w:t>
      </w:r>
    </w:p>
    <w:p>
      <w:pPr>
        <w:spacing w:after="0" w:line="387" w:lineRule="exact"/>
        <w:rPr>
          <w:rFonts w:ascii="Courier New" w:cs="Courier New" w:eastAsia="Courier New" w:hAnsi="Courier New"/>
          <w:sz w:val="16"/>
          <w:szCs w:val="16"/>
          <w:color w:val="auto"/>
        </w:rPr>
      </w:pPr>
    </w:p>
    <w:p>
      <w:pPr>
        <w:ind w:right="1779" w:firstLine="1904"/>
        <w:spacing w:after="0" w:line="269" w:lineRule="auto"/>
        <w:tabs>
          <w:tab w:leader="none" w:pos="231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any other applicable requirements, for a nomination to be made by a stockholder, such stockholder must have given timely notice thereof in proper written form to the Secretary of the Corporation. To be timely, a stockholder's notice to the Secretary must be delivered to or mailed and received at the principal executive offices of the Corporation (i) in the case of an Annual Meeting, not less than one-hundred and twenty days prior to the anniversary date of the date of the proxy statement for the immediately preceding Annual Meeting; provided, however, that in the event that the Annual Meeting is called for a date that is not within thirty days before or after the anniversary date of the immediately preceding Annual Meeting, notice by the stockholder in order to be timely must be so received not later than the close of business on the tenth day following the day on which public disclosure of the date of the Annual Meeting was first made; and (ii) in the case of a Special Meeting called for the purpose of electing directors, not later than the close of business on the tenth day following the day on which public disclosure of the date of the Special Meeting was first made.</w:t>
      </w:r>
    </w:p>
    <w:p>
      <w:pPr>
        <w:spacing w:after="0" w:line="396" w:lineRule="exact"/>
        <w:rPr>
          <w:rFonts w:ascii="Courier New" w:cs="Courier New" w:eastAsia="Courier New" w:hAnsi="Courier New"/>
          <w:sz w:val="16"/>
          <w:szCs w:val="16"/>
          <w:color w:val="auto"/>
        </w:rPr>
      </w:pPr>
    </w:p>
    <w:p>
      <w:pPr>
        <w:ind w:right="1779" w:firstLine="1904"/>
        <w:spacing w:after="0" w:line="273" w:lineRule="auto"/>
        <w:tabs>
          <w:tab w:leader="none" w:pos="231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in proper written form, a stockholder's notice to the Secretary must set forth (i) as to each person whom the stockholder proposes to nominate for election as a director (A) the name, age, business address and residence address of the person, (B) the principal occupation or employment of the person, (C) the class or series and number of shares of capital</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14" w:right="1440" w:bottom="1440" w:gutter="0" w:footer="0" w:header="0"/>
        </w:sectPr>
      </w:pPr>
    </w:p>
    <w:bookmarkStart w:id="34" w:name="page35"/>
    <w:bookmarkEnd w:id="34"/>
    <w:p>
      <w:pPr>
        <w:ind w:right="1779"/>
        <w:spacing w:after="0" w:line="268" w:lineRule="auto"/>
        <w:rPr>
          <w:sz w:val="20"/>
          <w:szCs w:val="20"/>
          <w:color w:val="auto"/>
        </w:rPr>
      </w:pPr>
      <w:r>
        <w:rPr>
          <w:rFonts w:ascii="Courier New" w:cs="Courier New" w:eastAsia="Courier New" w:hAnsi="Courier New"/>
          <w:sz w:val="16"/>
          <w:szCs w:val="16"/>
          <w:color w:val="auto"/>
        </w:rPr>
        <w:t>stock of the Corporation which are owned beneficially or of record by the person and (D) any other information relating to the person that would be required to be disclosed in a proxy statement or other filing required to be made in connection with solicitations of proxies for election of directors pursuant to Section 14 of the Securities Exchange Act of 1934, as amended (the "Exchange Act"), and the rules and regulations promulgated thereunder; and (ii) as to the stockholder giving the notice (A) the name and record address of such stockholder, (B) the class or series and number of shares of capital stock of the Corporation which are owned beneficially or of record by such stockholder,</w:t>
      </w:r>
    </w:p>
    <w:p>
      <w:pPr>
        <w:spacing w:after="0" w:line="2" w:lineRule="exact"/>
        <w:rPr>
          <w:sz w:val="20"/>
          <w:szCs w:val="20"/>
          <w:color w:val="auto"/>
        </w:rPr>
      </w:pPr>
    </w:p>
    <w:p>
      <w:pPr>
        <w:ind w:right="1779" w:firstLine="8"/>
        <w:spacing w:after="0" w:line="268" w:lineRule="auto"/>
        <w:tabs>
          <w:tab w:leader="none" w:pos="42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description of all arrangements or understandings between such stockholder and each proposed nominee and any other person or persons (including their names) pursuant to which the nomination(s) are to be made by such stockholder,</w:t>
      </w:r>
    </w:p>
    <w:p>
      <w:pPr>
        <w:ind w:right="1879" w:firstLine="8"/>
        <w:spacing w:after="0" w:line="237"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representation that such stockholder intends to appear in person or by proxy at the Annual Meeting to nominate the persons named in its notice and (E) any other information relating to such stockholder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213"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person shall be eligible for election as a director of the Corporation unless nominated in accordance with the procedures set forth in this Section 3.1. If the Chairman of the meeting determines that a nomination was not made in accordance with the foregoing procedures, the Chairman shall declare to the meeting that the nomination was defective and such defective nomination shall be disregarded.</w:t>
      </w:r>
    </w:p>
    <w:p>
      <w:pPr>
        <w:spacing w:after="0" w:line="210"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Section 3.2. Vacancies. Any vacancy on the Board of Directors, however created, may be filled only by a majority of the directors then in office, though less than a quorum, or by a sole remaining director. Any director elected to fill a newly created directorship resulting from an increase in any class of directors shall hold office for a term that shall coincide with the remaining term of the other directors of that class. Any director elected to fill a vacancy not resulting from an increase in the number of directors shall have the same term as the remaining term of his predecessor.</w:t>
      </w:r>
    </w:p>
    <w:p>
      <w:pPr>
        <w:spacing w:after="0" w:line="186"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3.3. Duties and Powers. The business of the Corporation shall be managed by or under the direction of the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210" w:lineRule="exact"/>
        <w:rPr>
          <w:sz w:val="20"/>
          <w:szCs w:val="20"/>
          <w:color w:val="auto"/>
        </w:rPr>
      </w:pPr>
    </w:p>
    <w:p>
      <w:pPr>
        <w:ind w:right="1879" w:firstLine="1896"/>
        <w:spacing w:after="0" w:line="270" w:lineRule="auto"/>
        <w:rPr>
          <w:sz w:val="20"/>
          <w:szCs w:val="20"/>
          <w:color w:val="auto"/>
        </w:rPr>
      </w:pPr>
      <w:r>
        <w:rPr>
          <w:rFonts w:ascii="Courier New" w:cs="Courier New" w:eastAsia="Courier New" w:hAnsi="Courier New"/>
          <w:sz w:val="16"/>
          <w:szCs w:val="16"/>
          <w:color w:val="auto"/>
        </w:rPr>
        <w:t>Section 3.4. Meetings. The Board of Directors may hold meetings, both regular and special, either within or without the State of Delaware. Regular meetings of the Board of Directors may be held without notice at such time and at such place as may from time to time be determined by the Board of Directors. Special meetings of the Board of Directors may be called by the Chief Executive Officer, the Chairman, if there is one, the President, or any directors. Notice thereof stating the place, date and hour of the meeting shall be given to each director either by mail not less than forty-eight hours before the date of the meeting, by telephone or facsimile on twenty-four hours' notice, or on such shorter notice as the person or persons calling such meeting may deem necessary or appropriate in the circumstances.</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20" w:right="1440" w:bottom="1440" w:gutter="0" w:footer="0" w:header="0"/>
        </w:sectPr>
      </w:pPr>
    </w:p>
    <w:bookmarkStart w:id="35" w:name="page36"/>
    <w:bookmarkEnd w:id="35"/>
    <w:p>
      <w:pPr>
        <w:ind w:right="1779" w:firstLine="1896"/>
        <w:spacing w:after="0" w:line="237" w:lineRule="auto"/>
        <w:rPr>
          <w:sz w:val="20"/>
          <w:szCs w:val="20"/>
          <w:color w:val="auto"/>
        </w:rPr>
      </w:pPr>
      <w:r>
        <w:rPr>
          <w:rFonts w:ascii="Courier New" w:cs="Courier New" w:eastAsia="Courier New" w:hAnsi="Courier New"/>
          <w:sz w:val="18"/>
          <w:szCs w:val="18"/>
          <w:color w:val="auto"/>
        </w:rPr>
        <w:t>Section 3.5. Quorum. Except as may be otherwise specifically provided by law, the Certificate of Incorporation or these Bylaws, at all meetings of the Board of Directors, a majority of the entire Board of Directors shall constitute a quorum for the transaction of business and the act of a majority of the directors present at any meeting at which there is a quorum shall be the act of the Board of Directors. If a quorum shall not be present at any meeting of the Board of Directors, the directors present thereat may adjourn the meeting from time to time, without notice other than announcement at the meeting, until a quorum shall be present.</w:t>
      </w:r>
    </w:p>
    <w:p>
      <w:pPr>
        <w:spacing w:after="0" w:line="214"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3.6. Actions of Board. Unless otherwise provided by the Certificate of Incorporation or these Bylaws, any action required or permitted to be taken at any meeting of the Board of Directors or of any committee thereof may be taken without a meeting, if all the members of the Board of Directors or committee, as the case may be, consent thereto in writing, and the writing or writings are filed with the minutes of proceedings of the Board of Directors or committee.</w:t>
      </w:r>
    </w:p>
    <w:p>
      <w:pPr>
        <w:spacing w:after="0" w:line="211"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3.7. Meetings by Means of Conference Telephone. Unless otherwise provided by the Certificate of Incorporation or these Bylaws, members of the Board of Directors of the Corporation, or any committee designated by the Board of Directors, may participate in a meeting of the Board of Directors or such committee by means of a conference telephone or similar communications equipment by means of which all persons participating in the meeting can hear each other, and participation in a meeting pursuant to this Section 3.7 shall constitute presence in person at such meeting.</w:t>
      </w:r>
    </w:p>
    <w:p>
      <w:pPr>
        <w:spacing w:after="0" w:line="212"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3.8. Committees. The Board of Directors may, by resolution passed by a majority of the entire Board of Directors, designate one or more committees, each committee to consist of one or more of the directors of the Corporation. The Board of Directors may designate one or more directors as alternate members of any committee, who may replace any absent or disqualified member at any meeting of any such committee.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he or they constitute a quorum, may unanimously appoint another member of the Board of Directors to act at the meeting in the place of any absent or disqualified member. Any committee, to the extent allowed by law and provided in the resolution establishing such committee, shall have and may exercise all the powers and authority of the Board of Directors in the management of the business and affairs of the Corporation. Each committee shall keep regular minutes and report to the Board of Directors when required.</w:t>
      </w:r>
    </w:p>
    <w:p>
      <w:pPr>
        <w:spacing w:after="0" w:line="193"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3.9. Audit Committee. The Board of Directors, by resolution adopted by a majority of the whole Board of Directors, may designate three or more directors to constitute an Audit Committee, to serve as such until the next annual meeting of the Board of Directors or until their respective successors are designated. The audit committee will carry out its responsibilities as set forth in an audit committee charter to be adopted by the Board of Directors.</w:t>
      </w:r>
    </w:p>
    <w:p>
      <w:pPr>
        <w:spacing w:after="0" w:line="211"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Section 3.10. Compensation. At the discretion of the Board of Directors, the directors may be paid their expenses, if any, of attendance at each meeting of the Board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0" w:right="1440" w:bottom="1440" w:gutter="0" w:footer="0" w:header="0"/>
        </w:sectPr>
      </w:pPr>
    </w:p>
    <w:bookmarkStart w:id="36" w:name="page37"/>
    <w:bookmarkEnd w:id="36"/>
    <w:p>
      <w:pPr>
        <w:ind w:right="1999"/>
        <w:spacing w:after="0" w:line="237" w:lineRule="auto"/>
        <w:rPr>
          <w:sz w:val="20"/>
          <w:szCs w:val="20"/>
          <w:color w:val="auto"/>
        </w:rPr>
      </w:pPr>
      <w:r>
        <w:rPr>
          <w:rFonts w:ascii="Courier New" w:cs="Courier New" w:eastAsia="Courier New" w:hAnsi="Courier New"/>
          <w:sz w:val="18"/>
          <w:szCs w:val="18"/>
          <w:color w:val="auto"/>
        </w:rPr>
        <w:t>Directors and may be paid a fixed sum for attendance at each meeting of the Board of Directors or a stated salary as director. No such payment shall preclude any director from serving the Corporation in any other capacity and receiving compensation therefor. At the discretion of the Board of Directors, members of special or standing committees may be allowed like compensation for attending committee meetings.</w:t>
      </w:r>
    </w:p>
    <w:p>
      <w:pPr>
        <w:spacing w:after="0" w:line="210"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3.11. Interested Directors.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their votes are counted for such purpose if: (a) the material facts as to his or their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(b) the material facts as to his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393"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Section 3.12. Entire Board of Directors. As used in these Bylaws generally, the term "entire Board of Directors" means the total number of directors which the Corporation would have if there were no vacancies.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4.1. General. The officers of the Corporation shall be chosen by the Board of Directors and shall include a Chief Executive Officer, a President and a Secretary. The Board of Directors, in its discretion, may also appoint a Chairman of the Board of Directors (who must be a director), Chief Financial Officer, Assistant Chief Financial Officers, Controller, Treasurer, Assistant Treasurers and one or more Vice Presidents, Assistant Secretaries, and other officers, who shall have such authority and perform such duties as may be prescribed in such appointment. Any number of offices may be held by the same person, unless otherwise prohibited by law, the Certificate of Incorporation or these Bylaws. The officers of the Corporation need not be stockholders of the Corporation nor, except in the case of the Chairman of the Board of Directors, need such officers be directors of the Corporation.</w:t>
      </w:r>
    </w:p>
    <w:p>
      <w:pPr>
        <w:spacing w:after="0" w:line="391"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Section 4.2. Election. The Board of Directors at its first meeting held after each Annual Meeting of Stockholders shall elect the officers of the Corporation who shall hold their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sectPr>
      </w:pPr>
    </w:p>
    <w:bookmarkStart w:id="37" w:name="page38"/>
    <w:bookmarkEnd w:id="37"/>
    <w:p>
      <w:pPr>
        <w:ind w:right="1779"/>
        <w:spacing w:after="0" w:line="237" w:lineRule="auto"/>
        <w:rPr>
          <w:sz w:val="20"/>
          <w:szCs w:val="20"/>
          <w:color w:val="auto"/>
        </w:rPr>
      </w:pPr>
      <w:r>
        <w:rPr>
          <w:rFonts w:ascii="Courier New" w:cs="Courier New" w:eastAsia="Courier New" w:hAnsi="Courier New"/>
          <w:sz w:val="18"/>
          <w:szCs w:val="18"/>
          <w:color w:val="auto"/>
        </w:rPr>
        <w:t>offices for such terms and shall exercise such powers and perform such duties as shall be determined from time to time by the Board of Directors; and all officers of the Corporation shall hold office until their successors are chosen and qualified, or until their earlier resignation or removal. Any officer elected by the Board of Directors may be removed at any time by the affirmative vote of a majority of the Board of Directors. Any vacancy occurring in any office of the Corporation shall be filled by the Board of Directors. The salaries of all officers of the Corporation shall be fixed by the Board of Directors.</w:t>
      </w:r>
    </w:p>
    <w:p>
      <w:pPr>
        <w:spacing w:after="0" w:line="214"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4.3. Voting Securities Owned by the Corporation. Powers of attorney, proxies, waivers of notice of meeting, consents and other instruments relating to securities owned by the Corporation may be executed in the name of and on behalf of the Corporation by the Chief Executive Officer, the President or any Vice President and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207"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Section 4.4. Duties of Officers. The duties of the officers of the Corporation shall be as follows:</w:t>
      </w:r>
    </w:p>
    <w:p>
      <w:pPr>
        <w:spacing w:after="0" w:line="208" w:lineRule="exact"/>
        <w:rPr>
          <w:sz w:val="20"/>
          <w:szCs w:val="20"/>
          <w:color w:val="auto"/>
        </w:rPr>
      </w:pPr>
    </w:p>
    <w:p>
      <w:pPr>
        <w:ind w:right="1779" w:firstLine="1904"/>
        <w:spacing w:after="0" w:line="238" w:lineRule="auto"/>
        <w:tabs>
          <w:tab w:leader="none" w:pos="231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 The Chief Executive Officer shall, subject to the control of the Board of Directors, have general executive charge, management and control of the properties, business and operations of the Corporation with all such powers as may be reasonably incident to such responsibilities; and the Chief Executive Officer may agree upon and execute all leases, contracts, evidences of indebtedness and other obligations in the name of the Corporation and may sign all certificates for shares of capital stock of the Corporation. In the absence or disability of the Chairman of the Board of Directors, or if there is none, the Chief Executive Officer shall preside at all meetings of the stockholders and the Board of Directors. The Chief Executive Officer shall also perform such other duties and may exercise such other powers as from time to time may be assigned to him by these Bylaws or by the Board of Directors.</w:t>
      </w:r>
    </w:p>
    <w:p>
      <w:pPr>
        <w:spacing w:after="0" w:line="207"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of Directors. The Chairman of the Board of Directors, if there is one, shall preside at all meetings of the stockholders and of the Board of Directors. Except where by law the signature of the Chief Executive Officer or the President is required, the Chairman of the Board of Directors shall possess the same power as the Chief Executive Officer or the President to sign all contracts, certificates and other instruments of the Corporation which may be authorized by the Board of Directors. During the absence or disability of the Chief Executive Officer or the President, the Chairman of the Board of Directors shall exercise all the powers and discharge all the duties of the Chief Executive Officer or the President. The Chairman of the Board of Directors shall also perform such other duties and may exercise such other powers as from time to time may be assigned to him by these Bylaws or by the Board of Directors.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38" w:name="page39"/>
    <w:bookmarkEnd w:id="38"/>
    <w:p>
      <w:pPr>
        <w:ind w:left="-1200" w:right="1879" w:firstLine="1904"/>
        <w:spacing w:after="0" w:line="238" w:lineRule="auto"/>
        <w:tabs>
          <w:tab w:leader="none" w:pos="111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The President shall, subject to the control of the Board of Directors, the Chief Executive Officer, and, if there is one, the Chairman of the Board of Directors, have general supervision of the business of the Corporation and shall see that all orders and resolutions of the Board of Directors are carried into effect. He shall execute all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of Directors, the Chief Executive Officer, the Chairman of the Board of Directors or the President. In the absence or disability of the Chief Executive Officer and the Chairman of the Board of Directors, or if there is none, the President shall preside at all meetings of the stockholders and the Board of Directors. The President shall also perform such other duties and may exercise such other powers as from time to time may be assigned to him by these Bylaws or by the Board of Directors.</w:t>
      </w:r>
    </w:p>
    <w:p>
      <w:pPr>
        <w:spacing w:after="0" w:line="208" w:lineRule="exact"/>
        <w:rPr>
          <w:rFonts w:ascii="Courier New" w:cs="Courier New" w:eastAsia="Courier New" w:hAnsi="Courier New"/>
          <w:sz w:val="18"/>
          <w:szCs w:val="18"/>
          <w:color w:val="auto"/>
        </w:rPr>
      </w:pPr>
    </w:p>
    <w:p>
      <w:pPr>
        <w:ind w:left="-1200" w:right="1779" w:firstLine="1904"/>
        <w:spacing w:after="0" w:line="269" w:lineRule="auto"/>
        <w:tabs>
          <w:tab w:leader="none" w:pos="1118"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Secretary. The Secretary shall attend all meetings of the Board of Directors and all meetings of stockholders and record all the proceedings thereat in a book or books to be kept for that purpose; the Secretary shall also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the Chief Executive Officer or the President, under whose supervision he shall be. If the Secretary shall be unable or shall refuse to cause to be given notice of all meetings of the stockholders and special meetings of the Board of Directors, and if there is no Assistant Secretary, then either the Board of Directors, the Chief Executive Officer or the President may choose another officer to cause such notice to be given. The Secretary shall have custody of the seal of the Corporation and the Secretary or any Assistant Secretary, if there is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the affixing by his signature. The Secretary shall see that all books, reports, statements, certificates and other documents and records required by law to be kept or filed are properly kept or filed, as the case may be.</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1200" w:right="1779" w:firstLine="1904"/>
        <w:spacing w:after="0" w:line="237" w:lineRule="auto"/>
        <w:tabs>
          <w:tab w:leader="none" w:pos="111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Assistant Secretaries. Except as may be otherwise provided in these Bylaws, Assistant Secretaries, if there are any, shall perform such duties and have such powers as from time to time may be assigned to them by the Board of Directors, the Chief Executive Officer, the President, any Vice President, if there is one, or the Secretary, and in the absence of the Secretary or in the event of his disability or refusal to act, shall perform the duties of the Secretary, and when so acting, shall have all the powers of and be subject to all the restrictions upon the Secretary.</w:t>
      </w:r>
    </w:p>
    <w:p>
      <w:pPr>
        <w:spacing w:after="0" w:line="212" w:lineRule="exact"/>
        <w:rPr>
          <w:rFonts w:ascii="Courier New" w:cs="Courier New" w:eastAsia="Courier New" w:hAnsi="Courier New"/>
          <w:sz w:val="18"/>
          <w:szCs w:val="18"/>
          <w:color w:val="auto"/>
        </w:rPr>
      </w:pPr>
    </w:p>
    <w:p>
      <w:pPr>
        <w:ind w:left="-1200" w:right="1779" w:firstLine="1904"/>
        <w:spacing w:after="0" w:line="237" w:lineRule="auto"/>
        <w:tabs>
          <w:tab w:leader="none" w:pos="111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Financial Officer. The Chief Financial Officer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Chief Financial Officer shall disburse the funds of the Corporation as may be ordered by the Board of Directors, taking proper vouchers for such disbursements, and shall render to the Chief Executive Officer, the Chairman of the Board, the</w:t>
      </w:r>
    </w:p>
    <w:p>
      <w:pPr>
        <w:spacing w:after="0" w:line="208"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019"/>
          </w:cols>
          <w:pgMar w:left="1440" w:top="520" w:right="1440" w:bottom="1440" w:gutter="0" w:footer="0" w:header="0"/>
        </w:sectPr>
      </w:pPr>
    </w:p>
    <w:bookmarkStart w:id="39" w:name="page40"/>
    <w:bookmarkEnd w:id="39"/>
    <w:p>
      <w:pPr>
        <w:ind w:right="1879"/>
        <w:spacing w:after="0" w:line="237" w:lineRule="auto"/>
        <w:rPr>
          <w:sz w:val="20"/>
          <w:szCs w:val="20"/>
          <w:color w:val="auto"/>
        </w:rPr>
      </w:pPr>
      <w:r>
        <w:rPr>
          <w:rFonts w:ascii="Courier New" w:cs="Courier New" w:eastAsia="Courier New" w:hAnsi="Courier New"/>
          <w:sz w:val="18"/>
          <w:szCs w:val="18"/>
          <w:color w:val="auto"/>
        </w:rPr>
        <w:t>President and the Board of Directors, at its regular meetings or when the Board of Directors so requires, an account of all transactions as Chief Financial Officer and of the financial condition of the Corporation. The Chief Financial Officer shall perform such other duties as may from time to time be prescribed by the Board of Directors, the Chief Executive Officer, the Chairman of the Board or the President.</w:t>
      </w:r>
    </w:p>
    <w:p>
      <w:pPr>
        <w:spacing w:after="0" w:line="210" w:lineRule="exact"/>
        <w:rPr>
          <w:sz w:val="20"/>
          <w:szCs w:val="20"/>
          <w:color w:val="auto"/>
        </w:rPr>
      </w:pPr>
    </w:p>
    <w:p>
      <w:pPr>
        <w:ind w:right="1879" w:firstLine="1904"/>
        <w:spacing w:after="0" w:line="237" w:lineRule="auto"/>
        <w:tabs>
          <w:tab w:leader="none" w:pos="231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Assistant Chief Financial Officer. The Assistant Chief Financial Officer, or if there is more than one, the Assistant Chief Financial Officers, in the order determined by the Board of Directors (or if there is no such determination, then in the order of their election), shall, in the absence of the Chief Financial Officer or in the event of the Chief Financial Officer's inability or refusal to act, perform the duties and exercise the powers of the Chief Financial Officer and shall perform such other duties and have such other powers as may from time to time be prescribed by the Board of Directors, the Chief Executive Officer, the Chairman of the Board, the President or the Chief Financial Officer.</w:t>
      </w:r>
    </w:p>
    <w:p>
      <w:pPr>
        <w:spacing w:after="0" w:line="214"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Controller. The Board of Directors may elect a Controller who shall be responsible for all accounting and auditing functions of the Corporation and who shall perform such other duties as may from time to time be required of him by the Board of Directors.</w:t>
      </w:r>
    </w:p>
    <w:p>
      <w:pPr>
        <w:spacing w:after="0" w:line="207" w:lineRule="exact"/>
        <w:rPr>
          <w:rFonts w:ascii="Courier New" w:cs="Courier New" w:eastAsia="Courier New" w:hAnsi="Courier New"/>
          <w:sz w:val="18"/>
          <w:szCs w:val="18"/>
          <w:color w:val="auto"/>
        </w:rPr>
      </w:pPr>
    </w:p>
    <w:p>
      <w:pPr>
        <w:ind w:right="1779" w:firstLine="1904"/>
        <w:spacing w:after="0" w:line="269" w:lineRule="auto"/>
        <w:tabs>
          <w:tab w:leader="none" w:pos="231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Treasurer. The Treasurer, if there is one,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Chief Executive Officer, the President and the Board of Directors, at its regular meetings, or when the Board of Directors so requires, an account of all his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395" w:lineRule="exact"/>
        <w:rPr>
          <w:rFonts w:ascii="Courier New" w:cs="Courier New" w:eastAsia="Courier New" w:hAnsi="Courier New"/>
          <w:sz w:val="16"/>
          <w:szCs w:val="16"/>
          <w:color w:val="auto"/>
        </w:rPr>
      </w:pPr>
    </w:p>
    <w:p>
      <w:pPr>
        <w:ind w:right="1879" w:firstLine="1904"/>
        <w:spacing w:after="0" w:line="270" w:lineRule="auto"/>
        <w:tabs>
          <w:tab w:leader="none" w:pos="231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Assistant Treasurers. Assistant Treasurers, if there are any, shall perform such duties and have such powers as from time to time may be assigned to them by the Board of Directors, the Chief Executive Officer, the President, any Vice President, or the Treasurer, if there is one, and in the absence of the Treasurer or in the event of his disability or refusal to act, shall perform the duties of the Treasurer, and when so acting, shall have all the powers of and be subject to all the restrictions upon the Treasurer. If required by the Board of Directors, an Assistant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20" w:right="1440" w:bottom="1440" w:gutter="0" w:footer="0" w:header="0"/>
        </w:sectPr>
      </w:pPr>
    </w:p>
    <w:bookmarkStart w:id="40" w:name="page41"/>
    <w:bookmarkEnd w:id="40"/>
    <w:p>
      <w:pPr>
        <w:ind w:right="1779" w:firstLine="1904"/>
        <w:spacing w:after="0" w:line="270" w:lineRule="auto"/>
        <w:tabs>
          <w:tab w:leader="none" w:pos="2318"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Vice Presidents. At the request of the President or in his absence or in the event of his inability or refusal to act (and if there is no Chief Executive Officer or Chairman of the Board of Directors), the Vice President or the Vice Presidents if there is more than one (in the order designated by the Board of Directors) shall perform the duties of the President, and when so acting, shall have all the powers of and be subject to all the restrictions upon the President. Each Vice President shall perform such other duties and have such other powers as the Board of Directors from time to time may prescribe. If there is no Chief Executive Officer, no Chairman of the Board of Directors and no Vice President, the Board of Directors shall designate the officer of the Corporation who, in the absence of the President or in the event of the inability or refusal of the President to act, shall perform the duties of the President, and when so acting, shall have all the powers of and be subject to all the restrictions upon the President.</w:t>
      </w:r>
    </w:p>
    <w:p>
      <w:pPr>
        <w:spacing w:after="0" w:line="387" w:lineRule="exact"/>
        <w:rPr>
          <w:rFonts w:ascii="Courier New" w:cs="Courier New" w:eastAsia="Courier New" w:hAnsi="Courier New"/>
          <w:sz w:val="16"/>
          <w:szCs w:val="16"/>
          <w:color w:val="auto"/>
        </w:rPr>
      </w:pPr>
    </w:p>
    <w:p>
      <w:pPr>
        <w:ind w:right="1779" w:firstLine="1904"/>
        <w:spacing w:after="0" w:line="273" w:lineRule="auto"/>
        <w:tabs>
          <w:tab w:leader="none" w:pos="2318"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Officers.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17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CAPITAL STOCK</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5.1. Form of Certificates. Every holder of stock in the Corporation shall be entitled to have a certificate or certificates duly numbered, certifying the number and class of shares in the Corporation owned by him, in such form as may be prescribed by the Board of Directors. Each such certificate shall be signed in the name of the Corporation by the Chief Executive Officer, the Chairman of the Board, the President or a Vice President, and by the Secretary or an Assistant Secretary or the Treasurer or an Assistant Treasurer.</w:t>
      </w:r>
    </w:p>
    <w:p>
      <w:pPr>
        <w:spacing w:after="0" w:line="212"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Section 5.2. Signatures. Where a certificate is countersigned by (a) a transfer agent other than the Corporation or its employee, or (b) a registrar other than the Corporation or its employee, any other signature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86" w:lineRule="exact"/>
        <w:rPr>
          <w:sz w:val="20"/>
          <w:szCs w:val="20"/>
          <w:color w:val="auto"/>
        </w:rPr>
      </w:pPr>
    </w:p>
    <w:p>
      <w:pPr>
        <w:ind w:right="1999" w:firstLine="1896"/>
        <w:spacing w:after="0" w:line="270" w:lineRule="auto"/>
        <w:rPr>
          <w:sz w:val="20"/>
          <w:szCs w:val="20"/>
          <w:color w:val="auto"/>
        </w:rPr>
      </w:pPr>
      <w:r>
        <w:rPr>
          <w:rFonts w:ascii="Courier New" w:cs="Courier New" w:eastAsia="Courier New" w:hAnsi="Courier New"/>
          <w:sz w:val="16"/>
          <w:szCs w:val="16"/>
          <w:color w:val="auto"/>
        </w:rPr>
        <w:t>Section 5.3. Lost Certificates. The Board of Directors may direct a new certificate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the Board of Directors may, in its discretion and as a condition precedent to the issuance thereof, require the owner of such lost, stolen or destroyed certificate, or his legal representative, to advertise the same in such manner as the Board of Directors shall require and/or to give the Corporation a bond in such sum as it may direct as indemnity against any</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20" w:right="1440" w:bottom="1440" w:gutter="0" w:footer="0" w:header="0"/>
        </w:sectPr>
      </w:pPr>
    </w:p>
    <w:bookmarkStart w:id="41" w:name="page42"/>
    <w:bookmarkEnd w:id="41"/>
    <w:p>
      <w:pPr>
        <w:ind w:right="1999"/>
        <w:spacing w:after="0" w:line="235" w:lineRule="auto"/>
        <w:rPr>
          <w:sz w:val="20"/>
          <w:szCs w:val="20"/>
          <w:color w:val="auto"/>
        </w:rPr>
      </w:pPr>
      <w:r>
        <w:rPr>
          <w:rFonts w:ascii="Courier New" w:cs="Courier New" w:eastAsia="Courier New" w:hAnsi="Courier New"/>
          <w:sz w:val="18"/>
          <w:szCs w:val="18"/>
          <w:color w:val="auto"/>
        </w:rPr>
        <w:t>claim that may be made against the Corporation with respect to the certificate alleged to have been lost, stolen or destroyed.</w:t>
      </w:r>
    </w:p>
    <w:p>
      <w:pPr>
        <w:spacing w:after="0" w:line="208"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5.4. Transfers. Stock of the Corporation shall be transferable in the manner prescribed by law and in these Bylaws. Transfers of stock shall be made on the books of the Corporation only by the person named in the certificate or by his attorney lawfully constituted in writing and upon the surrender of the certificate therefor, which shall be cancelled before a new certificate shall be issued.</w:t>
      </w:r>
    </w:p>
    <w:p>
      <w:pPr>
        <w:spacing w:after="0" w:line="210"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5.5. Record Date. In order that the Corporation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nor less than ten days before the date of such meeting, nor more than sixty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5.6. Beneficial Owners.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law.</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Section 6.1. Notices. Whenever written notice is required by law, the Certificate of Incorporation or these Bylaws to be given to any director, member of a committee or stockholder, such notice may be given by mail, addressed to such director, member of a committee or stockholder, at his address as it appears on the records of the Corporation, with postage thereon prepaid, and such notice shall be deemed to be given at the time when the same shall be deposited in the United States mail. Written notice may also be given personally or transmitted via facsimile.</w:t>
      </w:r>
    </w:p>
    <w:p>
      <w:pPr>
        <w:spacing w:after="0" w:line="212"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6.2. Waivers of Notice. Whenever any notice is required by law, the Certificate of Incorporation or these Bylaws to be given to any director, member of a committee or stockholder, a waiver thereof in writing, signed by the person or persons entitled to such notice, whether before or after the time stated therein, shall be deemed equivalent thereto.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520" w:right="1440" w:bottom="1440" w:gutter="0" w:footer="0" w:header="0"/>
        </w:sectPr>
      </w:pPr>
    </w:p>
    <w:bookmarkStart w:id="42" w:name="page43"/>
    <w:bookmarkEnd w:id="42"/>
    <w:p>
      <w:pPr>
        <w:ind w:left="35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right="1879" w:firstLine="1896"/>
        <w:spacing w:after="0" w:line="270" w:lineRule="auto"/>
        <w:rPr>
          <w:sz w:val="20"/>
          <w:szCs w:val="20"/>
          <w:color w:val="auto"/>
        </w:rPr>
      </w:pPr>
      <w:r>
        <w:rPr>
          <w:rFonts w:ascii="Courier New" w:cs="Courier New" w:eastAsia="Courier New" w:hAnsi="Courier New"/>
          <w:sz w:val="16"/>
          <w:szCs w:val="16"/>
          <w:color w:val="auto"/>
        </w:rPr>
        <w:t>Section 7.1. Dividends. Dividends upon the capital stock of the Corporation, subject to the provisions of the Certificate of Incorporation, if any, may be declared by the Board of Directors at any regular or special meeting, and may be paid in cash, in property, or in shares of the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equalizing dividends, or for repairing or maintaining any property of the Corporation, or for any proper purpose, and the Board of Directors may modify or abolish any such reserve.</w:t>
      </w:r>
    </w:p>
    <w:p>
      <w:pPr>
        <w:spacing w:after="0" w:line="18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7.2. Disbursements. All checks or demands for money and notes of the Corporation shall be signed by such officer or officers or such other person or persons as the Board of Directors may from time to time designate.</w:t>
      </w:r>
    </w:p>
    <w:p>
      <w:pPr>
        <w:spacing w:after="0" w:line="207"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Section 7.3. Fiscal Year. The fiscal year of the Corporation shall be fixed by resolution of the Board of Directors.</w:t>
      </w:r>
    </w:p>
    <w:p>
      <w:pPr>
        <w:spacing w:after="0" w:line="208"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7.4. Corporate Seal.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8.1. Power to Indemnify in Actions, Suits or Proceedings Other Than Those by or in the Right of the Corporation. Subject to Section 8.3 hereof,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employee benefit plan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514" w:right="1440" w:bottom="1440" w:gutter="0" w:footer="0" w:header="0"/>
        </w:sectPr>
      </w:pPr>
    </w:p>
    <w:bookmarkStart w:id="43" w:name="page44"/>
    <w:bookmarkEnd w:id="43"/>
    <w:p>
      <w:pPr>
        <w:ind w:right="1879"/>
        <w:spacing w:after="0" w:line="235" w:lineRule="auto"/>
        <w:rPr>
          <w:sz w:val="20"/>
          <w:szCs w:val="20"/>
          <w:color w:val="auto"/>
        </w:rPr>
      </w:pPr>
      <w:r>
        <w:rPr>
          <w:rFonts w:ascii="Courier New" w:cs="Courier New" w:eastAsia="Courier New" w:hAnsi="Courier New"/>
          <w:sz w:val="18"/>
          <w:szCs w:val="18"/>
          <w:color w:val="auto"/>
        </w:rPr>
        <w:t>and, with respect to any criminal action or proceeding, had reasonable cause to believe that his conduct was unlawful.</w:t>
      </w:r>
    </w:p>
    <w:p>
      <w:pPr>
        <w:spacing w:after="0" w:line="208"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8.2. Power to Indemnify in Actions, Suits or Proceedings by or in the Right of the Corporation. Subject to Section 8.3 hereof, 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employee benefit plan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210"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8.3. Authorization of Indemnification. Any indemnification under this Article VIII (unless ordered by a court) shall be made by the Corporation only as authorized in the specific case upon a determination that indemnification of the director or officer is proper in the circumstances because he has met the applicable standard of conduct set forth in Section 8.1 or Section 8.2 hereof, as the case may be. Such determination shall be made (a) by a majority vote of the directors who are not parties to such action, suit or proceeding, even though less than a quorum, or (b) if there are no such directors, or if such directors so direct, by independent legal counsel in a written opinion, or (c) by the stockholders. To the extent, however, that a director or officer of the Corporation has been successful on the merits or otherwise in defense of any action, suit or proceeding described above or in defense of any claim, issue or matter therein, he shall be indemnified against expenses (including attorneys' fees) actually and reasonably incurred by him in connection therewith, without the necessity of authorization in the specific case.</w:t>
      </w:r>
    </w:p>
    <w:p>
      <w:pPr>
        <w:spacing w:after="0" w:line="208"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8.4. Good Faith Defined. For purposes of any determination under Section 8.1 or 8.2 hereof, a person shall be deemed to have acted in good faith and in a manner he reasonably believed to be in or not opposed to the best interests of the Corporation, or, with respect to any criminal action or proceeding, to have had no reasonable cause to believe his conduct was unlawful, if his action is based on the records or books of account of the Corporation or another enterprise, or on information supplied to him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term "another enterprise" as used in this Section 8.4 shall mean any other corporation or any partnership, joint venture, trust, employee benefit plan or other enterprise of which such person is or was serving at the request of the Corporation as a director, officer, employee or agent. The</w:t>
      </w: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520" w:right="1440" w:bottom="1440" w:gutter="0" w:footer="0" w:header="0"/>
        </w:sectPr>
      </w:pPr>
    </w:p>
    <w:bookmarkStart w:id="44" w:name="page45"/>
    <w:bookmarkEnd w:id="44"/>
    <w:p>
      <w:pPr>
        <w:ind w:right="1999"/>
        <w:spacing w:after="0" w:line="237" w:lineRule="auto"/>
        <w:rPr>
          <w:sz w:val="20"/>
          <w:szCs w:val="20"/>
          <w:color w:val="auto"/>
        </w:rPr>
      </w:pPr>
      <w:r>
        <w:rPr>
          <w:rFonts w:ascii="Courier New" w:cs="Courier New" w:eastAsia="Courier New" w:hAnsi="Courier New"/>
          <w:sz w:val="18"/>
          <w:szCs w:val="18"/>
          <w:color w:val="auto"/>
        </w:rPr>
        <w:t>provisions of this Section 8.4 shall not be deemed to be exclusive or to limit in any way the circumstances in which a person may be deemed to have met the applicable standard of conduct set forth in Section 8.1 or 8.2 hereof, as the case may be.</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8.5. Indemnification by a Court. Notwithstanding any contrary determination made in any specific case under Section 8.3 hereof, and notwithstanding the absence of any determination made thereunder, any director or officer may apply to any court of competent jurisdiction in the State of Delaware for indemnification to the extent otherwise permissible under Sections 8.l and 8.2 hereof. The basis of such indemnification by a court shall be a determination by such court that indemnification of the director or officer is proper in the circumstances because he has met the applicable standards of conduct set forth in Section 8.1 or 8.2 hereof. Neither a contrary determination in the specific case under Section 8.3 hereof nor the absence of any determination thereunder shall be a defense to such application or create a presumption that the director or officer seeking indemnification has not met any applicable standard of conduct. Notice of any application for indemnification pursuant to this Section 8.5 shall be given to the Corporation promptly upon the filing of such application. If successful, in whole or in part, the director or officer seeking indemnification shall also be entitled to be paid the expense of prosecuting such application.</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8.6. Expenses Payable in Advance.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in this Article VIII.</w:t>
      </w:r>
    </w:p>
    <w:p>
      <w:pPr>
        <w:spacing w:after="0" w:line="211"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8.7. Nonexclusivity of Indemnification and Advancement of Expenses. The indemnification and advancement of expenses provided by or granted pursuant to this Article VIII shall not be deemed exclusive of any other rights to which any person seeking indemnification or advancement of expenses may be entitled under any Bylaw, agreement, contract, vote of stockholders or disinterested directors or pursuant to the direction (howsoever embodied) of any court of competent jurisdiction or otherwise, both as to action in his official capacity and as to action in another capacity while holding such office, it being the policy of the Corporation that indemnification of the persons specified in Sections 8.1 and 8.2 hereof shall be made to the fullest extent permitted by law. The provisions of this Article VIII shall not be deemed to preclude the indemnification of any person who is not specified in Section 8.1 or 8.2 but whom the Corporation has the power or obligation to indemnify under the provisions of the DGCL or otherwise.</w:t>
      </w:r>
    </w:p>
    <w:p>
      <w:pPr>
        <w:spacing w:after="0" w:line="208"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Section 8.8. Insurance. The Corporation may purchase and maintain insurance on behalf of any person who is or was a director or officer of the Corporation, or is or was a director or officer of the Corporation serving at the request of the Corporation as a director, officer, employee or agent of another corporation, partnership, joint venture, trust, employee benefit plan or other enterprise, against any liability asserted against him and incurred by him in any such capacity, or arising out of his status as such, whether or not the Corporation would have the power or the obligation to indemnify him against such liability under the provisions of this Article VIII.</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520" w:right="1440" w:bottom="1440" w:gutter="0" w:footer="0" w:header="0"/>
        </w:sectPr>
      </w:pPr>
    </w:p>
    <w:bookmarkStart w:id="45" w:name="page46"/>
    <w:bookmarkEnd w:id="45"/>
    <w:p>
      <w:pPr>
        <w:ind w:right="1779" w:firstLine="1896"/>
        <w:spacing w:after="0" w:line="269" w:lineRule="auto"/>
        <w:rPr>
          <w:sz w:val="20"/>
          <w:szCs w:val="20"/>
          <w:color w:val="auto"/>
        </w:rPr>
      </w:pPr>
      <w:r>
        <w:rPr>
          <w:rFonts w:ascii="Courier New" w:cs="Courier New" w:eastAsia="Courier New" w:hAnsi="Courier New"/>
          <w:sz w:val="16"/>
          <w:szCs w:val="16"/>
          <w:color w:val="auto"/>
        </w:rPr>
        <w:t>Section 8.9. Certain Definitions. For purposes of this Article VIII,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employee benefit plan or other enterprise, shall stand in the same position under the provisions of this Article VIII with respect to the resulting or surviving corporation as he would have with respect to such constituent corporation if its separate existence had continued. For purposes of this Article VIII,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VIII.</w:t>
      </w:r>
    </w:p>
    <w:p>
      <w:pPr>
        <w:spacing w:after="0" w:line="200" w:lineRule="exact"/>
        <w:rPr>
          <w:sz w:val="20"/>
          <w:szCs w:val="20"/>
          <w:color w:val="auto"/>
        </w:rPr>
      </w:pPr>
    </w:p>
    <w:p>
      <w:pPr>
        <w:spacing w:after="0" w:line="396"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8.10. Survival of Indemnification and Advancement of Expenses. The indemnification and advancement of expenses provided by, or granted pursuant to, this Article VIII shall, unless otherwise provided when authorized or ratified, continue as to a person who has ceased to be a director or officer and shall inure to the benefit of the heirs, executors and administrators of such a person.</w:t>
      </w:r>
    </w:p>
    <w:p>
      <w:pPr>
        <w:spacing w:after="0" w:line="210"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8.11. Limitation on Indemnification. Notwithstanding anything contained in this Article VIII to the contrary, except for proceedings to enforce rights to indemnification (which shall be governed by Section 8.5 hereof), the Corporation shall not be obligated to indemnify any director or officer in connection with a proceeding (or part thereof) initiated by such person unless such proceeding (or part thereof) was authorized or consented to by the Board of Directors of the Corporation.</w:t>
      </w:r>
    </w:p>
    <w:p>
      <w:pPr>
        <w:spacing w:after="0" w:line="211"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8.12. Indemnification of Employees and Agents. The Corporation may, to the extent authorized from time to time by the Board of Directors, provide rights to indemnification and to the advancement of expenses to employees and agents of the Corporation similar to those conferred in this Article VIII to directors and officers of the Corporation.</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AMENDMENTS</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These Bylaws may be altered, amended or repealed, in whole or in part, or new Bylaws may be adopted by the stockholders or by the Board of Directors, provided, however, that notice of such alteration, amendment, repeal or adoption of new Bylaws be contained in the notice of such meeting of stockholders or Board of Directors as the case may be. All such amendments must be approved by either the holders of two-thirds of the votes entitled to be cast,</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520" w:right="1440" w:bottom="1440" w:gutter="0" w:footer="0" w:header="0"/>
        </w:sectPr>
      </w:pPr>
    </w:p>
    <w:bookmarkStart w:id="46" w:name="page47"/>
    <w:bookmarkEnd w:id="46"/>
    <w:p>
      <w:pPr>
        <w:ind w:right="1879"/>
        <w:spacing w:after="0" w:line="237" w:lineRule="auto"/>
        <w:rPr>
          <w:sz w:val="20"/>
          <w:szCs w:val="20"/>
          <w:color w:val="auto"/>
        </w:rPr>
      </w:pPr>
      <w:r>
        <w:rPr>
          <w:rFonts w:ascii="Courier New" w:cs="Courier New" w:eastAsia="Courier New" w:hAnsi="Courier New"/>
          <w:sz w:val="18"/>
          <w:szCs w:val="18"/>
          <w:color w:val="auto"/>
        </w:rPr>
        <w:t>voting as a single class, by holders of outstanding capital stock which by its terms may vote on all matters submitted to stockholders of the Corporation generally or by a majority of the Board of Directors then in office; provided, however, that Section 2.2 (except for Section 2.2(a)), Section 2.3, Section 3.1 (except for Section 3.1(a)) and this Article IX may be altered, amended or repealed only with approval of a majority of the Board of Directors then in office and approval of holders of two-thirds of the votes entitled to be cast, voting as a single class, by holders of outstanding capital stock which by its terms may vote on all matters submitted to stockholders of the Corporation generally.</w:t>
      </w: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CONFLICTS</w:t>
      </w:r>
    </w:p>
    <w:p>
      <w:pPr>
        <w:spacing w:after="0" w:line="207" w:lineRule="exact"/>
        <w:rPr>
          <w:sz w:val="20"/>
          <w:szCs w:val="20"/>
          <w:color w:val="auto"/>
        </w:rPr>
      </w:pPr>
    </w:p>
    <w:p>
      <w:pPr>
        <w:ind w:right="1879" w:firstLine="1896"/>
        <w:spacing w:after="0" w:line="275" w:lineRule="auto"/>
        <w:rPr>
          <w:sz w:val="20"/>
          <w:szCs w:val="20"/>
          <w:color w:val="auto"/>
        </w:rPr>
      </w:pPr>
      <w:r>
        <w:rPr>
          <w:rFonts w:ascii="Courier New" w:cs="Courier New" w:eastAsia="Courier New" w:hAnsi="Courier New"/>
          <w:sz w:val="16"/>
          <w:szCs w:val="16"/>
          <w:color w:val="auto"/>
        </w:rPr>
        <w:t>If there is a conflict between the provisions of these Bylaws and the provisions of the Certificate of Incorporation or the mandatory provisions of the DGCL, such provision or provisions of the Certificate of Incorporation and the DGCL, as the case may be, will be controlling.</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520" w:right="1440" w:bottom="1440" w:gutter="0" w:footer="0" w:header="0"/>
        </w:sectPr>
      </w:pPr>
    </w:p>
    <w:bookmarkStart w:id="47" w:name="page48"/>
    <w:bookmarkEnd w:id="47"/>
    <w:p>
      <w:pPr>
        <w:jc w:val="right"/>
        <w:ind w:right="1779"/>
        <w:spacing w:after="0"/>
        <w:rPr>
          <w:sz w:val="20"/>
          <w:szCs w:val="20"/>
          <w:color w:val="auto"/>
        </w:rPr>
      </w:pPr>
      <w:r>
        <w:rPr>
          <w:rFonts w:ascii="Courier New" w:cs="Courier New" w:eastAsia="Courier New" w:hAnsi="Courier New"/>
          <w:sz w:val="18"/>
          <w:szCs w:val="18"/>
          <w:color w:val="auto"/>
        </w:rPr>
        <w:t>EXHIBIT 10.49</w:t>
      </w:r>
    </w:p>
    <w:p>
      <w:pPr>
        <w:spacing w:after="0" w:line="207"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FIDELITY NATIONAL TITLE GROUP, INC.</w:t>
      </w:r>
    </w:p>
    <w:p>
      <w:pPr>
        <w:spacing w:after="0" w:line="16"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2005 OMNIBUS INCENTIVE PLAN</w:t>
      </w:r>
    </w:p>
    <w:p>
      <w:pPr>
        <w:sectPr>
          <w:pgSz w:w="11900" w:h="16838" w:orient="portrait"/>
          <w:cols w:equalWidth="0" w:num="1">
            <w:col w:w="9019"/>
          </w:cols>
          <w:pgMar w:left="1440" w:top="541" w:right="1440" w:bottom="1440" w:gutter="0" w:footer="0" w:header="0"/>
        </w:sectPr>
      </w:pPr>
    </w:p>
    <w:bookmarkStart w:id="48" w:name="page49"/>
    <w:bookmarkEnd w:id="48"/>
    <w:p>
      <w:pPr>
        <w:ind w:left="8340"/>
        <w:spacing w:after="0"/>
        <w:rPr>
          <w:sz w:val="20"/>
          <w:szCs w:val="20"/>
          <w:color w:val="auto"/>
        </w:rPr>
      </w:pPr>
      <w:r>
        <w:rPr>
          <w:rFonts w:ascii="Courier New" w:cs="Courier New" w:eastAsia="Courier New" w:hAnsi="Courier New"/>
          <w:sz w:val="18"/>
          <w:szCs w:val="18"/>
          <w:color w:val="auto"/>
        </w:rPr>
        <w:t>.</w:t>
      </w:r>
    </w:p>
    <w:p>
      <w:pPr>
        <w:ind w:left="8340"/>
        <w:spacing w:after="0" w:line="238" w:lineRule="auto"/>
        <w:rPr>
          <w:sz w:val="20"/>
          <w:szCs w:val="20"/>
          <w:color w:val="auto"/>
        </w:rPr>
      </w:pPr>
      <w:r>
        <w:rPr>
          <w:rFonts w:ascii="Courier New" w:cs="Courier New" w:eastAsia="Courier New" w:hAnsi="Courier New"/>
          <w:sz w:val="18"/>
          <w:szCs w:val="18"/>
          <w:color w:val="auto"/>
        </w:rPr>
        <w:t>.</w:t>
      </w:r>
    </w:p>
    <w:p>
      <w:pPr>
        <w:ind w:left="83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Contents</w:t>
            </w:r>
          </w:p>
        </w:tc>
        <w:tc>
          <w:tcPr>
            <w:tcW w:w="9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810"/>
        </w:trPr>
        <w:tc>
          <w:tcPr>
            <w:tcW w:w="1220" w:type="dxa"/>
            <w:vAlign w:val="bottom"/>
          </w:tcPr>
          <w:p>
            <w:pPr>
              <w:spacing w:after="0"/>
              <w:rPr>
                <w:sz w:val="24"/>
                <w:szCs w:val="24"/>
                <w:color w:val="auto"/>
              </w:rPr>
            </w:pPr>
          </w:p>
        </w:tc>
        <w:tc>
          <w:tcPr>
            <w:tcW w:w="95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Article 1.</w:t>
            </w:r>
          </w:p>
        </w:tc>
        <w:tc>
          <w:tcPr>
            <w:tcW w:w="9580" w:type="dxa"/>
            <w:vAlign w:val="bottom"/>
          </w:tcPr>
          <w:p>
            <w:pPr>
              <w:ind w:left="60"/>
              <w:spacing w:after="0"/>
              <w:rPr>
                <w:sz w:val="20"/>
                <w:szCs w:val="20"/>
                <w:color w:val="auto"/>
              </w:rPr>
            </w:pPr>
            <w:r>
              <w:rPr>
                <w:rFonts w:ascii="Courier New" w:cs="Courier New" w:eastAsia="Courier New" w:hAnsi="Courier New"/>
                <w:sz w:val="18"/>
                <w:szCs w:val="18"/>
                <w:color w:val="auto"/>
                <w:w w:val="98"/>
              </w:rPr>
              <w:t>Establishment, Objectives, and Duration..................................................</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Article 2.</w:t>
            </w:r>
          </w:p>
        </w:tc>
        <w:tc>
          <w:tcPr>
            <w:tcW w:w="9580" w:type="dxa"/>
            <w:vAlign w:val="bottom"/>
          </w:tcPr>
          <w:p>
            <w:pPr>
              <w:ind w:left="60"/>
              <w:spacing w:after="0"/>
              <w:rPr>
                <w:sz w:val="20"/>
                <w:szCs w:val="20"/>
                <w:color w:val="auto"/>
              </w:rPr>
            </w:pPr>
            <w:r>
              <w:rPr>
                <w:rFonts w:ascii="Courier New" w:cs="Courier New" w:eastAsia="Courier New" w:hAnsi="Courier New"/>
                <w:sz w:val="18"/>
                <w:szCs w:val="18"/>
                <w:color w:val="auto"/>
                <w:w w:val="98"/>
              </w:rPr>
              <w:t>Definitions..............................................................................</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Article 3.</w:t>
            </w:r>
          </w:p>
        </w:tc>
        <w:tc>
          <w:tcPr>
            <w:tcW w:w="9580" w:type="dxa"/>
            <w:vAlign w:val="bottom"/>
          </w:tcPr>
          <w:p>
            <w:pPr>
              <w:ind w:left="60"/>
              <w:spacing w:after="0"/>
              <w:rPr>
                <w:sz w:val="20"/>
                <w:szCs w:val="20"/>
                <w:color w:val="auto"/>
              </w:rPr>
            </w:pPr>
            <w:r>
              <w:rPr>
                <w:rFonts w:ascii="Courier New" w:cs="Courier New" w:eastAsia="Courier New" w:hAnsi="Courier New"/>
                <w:sz w:val="18"/>
                <w:szCs w:val="18"/>
                <w:color w:val="auto"/>
                <w:w w:val="98"/>
              </w:rPr>
              <w:t>Administration...........................................................................</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Article 4.</w:t>
            </w:r>
          </w:p>
        </w:tc>
        <w:tc>
          <w:tcPr>
            <w:tcW w:w="9580" w:type="dxa"/>
            <w:vAlign w:val="bottom"/>
          </w:tcPr>
          <w:p>
            <w:pPr>
              <w:ind w:left="60"/>
              <w:spacing w:after="0"/>
              <w:rPr>
                <w:sz w:val="20"/>
                <w:szCs w:val="20"/>
                <w:color w:val="auto"/>
              </w:rPr>
            </w:pPr>
            <w:r>
              <w:rPr>
                <w:rFonts w:ascii="Courier New" w:cs="Courier New" w:eastAsia="Courier New" w:hAnsi="Courier New"/>
                <w:sz w:val="18"/>
                <w:szCs w:val="18"/>
                <w:color w:val="auto"/>
                <w:w w:val="98"/>
              </w:rPr>
              <w:t>Shares Subject to the Plan; Individual Limits; and Anti-Dilution Adjustments.............</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Article 5.</w:t>
            </w:r>
          </w:p>
        </w:tc>
        <w:tc>
          <w:tcPr>
            <w:tcW w:w="9580" w:type="dxa"/>
            <w:vAlign w:val="bottom"/>
          </w:tcPr>
          <w:p>
            <w:pPr>
              <w:ind w:left="60"/>
              <w:spacing w:after="0"/>
              <w:rPr>
                <w:sz w:val="20"/>
                <w:szCs w:val="20"/>
                <w:color w:val="auto"/>
              </w:rPr>
            </w:pPr>
            <w:r>
              <w:rPr>
                <w:rFonts w:ascii="Courier New" w:cs="Courier New" w:eastAsia="Courier New" w:hAnsi="Courier New"/>
                <w:sz w:val="18"/>
                <w:szCs w:val="18"/>
                <w:color w:val="auto"/>
                <w:w w:val="98"/>
              </w:rPr>
              <w:t>Eligibility and Participation............................................................</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Article 6.</w:t>
            </w:r>
          </w:p>
        </w:tc>
        <w:tc>
          <w:tcPr>
            <w:tcW w:w="9580" w:type="dxa"/>
            <w:vAlign w:val="bottom"/>
          </w:tcPr>
          <w:p>
            <w:pPr>
              <w:ind w:left="60"/>
              <w:spacing w:after="0"/>
              <w:rPr>
                <w:sz w:val="20"/>
                <w:szCs w:val="20"/>
                <w:color w:val="auto"/>
              </w:rPr>
            </w:pPr>
            <w:r>
              <w:rPr>
                <w:rFonts w:ascii="Courier New" w:cs="Courier New" w:eastAsia="Courier New" w:hAnsi="Courier New"/>
                <w:sz w:val="18"/>
                <w:szCs w:val="18"/>
                <w:color w:val="auto"/>
                <w:w w:val="98"/>
              </w:rPr>
              <w:t>Options..................................................................................</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Article 7.</w:t>
            </w:r>
          </w:p>
        </w:tc>
        <w:tc>
          <w:tcPr>
            <w:tcW w:w="9580" w:type="dxa"/>
            <w:vAlign w:val="bottom"/>
          </w:tcPr>
          <w:p>
            <w:pPr>
              <w:ind w:left="60"/>
              <w:spacing w:after="0"/>
              <w:rPr>
                <w:sz w:val="20"/>
                <w:szCs w:val="20"/>
                <w:color w:val="auto"/>
              </w:rPr>
            </w:pPr>
            <w:r>
              <w:rPr>
                <w:rFonts w:ascii="Courier New" w:cs="Courier New" w:eastAsia="Courier New" w:hAnsi="Courier New"/>
                <w:sz w:val="18"/>
                <w:szCs w:val="18"/>
                <w:color w:val="auto"/>
                <w:w w:val="98"/>
              </w:rPr>
              <w:t>Stock Appreciation Rights................................................................</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Article 8.</w:t>
            </w:r>
          </w:p>
        </w:tc>
        <w:tc>
          <w:tcPr>
            <w:tcW w:w="9580" w:type="dxa"/>
            <w:vAlign w:val="bottom"/>
          </w:tcPr>
          <w:p>
            <w:pPr>
              <w:ind w:left="60"/>
              <w:spacing w:after="0"/>
              <w:rPr>
                <w:sz w:val="20"/>
                <w:szCs w:val="20"/>
                <w:color w:val="auto"/>
              </w:rPr>
            </w:pPr>
            <w:r>
              <w:rPr>
                <w:rFonts w:ascii="Courier New" w:cs="Courier New" w:eastAsia="Courier New" w:hAnsi="Courier New"/>
                <w:sz w:val="18"/>
                <w:szCs w:val="18"/>
                <w:color w:val="auto"/>
                <w:w w:val="98"/>
              </w:rPr>
              <w:t>Restricted Stock.........................................................................</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Article 9.</w:t>
            </w:r>
          </w:p>
        </w:tc>
        <w:tc>
          <w:tcPr>
            <w:tcW w:w="9580" w:type="dxa"/>
            <w:vAlign w:val="bottom"/>
          </w:tcPr>
          <w:p>
            <w:pPr>
              <w:ind w:left="60"/>
              <w:spacing w:after="0"/>
              <w:rPr>
                <w:sz w:val="20"/>
                <w:szCs w:val="20"/>
                <w:color w:val="auto"/>
              </w:rPr>
            </w:pPr>
            <w:r>
              <w:rPr>
                <w:rFonts w:ascii="Courier New" w:cs="Courier New" w:eastAsia="Courier New" w:hAnsi="Courier New"/>
                <w:sz w:val="18"/>
                <w:szCs w:val="18"/>
                <w:color w:val="auto"/>
                <w:w w:val="98"/>
              </w:rPr>
              <w:t>Restricted Stock Units and Performance Shares............................................</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Article 10.</w:t>
            </w:r>
          </w:p>
        </w:tc>
        <w:tc>
          <w:tcPr>
            <w:tcW w:w="9580" w:type="dxa"/>
            <w:vAlign w:val="bottom"/>
          </w:tcPr>
          <w:p>
            <w:pPr>
              <w:ind w:left="60"/>
              <w:spacing w:after="0"/>
              <w:rPr>
                <w:sz w:val="20"/>
                <w:szCs w:val="20"/>
                <w:color w:val="auto"/>
              </w:rPr>
            </w:pPr>
            <w:r>
              <w:rPr>
                <w:rFonts w:ascii="Courier New" w:cs="Courier New" w:eastAsia="Courier New" w:hAnsi="Courier New"/>
                <w:sz w:val="18"/>
                <w:szCs w:val="18"/>
                <w:color w:val="auto"/>
                <w:w w:val="98"/>
              </w:rPr>
              <w:t>Performance Units........................................................................</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Article 11.</w:t>
            </w:r>
          </w:p>
        </w:tc>
        <w:tc>
          <w:tcPr>
            <w:tcW w:w="9580" w:type="dxa"/>
            <w:vAlign w:val="bottom"/>
          </w:tcPr>
          <w:p>
            <w:pPr>
              <w:ind w:left="60"/>
              <w:spacing w:after="0"/>
              <w:rPr>
                <w:sz w:val="20"/>
                <w:szCs w:val="20"/>
                <w:color w:val="auto"/>
              </w:rPr>
            </w:pPr>
            <w:r>
              <w:rPr>
                <w:rFonts w:ascii="Courier New" w:cs="Courier New" w:eastAsia="Courier New" w:hAnsi="Courier New"/>
                <w:sz w:val="18"/>
                <w:szCs w:val="18"/>
                <w:color w:val="auto"/>
                <w:w w:val="98"/>
              </w:rPr>
              <w:t>Other Awards.............................................................................</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Article 12.</w:t>
            </w:r>
          </w:p>
        </w:tc>
        <w:tc>
          <w:tcPr>
            <w:tcW w:w="9580" w:type="dxa"/>
            <w:vAlign w:val="bottom"/>
          </w:tcPr>
          <w:p>
            <w:pPr>
              <w:ind w:left="60"/>
              <w:spacing w:after="0"/>
              <w:rPr>
                <w:sz w:val="20"/>
                <w:szCs w:val="20"/>
                <w:color w:val="auto"/>
              </w:rPr>
            </w:pPr>
            <w:r>
              <w:rPr>
                <w:rFonts w:ascii="Courier New" w:cs="Courier New" w:eastAsia="Courier New" w:hAnsi="Courier New"/>
                <w:sz w:val="18"/>
                <w:szCs w:val="18"/>
                <w:color w:val="auto"/>
                <w:w w:val="98"/>
              </w:rPr>
              <w:t>Replacement Awards.......................................................................</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Article 13.</w:t>
            </w:r>
          </w:p>
        </w:tc>
        <w:tc>
          <w:tcPr>
            <w:tcW w:w="9580" w:type="dxa"/>
            <w:vAlign w:val="bottom"/>
          </w:tcPr>
          <w:p>
            <w:pPr>
              <w:ind w:left="60"/>
              <w:spacing w:after="0"/>
              <w:rPr>
                <w:sz w:val="20"/>
                <w:szCs w:val="20"/>
                <w:color w:val="auto"/>
              </w:rPr>
            </w:pPr>
            <w:r>
              <w:rPr>
                <w:rFonts w:ascii="Courier New" w:cs="Courier New" w:eastAsia="Courier New" w:hAnsi="Courier New"/>
                <w:sz w:val="18"/>
                <w:szCs w:val="18"/>
                <w:color w:val="auto"/>
                <w:w w:val="98"/>
              </w:rPr>
              <w:t>Performance Measures.....................................................................</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Article 14.</w:t>
            </w:r>
          </w:p>
        </w:tc>
        <w:tc>
          <w:tcPr>
            <w:tcW w:w="9580" w:type="dxa"/>
            <w:vAlign w:val="bottom"/>
          </w:tcPr>
          <w:p>
            <w:pPr>
              <w:ind w:left="60"/>
              <w:spacing w:after="0"/>
              <w:rPr>
                <w:sz w:val="20"/>
                <w:szCs w:val="20"/>
                <w:color w:val="auto"/>
              </w:rPr>
            </w:pPr>
            <w:r>
              <w:rPr>
                <w:rFonts w:ascii="Courier New" w:cs="Courier New" w:eastAsia="Courier New" w:hAnsi="Courier New"/>
                <w:sz w:val="18"/>
                <w:szCs w:val="18"/>
                <w:color w:val="auto"/>
                <w:w w:val="98"/>
              </w:rPr>
              <w:t>Beneficiary Designation..................................................................</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Article 15.</w:t>
            </w:r>
          </w:p>
        </w:tc>
        <w:tc>
          <w:tcPr>
            <w:tcW w:w="9580" w:type="dxa"/>
            <w:vAlign w:val="bottom"/>
          </w:tcPr>
          <w:p>
            <w:pPr>
              <w:ind w:left="60"/>
              <w:spacing w:after="0"/>
              <w:rPr>
                <w:sz w:val="20"/>
                <w:szCs w:val="20"/>
                <w:color w:val="auto"/>
              </w:rPr>
            </w:pPr>
            <w:r>
              <w:rPr>
                <w:rFonts w:ascii="Courier New" w:cs="Courier New" w:eastAsia="Courier New" w:hAnsi="Courier New"/>
                <w:sz w:val="18"/>
                <w:szCs w:val="18"/>
                <w:color w:val="auto"/>
                <w:w w:val="98"/>
              </w:rPr>
              <w:t>Deferrals................................................................................</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Article 16.</w:t>
            </w:r>
          </w:p>
        </w:tc>
        <w:tc>
          <w:tcPr>
            <w:tcW w:w="9580" w:type="dxa"/>
            <w:vAlign w:val="bottom"/>
          </w:tcPr>
          <w:p>
            <w:pPr>
              <w:ind w:left="60"/>
              <w:spacing w:after="0"/>
              <w:rPr>
                <w:sz w:val="20"/>
                <w:szCs w:val="20"/>
                <w:color w:val="auto"/>
              </w:rPr>
            </w:pPr>
            <w:r>
              <w:rPr>
                <w:rFonts w:ascii="Courier New" w:cs="Courier New" w:eastAsia="Courier New" w:hAnsi="Courier New"/>
                <w:sz w:val="18"/>
                <w:szCs w:val="18"/>
                <w:color w:val="auto"/>
                <w:w w:val="98"/>
              </w:rPr>
              <w:t>Rights of Participants...................................................................</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Article 17.</w:t>
            </w:r>
          </w:p>
        </w:tc>
        <w:tc>
          <w:tcPr>
            <w:tcW w:w="9580" w:type="dxa"/>
            <w:vAlign w:val="bottom"/>
          </w:tcPr>
          <w:p>
            <w:pPr>
              <w:ind w:left="60"/>
              <w:spacing w:after="0"/>
              <w:rPr>
                <w:sz w:val="20"/>
                <w:szCs w:val="20"/>
                <w:color w:val="auto"/>
              </w:rPr>
            </w:pPr>
            <w:r>
              <w:rPr>
                <w:rFonts w:ascii="Courier New" w:cs="Courier New" w:eastAsia="Courier New" w:hAnsi="Courier New"/>
                <w:sz w:val="18"/>
                <w:szCs w:val="18"/>
                <w:color w:val="auto"/>
                <w:w w:val="98"/>
              </w:rPr>
              <w:t>Change in Control........................................................................</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Article 18.</w:t>
            </w:r>
          </w:p>
        </w:tc>
        <w:tc>
          <w:tcPr>
            <w:tcW w:w="9580" w:type="dxa"/>
            <w:vAlign w:val="bottom"/>
          </w:tcPr>
          <w:p>
            <w:pPr>
              <w:ind w:left="60"/>
              <w:spacing w:after="0"/>
              <w:rPr>
                <w:sz w:val="20"/>
                <w:szCs w:val="20"/>
                <w:color w:val="auto"/>
              </w:rPr>
            </w:pPr>
            <w:r>
              <w:rPr>
                <w:rFonts w:ascii="Courier New" w:cs="Courier New" w:eastAsia="Courier New" w:hAnsi="Courier New"/>
                <w:sz w:val="18"/>
                <w:szCs w:val="18"/>
                <w:color w:val="auto"/>
                <w:w w:val="98"/>
              </w:rPr>
              <w:t>Additional Forfeiture Provisions.........................................................</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Article 19.</w:t>
            </w:r>
          </w:p>
        </w:tc>
        <w:tc>
          <w:tcPr>
            <w:tcW w:w="9580" w:type="dxa"/>
            <w:vAlign w:val="bottom"/>
          </w:tcPr>
          <w:p>
            <w:pPr>
              <w:ind w:left="60"/>
              <w:spacing w:after="0"/>
              <w:rPr>
                <w:sz w:val="20"/>
                <w:szCs w:val="20"/>
                <w:color w:val="auto"/>
              </w:rPr>
            </w:pPr>
            <w:r>
              <w:rPr>
                <w:rFonts w:ascii="Courier New" w:cs="Courier New" w:eastAsia="Courier New" w:hAnsi="Courier New"/>
                <w:sz w:val="18"/>
                <w:szCs w:val="18"/>
                <w:color w:val="auto"/>
                <w:w w:val="98"/>
              </w:rPr>
              <w:t>Amendment, Modification, and Termination.................................................</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Article 20.</w:t>
            </w:r>
          </w:p>
        </w:tc>
        <w:tc>
          <w:tcPr>
            <w:tcW w:w="9580" w:type="dxa"/>
            <w:vAlign w:val="bottom"/>
          </w:tcPr>
          <w:p>
            <w:pPr>
              <w:ind w:left="60"/>
              <w:spacing w:after="0"/>
              <w:rPr>
                <w:sz w:val="20"/>
                <w:szCs w:val="20"/>
                <w:color w:val="auto"/>
              </w:rPr>
            </w:pPr>
            <w:r>
              <w:rPr>
                <w:rFonts w:ascii="Courier New" w:cs="Courier New" w:eastAsia="Courier New" w:hAnsi="Courier New"/>
                <w:sz w:val="18"/>
                <w:szCs w:val="18"/>
                <w:color w:val="auto"/>
                <w:w w:val="98"/>
              </w:rPr>
              <w:t>Withholding..............................................................................</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FNT 2005 Omnibus Incentive Plan (v2)</w:t>
      </w:r>
    </w:p>
    <w:p>
      <w:pPr>
        <w:sectPr>
          <w:pgSz w:w="11900" w:h="16838" w:orient="portrait"/>
          <w:cols w:equalWidth="0" w:num="1">
            <w:col w:w="11380"/>
          </w:cols>
          <w:pgMar w:left="240" w:top="514" w:right="279" w:bottom="1440" w:gutter="0" w:footer="0" w:header="0"/>
        </w:sectPr>
      </w:pPr>
    </w:p>
    <w:bookmarkStart w:id="49" w:name="page50"/>
    <w:bookmarkEnd w:id="49"/>
    <w:p>
      <w:pPr>
        <w:jc w:val="center"/>
        <w:ind w:right="1659"/>
        <w:spacing w:after="0"/>
        <w:rPr>
          <w:sz w:val="20"/>
          <w:szCs w:val="20"/>
          <w:color w:val="auto"/>
        </w:rPr>
      </w:pPr>
      <w:r>
        <w:rPr>
          <w:rFonts w:ascii="Courier New" w:cs="Courier New" w:eastAsia="Courier New" w:hAnsi="Courier New"/>
          <w:sz w:val="18"/>
          <w:szCs w:val="18"/>
          <w:color w:val="auto"/>
        </w:rPr>
        <w:t>FIDELITY NATIONAL TITLE GROUP,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2005 OMNIBUS INCENTIVE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1. ESTABLISHMENT, OBJECTIVES, AND DURATION</w:t>
      </w:r>
    </w:p>
    <w:p>
      <w:pPr>
        <w:spacing w:after="0" w:line="20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1.1. ESTABLISHMENT OF THE PLAN. Fidelity National Title Group, Inc., a Delaware corporation (hereinafter referred to as the "Company"), hereby establishes an incentive compensation plan to be known as the "Fidelity National Title Group, Inc. 2005 Omnibus Incentive Plan" (hereinafter referred to as the "Plan"). The Plan permits the granting of Nonqualified Stock Options, Incentive Stock Options, Stock Appreciation Rights, Restricted Stock, Restricted Stock Units, Performance Shares, Performance Units and Other Awards.</w:t>
      </w:r>
    </w:p>
    <w:p>
      <w:pPr>
        <w:spacing w:after="0" w:line="188" w:lineRule="exact"/>
        <w:rPr>
          <w:sz w:val="20"/>
          <w:szCs w:val="20"/>
          <w:color w:val="auto"/>
        </w:rPr>
      </w:pPr>
    </w:p>
    <w:p>
      <w:pPr>
        <w:ind w:right="1879" w:firstLine="632"/>
        <w:spacing w:after="0" w:line="290" w:lineRule="auto"/>
        <w:rPr>
          <w:sz w:val="20"/>
          <w:szCs w:val="20"/>
          <w:color w:val="auto"/>
        </w:rPr>
      </w:pPr>
      <w:r>
        <w:rPr>
          <w:rFonts w:ascii="Courier New" w:cs="Courier New" w:eastAsia="Courier New" w:hAnsi="Courier New"/>
          <w:sz w:val="16"/>
          <w:szCs w:val="16"/>
          <w:color w:val="auto"/>
        </w:rPr>
        <w:t>The Plan shall become effective as of September 26, 2005 (the "Effective Date"), subject to the approval of the Plan by the stockholders of the Company.</w:t>
      </w:r>
    </w:p>
    <w:p>
      <w:pPr>
        <w:spacing w:after="0" w:line="170"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1.2. OBJECTIVES OF THE PLAN. The objectives of the Plan are to optimize the profitability and growth of the Company through incentives that are consistent with the Company's goals and that link the personal interests of Participants to those of the Company's stockholders.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Plan is further intended to provide flexibility to the Company in its ability to motivate, attract, and retain the services of Participants who make or are expected to make significant contributions to the Company's success and to allow Participants to share in the success of the Company.</w:t>
      </w:r>
    </w:p>
    <w:p>
      <w:pPr>
        <w:spacing w:after="0" w:line="207" w:lineRule="exact"/>
        <w:rPr>
          <w:sz w:val="20"/>
          <w:szCs w:val="20"/>
          <w:color w:val="auto"/>
        </w:rPr>
      </w:pPr>
    </w:p>
    <w:p>
      <w:pPr>
        <w:ind w:right="1999" w:firstLine="632"/>
        <w:spacing w:after="0" w:line="275" w:lineRule="auto"/>
        <w:rPr>
          <w:sz w:val="20"/>
          <w:szCs w:val="20"/>
          <w:color w:val="auto"/>
        </w:rPr>
      </w:pPr>
      <w:r>
        <w:rPr>
          <w:rFonts w:ascii="Courier New" w:cs="Courier New" w:eastAsia="Courier New" w:hAnsi="Courier New"/>
          <w:sz w:val="16"/>
          <w:szCs w:val="16"/>
          <w:color w:val="auto"/>
        </w:rPr>
        <w:t>1.3. DURATION OF THE PLAN. No Award may be granted under the Plan after the day immediately preceding the tenth anniversary of the Effective Date, or such earlier date as the Board shall determine. The Plan will remain in effect with respect to outstanding Awards until no Awards remain outstanding.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2. DEFINITIONS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following terms, when capitalized, shall have the meanings set forth</w:t>
      </w:r>
    </w:p>
    <w:p>
      <w:pPr>
        <w:spacing w:after="0" w:line="238" w:lineRule="auto"/>
        <w:rPr>
          <w:sz w:val="20"/>
          <w:szCs w:val="20"/>
          <w:color w:val="auto"/>
        </w:rPr>
      </w:pPr>
      <w:r>
        <w:rPr>
          <w:rFonts w:ascii="Courier New" w:cs="Courier New" w:eastAsia="Courier New" w:hAnsi="Courier New"/>
          <w:sz w:val="18"/>
          <w:szCs w:val="18"/>
          <w:color w:val="auto"/>
        </w:rPr>
        <w:t>below:</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2.1. "AWARD" means, individually or collectively, Nonqualified Stock Options, Incentive Stock Options, Stock Appreciation Rights, Restricted Stock, Restricted Stock Units, Performance Shares, Performance Units, and Other Awards granted under the Plan.</w:t>
      </w:r>
    </w:p>
    <w:p>
      <w:pPr>
        <w:spacing w:after="0" w:line="207" w:lineRule="exact"/>
        <w:rPr>
          <w:sz w:val="20"/>
          <w:szCs w:val="20"/>
          <w:color w:val="auto"/>
        </w:rPr>
      </w:pPr>
    </w:p>
    <w:p>
      <w:pPr>
        <w:ind w:right="1779" w:firstLine="632"/>
        <w:spacing w:after="0" w:line="290" w:lineRule="auto"/>
        <w:rPr>
          <w:sz w:val="20"/>
          <w:szCs w:val="20"/>
          <w:color w:val="auto"/>
        </w:rPr>
      </w:pPr>
      <w:r>
        <w:rPr>
          <w:rFonts w:ascii="Courier New" w:cs="Courier New" w:eastAsia="Courier New" w:hAnsi="Courier New"/>
          <w:sz w:val="16"/>
          <w:szCs w:val="16"/>
          <w:color w:val="auto"/>
        </w:rPr>
        <w:t>2.2. "AWARD AGREEMENT" means an agreement entered into by the Company and a Participant setting forth the terms and provisions applicable to an Award.</w:t>
      </w:r>
    </w:p>
    <w:p>
      <w:pPr>
        <w:spacing w:after="0" w:line="170" w:lineRule="exact"/>
        <w:rPr>
          <w:sz w:val="20"/>
          <w:szCs w:val="20"/>
          <w:color w:val="auto"/>
        </w:rPr>
      </w:pPr>
    </w:p>
    <w:p>
      <w:pPr>
        <w:ind w:right="1879" w:firstLine="632"/>
        <w:spacing w:after="0" w:line="290" w:lineRule="auto"/>
        <w:rPr>
          <w:sz w:val="20"/>
          <w:szCs w:val="20"/>
          <w:color w:val="auto"/>
        </w:rPr>
      </w:pPr>
      <w:r>
        <w:rPr>
          <w:rFonts w:ascii="Courier New" w:cs="Courier New" w:eastAsia="Courier New" w:hAnsi="Courier New"/>
          <w:sz w:val="16"/>
          <w:szCs w:val="16"/>
          <w:color w:val="auto"/>
        </w:rPr>
        <w:t>2.3. "BENEFICIAL OWNERSHIP" shall have the meaning ascribed to such term in Rule 13d-3 of the General Rules and Regulations under the Exchange Act.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FNT 2005 Omnibus Incentive Plan (v2)</w:t>
      </w:r>
    </w:p>
    <w:p>
      <w:pPr>
        <w:sectPr>
          <w:pgSz w:w="11900" w:h="16838" w:orient="portrait"/>
          <w:cols w:equalWidth="0" w:num="1">
            <w:col w:w="10219"/>
          </w:cols>
          <w:pgMar w:left="240" w:top="717" w:right="1440" w:bottom="1440" w:gutter="0" w:footer="0" w:header="0"/>
        </w:sectPr>
      </w:pPr>
    </w:p>
    <w:bookmarkStart w:id="50" w:name="page51"/>
    <w:bookmarkEnd w:id="50"/>
    <w:p>
      <w:pPr>
        <w:ind w:left="640"/>
        <w:spacing w:after="0"/>
        <w:tabs>
          <w:tab w:leader="none" w:pos="126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"BOARD" means the Board of Directors of the Company.</w:t>
      </w:r>
    </w:p>
    <w:p>
      <w:pPr>
        <w:spacing w:after="0" w:line="207"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2.5. "CHANGE IN CONTROL" means that the conditions set forth in any one of the following subsections shall have been satisfied:</w:t>
      </w:r>
    </w:p>
    <w:p>
      <w:pPr>
        <w:spacing w:after="0" w:line="208" w:lineRule="exact"/>
        <w:rPr>
          <w:sz w:val="20"/>
          <w:szCs w:val="20"/>
          <w:color w:val="auto"/>
        </w:rPr>
      </w:pPr>
    </w:p>
    <w:p>
      <w:pPr>
        <w:ind w:left="1900" w:right="1779" w:hanging="628"/>
        <w:spacing w:after="0" w:line="269" w:lineRule="auto"/>
        <w:tabs>
          <w:tab w:leader="none" w:pos="19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acquisition immediately after which any Person possesses direct or indirect Beneficial Ownership of 25% or more of either the then outstanding shares of Company common stock (the "Outstanding Company Common Stock") or the combined voting power of the then outstanding voting securities of the Company entitled to vote generally in the election of directors (the "Outstanding Company Voting Securities"); provided that, immediately after such acquisition, the acquirer's Beneficial Ownership of the Outstanding Company Common Stock or the Outstanding Company Voting Securities, as the case may be, exceeds FNF's; provided further that the following acquisitions shall be excluded: (i) any acquisition directly from the Company, other than an acquisition by virtue of the exercise of a conversion privilege unless the security being so converted was itself acquired directly from the Company, (ii) any acquisition by the Company or by FNF, (iii) any acquisition by any employee benefit plan (or related trust) sponsored or maintained by the Company, a Parent or a Subsidiary, or (iv) any acquisition pursuant to a transaction that complies with paragraphs (i), (ii) and (iii) of subsection (c) of this Section 2.5; or</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1900" w:right="1779" w:hanging="628"/>
        <w:spacing w:after="0" w:line="269" w:lineRule="auto"/>
        <w:tabs>
          <w:tab w:leader="none" w:pos="19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any period of two consecutive years, the individuals who, as of the beginning of such period, constitute the Board (such Board shall be hereinafter referred to as the "Incumbent Board") cease for any reason to constitute at least a majority of the Board; provided that for purposes of this Section 2.5, any individual who becomes a member of the Board subsequent to the beginning of such period and whose election, or nomination for election by the Company's shareholders, was approved by a vote of at least two-thirds of those individuals who are members of the Board and who were also members of the Incumbent Board (or deemed to be such pursuant to this proviso) shall be considered as though such individual were a member of the Incumbent Board; provided, further, that any such individual whose initial assumption of office occurs as a result of either an actual or threatened election contest or other actual or threatened solicitation of proxies or consents by or on behalf of a Person other than the Board shall not be so considered as a member of the Incumbent Board; or</w:t>
      </w:r>
    </w:p>
    <w:p>
      <w:pPr>
        <w:spacing w:after="0" w:line="395" w:lineRule="exact"/>
        <w:rPr>
          <w:rFonts w:ascii="Courier New" w:cs="Courier New" w:eastAsia="Courier New" w:hAnsi="Courier New"/>
          <w:sz w:val="16"/>
          <w:szCs w:val="16"/>
          <w:color w:val="auto"/>
        </w:rPr>
      </w:pPr>
    </w:p>
    <w:p>
      <w:pPr>
        <w:ind w:left="1900" w:right="2199" w:hanging="628"/>
        <w:spacing w:after="0" w:line="237" w:lineRule="auto"/>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consummation of a reorganization, merger, share exchange, consolidation or sale or other disposition of all or substantially all of the assets of the Company ("Corporate Transaction"); excluding, however, such a Corporate Transaction pursuant to which:</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51" w:name="page52"/>
    <w:bookmarkEnd w:id="51"/>
    <w:p>
      <w:pPr>
        <w:ind w:left="2540" w:right="1779" w:hanging="636"/>
        <w:spacing w:after="0" w:line="269" w:lineRule="auto"/>
        <w:tabs>
          <w:tab w:leader="none" w:pos="25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or substantially all of the individuals and entities who have Beneficial Ownership, respectively, of the Outstanding Company Common Stock and Outstanding Company Voting Securities immediately prior to such Corporate Transaction will have Beneficial Ownership, directly or indirectly, of more than 50% of, respectively, the outstanding shares of common stock and the combined voting power of the then outstanding voting securities entitled to vote generally in the election of directors, as the case may be, of the corporation resulting from such Corporate Transaction (including, without limitation, the Company or a corporation that as a result of such transaction owns the Company or all or substantially all of the Company's assets either directly or through one or more subsidiaries) (the "Resulting Corporation") in substantially the same proportions as their ownership, immediately prior to such Corporate Transaction, of the Outstanding Company Common Stock and Outstanding Company Voting Securities, as the case may be;</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jc w:val="both"/>
        <w:ind w:left="2540" w:right="2099" w:hanging="636"/>
        <w:spacing w:after="0" w:line="268" w:lineRule="auto"/>
        <w:tabs>
          <w:tab w:leader="none" w:pos="25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Person (other than (1) the Company, (2) the parent organization of the Company or Resulting Corporation,</w:t>
      </w:r>
    </w:p>
    <w:p>
      <w:pPr>
        <w:ind w:left="2960" w:hanging="424"/>
        <w:spacing w:after="0" w:line="238" w:lineRule="auto"/>
        <w:tabs>
          <w:tab w:leader="none" w:pos="29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 (or related trust)</w:t>
      </w:r>
    </w:p>
    <w:p>
      <w:pPr>
        <w:spacing w:after="0" w:line="4" w:lineRule="exact"/>
        <w:rPr>
          <w:rFonts w:ascii="Courier New" w:cs="Courier New" w:eastAsia="Courier New" w:hAnsi="Courier New"/>
          <w:sz w:val="18"/>
          <w:szCs w:val="18"/>
          <w:color w:val="auto"/>
        </w:rPr>
      </w:pPr>
    </w:p>
    <w:p>
      <w:pPr>
        <w:ind w:left="2540"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sponsored or maintained by the Company or Resulting Corporation, or (4) any entity controlled by the Company or Resulting Corporation) will have Beneficial Ownership, directly or indirectly, of 25% or more of, respectively, the outstanding shares of common stock of the Resulting Corporation or the combined voting power of the outstanding voting securities of the Resulting Corporation entitled to vote generally in the election of directors, except to the extent that such ownership existed prior to the Corporate Transaction; and</w:t>
      </w:r>
    </w:p>
    <w:p>
      <w:pPr>
        <w:spacing w:after="0" w:line="189" w:lineRule="exact"/>
        <w:rPr>
          <w:rFonts w:ascii="Courier New" w:cs="Courier New" w:eastAsia="Courier New" w:hAnsi="Courier New"/>
          <w:sz w:val="18"/>
          <w:szCs w:val="18"/>
          <w:color w:val="auto"/>
        </w:rPr>
      </w:pPr>
    </w:p>
    <w:p>
      <w:pPr>
        <w:ind w:left="2540" w:right="1779" w:hanging="636"/>
        <w:spacing w:after="0" w:line="237" w:lineRule="auto"/>
        <w:tabs>
          <w:tab w:leader="none" w:pos="2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individuals who were members of the Incumbent Board will continue to constitute at least a majority of the members of the board of directors of the Resulting Corporation; or</w:t>
      </w:r>
    </w:p>
    <w:p>
      <w:pPr>
        <w:spacing w:after="0" w:line="207" w:lineRule="exact"/>
        <w:rPr>
          <w:sz w:val="20"/>
          <w:szCs w:val="20"/>
          <w:color w:val="auto"/>
        </w:rPr>
      </w:pPr>
    </w:p>
    <w:p>
      <w:pPr>
        <w:ind w:left="1900" w:right="1879" w:hanging="628"/>
        <w:spacing w:after="0" w:line="235" w:lineRule="auto"/>
        <w:tabs>
          <w:tab w:leader="none" w:pos="19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approval by the stockholders of the Company of a complete liquidation or dissolution of the Company.</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Notwithstanding anything to the contrary in the foregoing definition, neither an initial public offering of the Company's common stock nor the distribution of the Company's common stock held by FNF to FNF's stockholders (the "Distribution") shall constitute a Change in Control for purposes of this Plan. In addition, as long as FNF owns more than 50% of the Outstanding Company Common Stock or Outstanding Company Voting Securities, a change in control of FNF shall also be considered a Change in Control</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52" w:name="page53"/>
    <w:bookmarkEnd w:id="52"/>
    <w:p>
      <w:pPr>
        <w:ind w:right="1879"/>
        <w:spacing w:after="0" w:line="237" w:lineRule="auto"/>
        <w:rPr>
          <w:sz w:val="20"/>
          <w:szCs w:val="20"/>
          <w:color w:val="auto"/>
        </w:rPr>
      </w:pPr>
      <w:r>
        <w:rPr>
          <w:rFonts w:ascii="Courier New" w:cs="Courier New" w:eastAsia="Courier New" w:hAnsi="Courier New"/>
          <w:sz w:val="18"/>
          <w:szCs w:val="18"/>
          <w:color w:val="auto"/>
        </w:rPr>
        <w:t>under the Plan. For this purpose, whether a change in control of FNF has occurred shall be determined in the same manner as described above with respect to the Company, except that if the change in control is the result of an acquisition of FNF's outstanding common stock or outstanding voting securities, Beneficial Ownership of more than 50% of FNF's outstanding common stock or outstanding voting securities must be acquired before a Change in Control will be deemed to have occurred under the Plan.</w:t>
      </w:r>
    </w:p>
    <w:p>
      <w:pPr>
        <w:spacing w:after="0" w:line="211"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2.6. "CODE" means the Internal Revenue Code of 1986, as amended from time to time.</w:t>
      </w:r>
    </w:p>
    <w:p>
      <w:pPr>
        <w:spacing w:after="0" w:line="208"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2.7. "COMMITTEE" means the Committee, as specified in Section 3.1, appointed by the Board to administer the Plan.</w:t>
      </w:r>
    </w:p>
    <w:p>
      <w:pPr>
        <w:spacing w:after="0" w:line="208"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2.8. "COMPANY" means Fidelity National Title Group, Inc., a Delaware corporation, and any successor thereto.</w:t>
      </w:r>
    </w:p>
    <w:p>
      <w:pPr>
        <w:spacing w:after="0" w:line="208"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2.9. "CONSULTANT" means any consultant or advisor to the Company, a Parent or a Subsidiary.</w:t>
      </w:r>
    </w:p>
    <w:p>
      <w:pPr>
        <w:spacing w:after="0" w:line="208"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2.10. "DIRECTOR" means any individual who is a member of the Board of Directors of the Company, a Parent or a Subsidiary.</w:t>
      </w:r>
    </w:p>
    <w:p>
      <w:pPr>
        <w:spacing w:after="0" w:line="208"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2.11. "DIVIDEND EQUIVALENT" means, with respect to Shares subject to an Award, a right to be paid an amount equal to the dividends declared and paid on an equal number of outstanding Shares.</w:t>
      </w:r>
    </w:p>
    <w:p>
      <w:pPr>
        <w:spacing w:after="0" w:line="209"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2.12. "EFFECTIVE DATE" shall have the meaning ascribed to such term in Section 1.1 hereof.</w:t>
      </w:r>
    </w:p>
    <w:p>
      <w:pPr>
        <w:spacing w:after="0" w:line="208" w:lineRule="exact"/>
        <w:rPr>
          <w:sz w:val="20"/>
          <w:szCs w:val="20"/>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2.13. "EMPLOYEE" means any employee of the Company, a Parent or a Subsidiary.</w:t>
      </w:r>
    </w:p>
    <w:p>
      <w:pPr>
        <w:spacing w:after="0" w:line="208"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2.14. "EXCHANGE ACT" means the Securities Exchange Act of 1934, as amended from time to time.</w:t>
      </w:r>
    </w:p>
    <w:p>
      <w:pPr>
        <w:spacing w:after="0" w:line="208"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2.15. "EXERCISE PRICE" means the price at which a Share may be purchased by a Participant pursuant to an Option.</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2.16. "FAIR MARKET VALUE" means the fair market value of a Share as determined in good faith by the Committee or pursuant to a procedure specified in good faith by the Committee; provided, however, that if the Committee has not specified otherwise, Fair Market Value shall mean the closing price of a Share as reported in a consolidated transaction reporting system on the date of valuation, or, if there was no such sale on the relevant date, then on the last previous day on which a sale was reported.</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53" w:name="page54"/>
    <w:bookmarkEnd w:id="53"/>
    <w:p>
      <w:pPr>
        <w:ind w:right="2939" w:firstLine="632"/>
        <w:spacing w:after="0" w:line="235" w:lineRule="auto"/>
        <w:rPr>
          <w:sz w:val="20"/>
          <w:szCs w:val="20"/>
          <w:color w:val="auto"/>
        </w:rPr>
      </w:pPr>
      <w:r>
        <w:rPr>
          <w:rFonts w:ascii="Courier New" w:cs="Courier New" w:eastAsia="Courier New" w:hAnsi="Courier New"/>
          <w:sz w:val="18"/>
          <w:szCs w:val="18"/>
          <w:color w:val="auto"/>
        </w:rPr>
        <w:t>2.17. "FNF" means Fidelity National Financial, Inc., a Delaware corporation, and any successor thereto.</w:t>
      </w:r>
    </w:p>
    <w:p>
      <w:pPr>
        <w:spacing w:after="0" w:line="208"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2.18. "FREESTANDING SAR" means an SAR that is granted independently of any Options, as described in Article 7 herein.</w:t>
      </w:r>
    </w:p>
    <w:p>
      <w:pPr>
        <w:spacing w:after="0" w:line="208"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2.19. "INCENTIVE STOCK OPTION" or "ISO" means an Option that is intended to meet the requirements of Code Section 422.</w:t>
      </w:r>
    </w:p>
    <w:p>
      <w:pPr>
        <w:spacing w:after="0" w:line="208"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2.20. "NONQUALIFIED STOCK OPTION" or "NQSO" means an Option that is not intended to meet the requirements of Code Section 422.</w:t>
      </w:r>
    </w:p>
    <w:p>
      <w:pPr>
        <w:spacing w:after="0" w:line="208"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2.21. "OPTION" means an Incentive Stock Option or a Nonqualified Stock Option granted under the Plan, as described in Article 6 herein.</w:t>
      </w:r>
    </w:p>
    <w:p>
      <w:pPr>
        <w:spacing w:after="0" w:line="208"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2.22. "OTHER AWARD" means a cash, Share-based or Share-related Award (other than an Award described in Article 6, 7, 8, 9 or 10 of the Plan) that is granted pursuant to Article 11 herein.</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2.23. "PARENT" means any corporation (other than the Company) in an unbroken chain of corporations ending with the Company, if each of the corporations other than the Company owns stock possessing fifty percent (50%) or more of the total combined voting power of all classes of stock in one of the other corporations in such chain. Notwithstanding the foregoing, for purposes of determining whether any individual may be a Participant for purposes of any grant of Incentive Stock Options, "Parent" shall have the meaning ascribed to such term in Code Section 424(e).</w:t>
      </w:r>
    </w:p>
    <w:p>
      <w:pPr>
        <w:spacing w:after="0" w:line="212"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2.24. "PARTICIPANT" means a current or former Employee, Director or Consultant who has rights relating to an outstanding Award.</w:t>
      </w:r>
    </w:p>
    <w:p>
      <w:pPr>
        <w:spacing w:after="0" w:line="208"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2.25. "PERFORMANCE-BASED EXCEPTION" means the performance-based exception from the tax deductibility limitations of Code Section 162(m).</w:t>
      </w:r>
    </w:p>
    <w:p>
      <w:pPr>
        <w:spacing w:after="0" w:line="208"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2.26. "PERFORMANCE PERIOD" means the period during which a performance measure must be met.</w:t>
      </w:r>
    </w:p>
    <w:p>
      <w:pPr>
        <w:spacing w:after="0" w:line="208"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2.27. "PERFORMANCE SHARE" means an Award granted to a Participant, as described in Article 9 herein.</w:t>
      </w:r>
    </w:p>
    <w:p>
      <w:pPr>
        <w:spacing w:after="0" w:line="208"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2.28. "PERFORMANCE UNIT" means an Award granted to a Participant, as described in Article 10 herein.</w:t>
      </w:r>
    </w:p>
    <w:p>
      <w:pPr>
        <w:spacing w:after="0" w:line="208"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2.29. "PERIOD OF RESTRICTION" means the period Restricted Stock or Restricted Stock Units are subject to a substantial risk of forfeiture and are not transferable, as provided in Articles 8 and 9 herein.</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2.30. "PERSON" shall have the meaning ascribed to such term in Section</w:t>
      </w:r>
    </w:p>
    <w:p>
      <w:pPr>
        <w:spacing w:after="0" w:line="238" w:lineRule="auto"/>
        <w:rPr>
          <w:sz w:val="20"/>
          <w:szCs w:val="20"/>
          <w:color w:val="auto"/>
        </w:rPr>
      </w:pPr>
      <w:r>
        <w:rPr>
          <w:rFonts w:ascii="Courier New" w:cs="Courier New" w:eastAsia="Courier New" w:hAnsi="Courier New"/>
          <w:sz w:val="18"/>
          <w:szCs w:val="18"/>
          <w:color w:val="auto"/>
        </w:rPr>
        <w:t>3(a)(9) of the Exchange Act and used in Sections 13(d) and 14(d) thereof.</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54" w:name="page55"/>
    <w:bookmarkEnd w:id="54"/>
    <w:p>
      <w:pPr>
        <w:ind w:right="1779" w:firstLine="632"/>
        <w:spacing w:after="0" w:line="237" w:lineRule="auto"/>
        <w:rPr>
          <w:sz w:val="20"/>
          <w:szCs w:val="20"/>
          <w:color w:val="auto"/>
        </w:rPr>
      </w:pPr>
      <w:r>
        <w:rPr>
          <w:rFonts w:ascii="Courier New" w:cs="Courier New" w:eastAsia="Courier New" w:hAnsi="Courier New"/>
          <w:sz w:val="18"/>
          <w:szCs w:val="18"/>
          <w:color w:val="auto"/>
        </w:rPr>
        <w:t>2.31. "REPLACEMENT AWARDS" means Awards issued in substitution of awards granted under equity-based incentive plans sponsored or maintained by an entity with which the Company engages in a merger, acquisition or other business transaction, pursuant to which awards relating to interests in such entity (or a related entity) are outstanding immediately prior to such merger, acquisition or other business transaction. For all purposes hereunder, Replacement Awards shall be deemed Awards.</w:t>
      </w:r>
    </w:p>
    <w:p>
      <w:pPr>
        <w:spacing w:after="0" w:line="211"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2.32. "RESTRICTED STOCK" means an Award granted to a Participant, as described in Article 8 herein.</w:t>
      </w:r>
    </w:p>
    <w:p>
      <w:pPr>
        <w:spacing w:after="0" w:line="208"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2.33. "RESTRICTED STOCK UNIT" means an Award granted to a Participant, as described in Article 9 herein.</w:t>
      </w:r>
    </w:p>
    <w:p>
      <w:pPr>
        <w:spacing w:after="0" w:line="208" w:lineRule="exact"/>
        <w:rPr>
          <w:sz w:val="20"/>
          <w:szCs w:val="20"/>
          <w:color w:val="auto"/>
        </w:rPr>
      </w:pPr>
    </w:p>
    <w:p>
      <w:pPr>
        <w:ind w:right="1999" w:firstLine="632"/>
        <w:spacing w:after="0" w:line="290" w:lineRule="auto"/>
        <w:rPr>
          <w:sz w:val="20"/>
          <w:szCs w:val="20"/>
          <w:color w:val="auto"/>
        </w:rPr>
      </w:pPr>
      <w:r>
        <w:rPr>
          <w:rFonts w:ascii="Courier New" w:cs="Courier New" w:eastAsia="Courier New" w:hAnsi="Courier New"/>
          <w:sz w:val="16"/>
          <w:szCs w:val="16"/>
          <w:color w:val="auto"/>
        </w:rPr>
        <w:t>2.34. "SHARE" means a share of Class A common stock of the Company, par value $0.0001 per share, subject to adjustment pursuant to Section 4.3 hereof.</w:t>
      </w:r>
    </w:p>
    <w:p>
      <w:pPr>
        <w:spacing w:after="0" w:line="170"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2.35. "STOCK APPRECIATION RIGHT" or "SAR" means an Award granted to a Participant, either alone or in connection with a related Option, as described in Article 7 herein.</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2.36. "SUBSIDIARY" means any corporation in which the Company owns, directly or indirectly, at least fifty percent (50%) of the total combined voting power of all classes of stock, or any other entity (including, but not limited to, partnerships and joint ventures) in which the Company owns, directly or indirectly, at least fifty percent (50%) of the combined equity thereof. Notwithstanding the foregoing, for purposes of determining whether any individual may be a Participant for purposes of any grant of Incentive Stock Options, "Subsidiary" shall have the meaning ascribed to such term in Code Section 424(f).</w:t>
      </w:r>
    </w:p>
    <w:p>
      <w:pPr>
        <w:spacing w:after="0" w:line="214"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2.37. "TANDEM SAR" means an SAR that is granted in connection with a related Option, as described in Article 7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3. ADMINISTRATION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3.1. THE COMMITTEE. The Plan shall be administered by the Compensation Committee of the Board or such other committee (the "Committee") as the Board shall select consisting solely of two or more members of the Board. The members of the Committee shall be appointed from time to time by, and shall serve at the discretion of, the Board. Notwithstanding the foregoing, until such time as the Board appoints the Committee, the Compensation Committee of FNF's Board of Directors shall serve as the Committee.</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3.2. AUTHORITY OF THE COMMITTEE. Except as limited by law or by the Certificate of Incorporation or Bylaws of the Company, and subject to the provisions herein, the Committee shall have full power to select the Employees, Directors and Consultants who shall participate in the Plan; determine the sizes and types of Awards; determine the terms and conditions of Awards in a manner consistent with the Plan; construe and interpret the Plan and any Award Agreement or other agreement or</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55" w:name="page56"/>
    <w:bookmarkEnd w:id="55"/>
    <w:p>
      <w:pPr>
        <w:ind w:right="1879"/>
        <w:spacing w:after="0" w:line="237" w:lineRule="auto"/>
        <w:rPr>
          <w:sz w:val="20"/>
          <w:szCs w:val="20"/>
          <w:color w:val="auto"/>
        </w:rPr>
      </w:pPr>
      <w:r>
        <w:rPr>
          <w:rFonts w:ascii="Courier New" w:cs="Courier New" w:eastAsia="Courier New" w:hAnsi="Courier New"/>
          <w:sz w:val="18"/>
          <w:szCs w:val="18"/>
          <w:color w:val="auto"/>
        </w:rPr>
        <w:t>instrument entered into in connection with the Plan; establish, amend, or waive rules and regulations for the Plan's administration; and, subject to the provisions of Section 19.3 herein, amend the terms and conditions of any outstanding Award and Award Agreement. Further, the Committee shall make all other determinations that may be necessary or advisable for the administration of the Plan. As permitted by law, the Committee may delegate its authority as identified herein.</w:t>
      </w:r>
    </w:p>
    <w:p>
      <w:pPr>
        <w:spacing w:after="0" w:line="211"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3.3. DECISIONS BINDING. All determinations and decisions made by the Committee pursuant to the provisions of the Plan and all related orders and resolutions of the Board shall be final, conclusive and binding on all persons, including the Company, its Subsidiaries, its stockholders, Directors, Employees, Consultants and their estates and beneficiaries and any transferee of an Award.</w:t>
      </w:r>
    </w:p>
    <w:p>
      <w:pPr>
        <w:spacing w:after="0" w:line="185" w:lineRule="exact"/>
        <w:rPr>
          <w:sz w:val="20"/>
          <w:szCs w:val="20"/>
          <w:color w:val="auto"/>
        </w:rPr>
      </w:pPr>
    </w:p>
    <w:p>
      <w:pPr>
        <w:ind w:left="1160" w:right="2319" w:hanging="1158"/>
        <w:spacing w:after="0" w:line="235" w:lineRule="auto"/>
        <w:rPr>
          <w:sz w:val="20"/>
          <w:szCs w:val="20"/>
          <w:color w:val="auto"/>
        </w:rPr>
      </w:pPr>
      <w:r>
        <w:rPr>
          <w:rFonts w:ascii="Courier New" w:cs="Courier New" w:eastAsia="Courier New" w:hAnsi="Courier New"/>
          <w:sz w:val="18"/>
          <w:szCs w:val="18"/>
          <w:color w:val="auto"/>
        </w:rPr>
        <w:t>ARTICLE 4. SHARES SUBJECT TO THE PLAN; INDIVIDUAL LIMITS; AND ANTI-DILUTION ADJUSTMENTS</w:t>
      </w:r>
    </w:p>
    <w:p>
      <w:pPr>
        <w:spacing w:after="0" w:line="203"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NUMBER OF SHARES AVAILABLE FOR GRANTS.</w:t>
      </w:r>
    </w:p>
    <w:p>
      <w:pPr>
        <w:spacing w:after="0" w:line="207" w:lineRule="exact"/>
        <w:rPr>
          <w:sz w:val="20"/>
          <w:szCs w:val="20"/>
          <w:color w:val="auto"/>
        </w:rPr>
      </w:pPr>
    </w:p>
    <w:p>
      <w:pPr>
        <w:ind w:left="1900" w:right="1999" w:hanging="628"/>
        <w:spacing w:after="0" w:line="279" w:lineRule="auto"/>
        <w:tabs>
          <w:tab w:leader="none" w:pos="19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adjustment as provided in Section 4.3 herein, the maximum number of Shares that may be delivered pursuant to Awards under the Plan shall be 8,000,000, provided that:</w:t>
      </w:r>
    </w:p>
    <w:p>
      <w:pPr>
        <w:spacing w:after="0" w:line="178" w:lineRule="exact"/>
        <w:rPr>
          <w:rFonts w:ascii="Courier New" w:cs="Courier New" w:eastAsia="Courier New" w:hAnsi="Courier New"/>
          <w:sz w:val="16"/>
          <w:szCs w:val="16"/>
          <w:color w:val="auto"/>
        </w:rPr>
      </w:pPr>
    </w:p>
    <w:p>
      <w:pPr>
        <w:ind w:left="2540" w:right="1779" w:hanging="636"/>
        <w:spacing w:after="0" w:line="237" w:lineRule="auto"/>
        <w:tabs>
          <w:tab w:leader="none" w:pos="25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that are potentially deliverable under an Award that is canceled, forfeited, settled in cash, expires or is otherwise terminated without delivery of such Shares shall not be counted as having been delivered under the Plan.</w:t>
      </w:r>
    </w:p>
    <w:p>
      <w:pPr>
        <w:spacing w:after="0" w:line="208" w:lineRule="exact"/>
        <w:rPr>
          <w:rFonts w:ascii="Courier New" w:cs="Courier New" w:eastAsia="Courier New" w:hAnsi="Courier New"/>
          <w:sz w:val="18"/>
          <w:szCs w:val="18"/>
          <w:color w:val="auto"/>
        </w:rPr>
      </w:pPr>
    </w:p>
    <w:p>
      <w:pPr>
        <w:ind w:left="2540" w:right="1779" w:hanging="636"/>
        <w:spacing w:after="0" w:line="237" w:lineRule="auto"/>
        <w:tabs>
          <w:tab w:leader="none" w:pos="25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that are held back, tendered or returned to cover the Exercise Price or tax withholding obligations with respect to an Award shall not be counted as having been delivered under the Plan.</w:t>
      </w:r>
    </w:p>
    <w:p>
      <w:pPr>
        <w:spacing w:after="0" w:line="207" w:lineRule="exact"/>
        <w:rPr>
          <w:rFonts w:ascii="Courier New" w:cs="Courier New" w:eastAsia="Courier New" w:hAnsi="Courier New"/>
          <w:sz w:val="18"/>
          <w:szCs w:val="18"/>
          <w:color w:val="auto"/>
        </w:rPr>
      </w:pPr>
    </w:p>
    <w:p>
      <w:pPr>
        <w:ind w:left="2540" w:right="1779" w:hanging="636"/>
        <w:spacing w:after="0" w:line="237" w:lineRule="auto"/>
        <w:tabs>
          <w:tab w:leader="none" w:pos="25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that have been issued in connection with an Award of Restricted Stock that is canceled or forfeited prior to vesting or settled in cash, causing the Shares to be returned to the Company, shall not be counted as having been delivered under the Plan.</w:t>
      </w:r>
    </w:p>
    <w:p>
      <w:pPr>
        <w:spacing w:after="0" w:line="209" w:lineRule="exact"/>
        <w:rPr>
          <w:sz w:val="20"/>
          <w:szCs w:val="20"/>
          <w:color w:val="auto"/>
        </w:rPr>
      </w:pPr>
    </w:p>
    <w:p>
      <w:pPr>
        <w:ind w:left="1900" w:right="1779"/>
        <w:spacing w:after="0" w:line="238" w:lineRule="auto"/>
        <w:rPr>
          <w:sz w:val="20"/>
          <w:szCs w:val="20"/>
          <w:color w:val="auto"/>
        </w:rPr>
      </w:pPr>
      <w:r>
        <w:rPr>
          <w:rFonts w:ascii="Courier New" w:cs="Courier New" w:eastAsia="Courier New" w:hAnsi="Courier New"/>
          <w:sz w:val="18"/>
          <w:szCs w:val="18"/>
          <w:color w:val="auto"/>
        </w:rPr>
        <w:t>Notwithstanding the foregoing, if Shares are returned to the Company in satisfaction of taxes relating to Restricted Stock, in connection with a cash out of Restricted Stock (but excluding upon forfeiture of Restricted Stock) or in connection with the tendering of Shares by a Participant in satisfaction of the Exercise Price or taxes relating to an Award, such issued Shares shall not become available again under the Plan if (x) the transaction resulting in the return of Shares occurs more than ten years after the date the Plan is approved by stockholders in a manner that constitutes stockholder approval for purposes of the New York Stock Exchange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56" w:name="page57"/>
    <w:bookmarkEnd w:id="56"/>
    <w:p>
      <w:pPr>
        <w:ind w:left="1900" w:right="2199"/>
        <w:spacing w:after="0" w:line="237" w:lineRule="auto"/>
        <w:rPr>
          <w:sz w:val="20"/>
          <w:szCs w:val="20"/>
          <w:color w:val="auto"/>
        </w:rPr>
      </w:pPr>
      <w:r>
        <w:rPr>
          <w:rFonts w:ascii="Courier New" w:cs="Courier New" w:eastAsia="Courier New" w:hAnsi="Courier New"/>
          <w:sz w:val="18"/>
          <w:szCs w:val="18"/>
          <w:color w:val="auto"/>
        </w:rPr>
        <w:t>listing standards or (y) such event would constitute a "material revision" of the Plan subject to stockholder approval under then applicable rules of the New York Stock Exchange.</w:t>
      </w:r>
    </w:p>
    <w:p>
      <w:pPr>
        <w:spacing w:after="0" w:line="207" w:lineRule="exact"/>
        <w:rPr>
          <w:sz w:val="20"/>
          <w:szCs w:val="20"/>
          <w:color w:val="auto"/>
        </w:rPr>
      </w:pPr>
    </w:p>
    <w:p>
      <w:pPr>
        <w:jc w:val="both"/>
        <w:ind w:left="1900" w:right="2099"/>
        <w:spacing w:after="0" w:line="236" w:lineRule="auto"/>
        <w:rPr>
          <w:sz w:val="20"/>
          <w:szCs w:val="20"/>
          <w:color w:val="auto"/>
        </w:rPr>
      </w:pPr>
      <w:r>
        <w:rPr>
          <w:rFonts w:ascii="Courier New" w:cs="Courier New" w:eastAsia="Courier New" w:hAnsi="Courier New"/>
          <w:sz w:val="18"/>
          <w:szCs w:val="18"/>
          <w:color w:val="auto"/>
        </w:rPr>
        <w:t>Shares delivered pursuant to the Plan may be authorized but unissued Shares, treasury Shares or Shares purchased on the open market.</w:t>
      </w:r>
    </w:p>
    <w:p>
      <w:pPr>
        <w:spacing w:after="0" w:line="209" w:lineRule="exact"/>
        <w:rPr>
          <w:sz w:val="20"/>
          <w:szCs w:val="20"/>
          <w:color w:val="auto"/>
        </w:rPr>
      </w:pPr>
    </w:p>
    <w:p>
      <w:pPr>
        <w:ind w:left="1900" w:right="1879" w:hanging="628"/>
        <w:spacing w:after="0" w:line="237" w:lineRule="auto"/>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adjustment as provided in Section 4.3 herein, 8,000,000 Shares may be delivered in connection with "full value Awards," meaning Awards other than Options, SARs, or Other Awards for which the Participant pays the grant date intrinsic value directly or by forgoing a right to receive a cash payment from the Company; provided, however, that full-value Awards in excess of the number specified in the above limit may be granted and Shares delivered in settlement thereof if the aggregate number of Shares that remain available for Awards other than full-value Awards is reduced by 3 Shares for each excess Share delivered.</w:t>
      </w:r>
    </w:p>
    <w:p>
      <w:pPr>
        <w:spacing w:after="0" w:line="215" w:lineRule="exact"/>
        <w:rPr>
          <w:rFonts w:ascii="Courier New" w:cs="Courier New" w:eastAsia="Courier New" w:hAnsi="Courier New"/>
          <w:sz w:val="18"/>
          <w:szCs w:val="18"/>
          <w:color w:val="auto"/>
        </w:rPr>
      </w:pPr>
    </w:p>
    <w:p>
      <w:pPr>
        <w:ind w:left="1900" w:right="1779" w:hanging="628"/>
        <w:spacing w:after="0" w:line="237" w:lineRule="auto"/>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for purposes of determining the number of Shares available for grant as Incentive Stock Options, only Shares that are subject to an Award that expires or is cancelled, forfeited or settled in cash shall be treated as not having been issued under the Plan.</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4.2. INDIVIDUAL LIMITS. Subject to adjustment as provided in Section 4.3 herein, the following rules shall apply with respect to Awards and any related dividends or Dividend Equivalents intended to qualify for the Performance-Based Exception:</w:t>
      </w:r>
    </w:p>
    <w:p>
      <w:pPr>
        <w:spacing w:after="0" w:line="207" w:lineRule="exact"/>
        <w:rPr>
          <w:sz w:val="20"/>
          <w:szCs w:val="20"/>
          <w:color w:val="auto"/>
        </w:rPr>
      </w:pPr>
    </w:p>
    <w:p>
      <w:pPr>
        <w:ind w:left="1900" w:right="1879" w:hanging="628"/>
        <w:spacing w:after="0" w:line="236" w:lineRule="auto"/>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The maximum aggregate number of Shares with respect to which Options may be granted in any one fiscal year to any one Participant shall be 4,000,000 Shares.</w:t>
      </w:r>
    </w:p>
    <w:p>
      <w:pPr>
        <w:spacing w:after="0" w:line="208" w:lineRule="exact"/>
        <w:rPr>
          <w:rFonts w:ascii="Courier New" w:cs="Courier New" w:eastAsia="Courier New" w:hAnsi="Courier New"/>
          <w:sz w:val="18"/>
          <w:szCs w:val="18"/>
          <w:color w:val="auto"/>
        </w:rPr>
      </w:pPr>
    </w:p>
    <w:p>
      <w:pPr>
        <w:ind w:left="1900" w:right="1879" w:hanging="628"/>
        <w:spacing w:after="0" w:line="279" w:lineRule="auto"/>
        <w:tabs>
          <w:tab w:leader="none" w:pos="19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SARS: The maximum aggregate number of Shares with respect to which Stock Appreciation Rights may be granted in any one fiscal year to any one Participant shall be 4,000,000 Shares.</w:t>
      </w:r>
    </w:p>
    <w:p>
      <w:pPr>
        <w:spacing w:after="0" w:line="178" w:lineRule="exact"/>
        <w:rPr>
          <w:rFonts w:ascii="Courier New" w:cs="Courier New" w:eastAsia="Courier New" w:hAnsi="Courier New"/>
          <w:sz w:val="16"/>
          <w:szCs w:val="16"/>
          <w:color w:val="auto"/>
        </w:rPr>
      </w:pPr>
    </w:p>
    <w:p>
      <w:pPr>
        <w:ind w:left="1900" w:right="1779" w:hanging="628"/>
        <w:spacing w:after="0" w:line="236" w:lineRule="auto"/>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The maximum aggregate number of Shares of Restricted Stock that may be granted in any one fiscal year to any one Participant shall be 2,000,000 Shares.</w:t>
      </w:r>
    </w:p>
    <w:p>
      <w:pPr>
        <w:spacing w:after="0" w:line="208" w:lineRule="exact"/>
        <w:rPr>
          <w:rFonts w:ascii="Courier New" w:cs="Courier New" w:eastAsia="Courier New" w:hAnsi="Courier New"/>
          <w:sz w:val="18"/>
          <w:szCs w:val="18"/>
          <w:color w:val="auto"/>
        </w:rPr>
      </w:pPr>
    </w:p>
    <w:p>
      <w:pPr>
        <w:ind w:left="1900" w:right="1779" w:hanging="628"/>
        <w:spacing w:after="0" w:line="237" w:lineRule="auto"/>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UNITS: The maximum aggregate number of Shares with respect to which Restricted Stock Units may be granted in any one fiscal year to any one Participant shall be 2,000,000 Shares.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57" w:name="page58"/>
    <w:bookmarkEnd w:id="57"/>
    <w:p>
      <w:pPr>
        <w:ind w:left="1900" w:right="1779" w:hanging="628"/>
        <w:spacing w:after="0" w:line="237" w:lineRule="auto"/>
        <w:tabs>
          <w:tab w:leader="none" w:pos="19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SHARES: The maximum aggregate number of Shares with respect to which Performance Shares may be granted in any one fiscal year to any one Participant shall be 2,000,000 Shares.</w:t>
      </w:r>
    </w:p>
    <w:p>
      <w:pPr>
        <w:spacing w:after="0" w:line="207" w:lineRule="exact"/>
        <w:rPr>
          <w:rFonts w:ascii="Courier New" w:cs="Courier New" w:eastAsia="Courier New" w:hAnsi="Courier New"/>
          <w:sz w:val="18"/>
          <w:szCs w:val="18"/>
          <w:color w:val="auto"/>
        </w:rPr>
      </w:pPr>
    </w:p>
    <w:p>
      <w:pPr>
        <w:ind w:left="1900" w:right="1779" w:hanging="628"/>
        <w:spacing w:after="0" w:line="237" w:lineRule="auto"/>
        <w:tabs>
          <w:tab w:leader="none" w:pos="19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UNITS: The maximum aggregate compensation that can be paid pursuant to Performance Units awarded in any one fiscal year to any one Participant shall be $25,000,000 or a number of Shares having an aggregate Fair Market Value not in excess of such amount.</w:t>
      </w:r>
    </w:p>
    <w:p>
      <w:pPr>
        <w:spacing w:after="0" w:line="208" w:lineRule="exact"/>
        <w:rPr>
          <w:rFonts w:ascii="Courier New" w:cs="Courier New" w:eastAsia="Courier New" w:hAnsi="Courier New"/>
          <w:sz w:val="18"/>
          <w:szCs w:val="18"/>
          <w:color w:val="auto"/>
        </w:rPr>
      </w:pPr>
    </w:p>
    <w:p>
      <w:pPr>
        <w:ind w:left="1900" w:right="1879" w:hanging="628"/>
        <w:spacing w:after="0" w:line="237" w:lineRule="auto"/>
        <w:tabs>
          <w:tab w:leader="none" w:pos="19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AWARDS: The maximum aggregate compensation that can be paid pursuant to Other Awards awarded in any one fiscal year to any one Participant shall be $25,000,000 or a number of Shares having an aggregate Fair Market Value not in excess of such amount.</w:t>
      </w:r>
    </w:p>
    <w:p>
      <w:pPr>
        <w:spacing w:after="0" w:line="208" w:lineRule="exact"/>
        <w:rPr>
          <w:rFonts w:ascii="Courier New" w:cs="Courier New" w:eastAsia="Courier New" w:hAnsi="Courier New"/>
          <w:sz w:val="18"/>
          <w:szCs w:val="18"/>
          <w:color w:val="auto"/>
        </w:rPr>
      </w:pPr>
    </w:p>
    <w:p>
      <w:pPr>
        <w:ind w:left="1900" w:right="1779" w:hanging="628"/>
        <w:spacing w:after="0" w:line="236" w:lineRule="auto"/>
        <w:tabs>
          <w:tab w:leader="none" w:pos="19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AND DIVIDEND EQUIVALENTS: The maximum dividend or Dividend Equivalent that may be paid in any one fiscal year to any one Participant shall be $2,000,000.</w:t>
      </w: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4.3. ADJUSTMENTS IN AUTHORIZED SHARES AND AWARDS. In the event of any merger, reorganization, consolidation, recapitalization, liquidation, stock dividend, split-up, spin-off, stock split, reverse stock split, share combination, share exchange, extraordinary dividend, or any change in the corporate structure affecting the Shares, such adjustment shall be made in the number and kind of Shares that may be delivered under the Plan as set forth in Section 4.1(a) and (b), the individual limits set forth in Section 4.2, and, with respect to outstanding Awards, the number and kind of Shares subject to outstanding Awards, the Exercise Price, grant price or other price of Shares subject to outstanding Awards, any performance conditions relating to Shares, the market price of Shares, or per-Share results, and other terms and conditions of outstanding Awards, as may be determined to be appropriate and equitable by the Committee, in its sole discretion, to prevent dilution or enlargement of rights; provided, however, that, unless otherwise determined by the Committee, the number of Shares subject to any Award shall always be rounded down to a whole number.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5. ELIGIBILITY AND PARTICIPATION</w:t>
      </w:r>
    </w:p>
    <w:p>
      <w:pPr>
        <w:spacing w:after="0" w:line="207"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5.1. ELIGIBILITY. Persons eligible to participate in the Plan include all Employees, Directors and Consultants.</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5.2. ACTUAL PARTICIPATION. Subject to the provisions of the Plan, the Committee may, from time to time, select from all eligible Employees, Directors and Consultants, those to whom Awards shall be granted and shall determine the nature and amount of each Award.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8"/>
          <w:szCs w:val="18"/>
          <w:color w:val="auto"/>
        </w:rPr>
        <w:t>ARTICLE 6. OPTIONS</w:t>
      </w:r>
    </w:p>
    <w:p>
      <w:pPr>
        <w:spacing w:after="0" w:line="207"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6.1. GRANT OF OPTIONS. Subject to the terms and provisions of the Plan, Options may be granted to Participants in such amounts, upon such terms, and at such times as the Committee shall determine.</w:t>
      </w:r>
    </w:p>
    <w:p>
      <w:pPr>
        <w:spacing w:after="0" w:line="209"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6.2. AWARD AGREEMENT. Each Option grant shall be evidenced by an Award Agreement that shall specify the Exercise Price, the duration of the Option, the number of Shares to which the Option pertains, and such other provisions as the Committee shall determine. The Award Agreement also shall specify whether the Option is intended to be an ISO or an NQSO. Options that are intended to be ISOs shall be subject to the limitations set forth in Code Section 422.</w:t>
      </w:r>
    </w:p>
    <w:p>
      <w:pPr>
        <w:spacing w:after="0" w:line="18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6.3. EXERCISE PRICE. The Exercise Price for each grant of an Option under the Plan shall be at least equal to one hundred percent (100%) of the Fair Market Value of a Share on the date the Option is granted; provided, however, that this restriction shall not apply to Replacement Awards or Awards that are adjusted pursuant to Section 4.3 herein. No ISO granted to a Participant who, at the time the ISO is granted, owns stock representing more than ten percent (10%) of the voting power of all classes of stock of the Company or any Parent or Subsidiary shall have an Exercise Price that is less than one hundred ten percent (110%) of the Fair Market Value of a Share on the date the ISO is granted.</w:t>
      </w:r>
    </w:p>
    <w:p>
      <w:pPr>
        <w:spacing w:after="0" w:line="21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6.4. DURATION OF OPTIONS. Each Option granted to a Participant shall expire at such time as the Committee shall determine at the time of grant; provided, however, that no Option shall be exercisable later than the tenth (10th) anniversary date of its grant. No ISO granted to a Participant who, at the time the ISO is granted, owns stock representing more than ten percent (10%) of the voting power of all classes of stock of the Company or any Parent or Subsidiary shall be exercisable later than the fifth (5th) anniversary of the date of its grant.</w:t>
      </w:r>
    </w:p>
    <w:p>
      <w:pPr>
        <w:spacing w:after="0" w:line="212" w:lineRule="exact"/>
        <w:rPr>
          <w:sz w:val="20"/>
          <w:szCs w:val="20"/>
          <w:color w:val="auto"/>
        </w:rPr>
      </w:pPr>
    </w:p>
    <w:p>
      <w:pPr>
        <w:ind w:right="1879" w:firstLine="632"/>
        <w:spacing w:after="0" w:line="275" w:lineRule="auto"/>
        <w:rPr>
          <w:sz w:val="20"/>
          <w:szCs w:val="20"/>
          <w:color w:val="auto"/>
        </w:rPr>
      </w:pPr>
      <w:r>
        <w:rPr>
          <w:rFonts w:ascii="Courier New" w:cs="Courier New" w:eastAsia="Courier New" w:hAnsi="Courier New"/>
          <w:sz w:val="16"/>
          <w:szCs w:val="16"/>
          <w:color w:val="auto"/>
        </w:rPr>
        <w:t>6.5. EXERCISE OF OPTIONS. Options granted under this Article 6 shall be exercisable at such times and be subject to such restrictions and conditions as set forth in the Award Agreement and as the Committee shall in each instance approve, which need not be the same for each grant or for each Participant.</w:t>
      </w:r>
    </w:p>
    <w:p>
      <w:pPr>
        <w:spacing w:after="0" w:line="18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6.6. PAYMENT. Options granted under this Article 6 shall be exercised by the delivery of a written notice of exercise to the Company, setting forth the number of Shares with respect to which the Option is to be exercised and specifying the method of payment of the Exercise Price.</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Exercise Price of an Option shall be payable to the Company in full:</w:t>
      </w:r>
    </w:p>
    <w:p>
      <w:pPr>
        <w:spacing w:after="0" w:line="4" w:lineRule="exact"/>
        <w:rPr>
          <w:sz w:val="20"/>
          <w:szCs w:val="20"/>
          <w:color w:val="auto"/>
        </w:rPr>
      </w:pPr>
    </w:p>
    <w:p>
      <w:pPr>
        <w:ind w:right="1879" w:firstLine="8"/>
        <w:spacing w:after="0" w:line="237" w:lineRule="auto"/>
        <w:tabs>
          <w:tab w:leader="none" w:pos="4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cash or its equivalent, (b) by tendering Shares or directing the Company to withhold Shares from the Option having an aggregate Fair Market Value at the time of exercise equal to the Exercise Price, (c) by broker-assisted cashless exercise, (d) in any other manner then permitted by the Committee, or (e) by a combination of any of the permitted methods of payment. The Committee may limit any method of payment, other</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59" w:name="page60"/>
    <w:bookmarkEnd w:id="59"/>
    <w:p>
      <w:pPr>
        <w:ind w:right="2099"/>
        <w:spacing w:after="0" w:line="235" w:lineRule="auto"/>
        <w:rPr>
          <w:sz w:val="20"/>
          <w:szCs w:val="20"/>
          <w:color w:val="auto"/>
        </w:rPr>
      </w:pPr>
      <w:r>
        <w:rPr>
          <w:rFonts w:ascii="Courier New" w:cs="Courier New" w:eastAsia="Courier New" w:hAnsi="Courier New"/>
          <w:sz w:val="18"/>
          <w:szCs w:val="18"/>
          <w:color w:val="auto"/>
        </w:rPr>
        <w:t>than that specified under (a), for administrative convenience, to comply with applicable law, or for any other reason.</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6.7. RESTRICTIONS ON SHARE TRANSFERABILITY. The Committee may impose such restrictions on any Shares acquired pursuant to the exercise of an Option granted under this Article 6 as it may deem advisable, including, without limitation, restrictions under applicable federal securities laws, under the requirements of any stock exchange or market upon which such Shares are then listed and/or traded, and under any blue sky or state securities laws applicable to such Shares.</w:t>
      </w:r>
    </w:p>
    <w:p>
      <w:pPr>
        <w:spacing w:after="0" w:line="211"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6.8. DIVIDEND EQUIVALENTS. At the discretion of the Committee, an Award of Options may provide the Participant with the right to receive Dividend Equivalents, which may be paid currently or credited to an account for the Participant, and may be settled in cash and/or Shares, as determined by the Committee in its sole discretion, subject in each case to such terms and conditions as the Committee shall establish.</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6.9. TERMINATION OF EMPLOYMENT OR SERVICE. Each Participant's Option Award Agreement shall set forth the extent to which the Participant shall have the right to exercise the Option following termination of the Participant's employment or, if the Participant is a Director or Consultant, service with the Company, a Parent and/or a Subsidiary, as the case may be. Such provisions shall be determined in the sole discretion of the Committee, need not be uniform among all Options, and may reflect distinctions based on the reasons for termination of employment or service.</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6.10. NONTRANSFERABILITY OF OPTIONS.</w:t>
      </w:r>
    </w:p>
    <w:p>
      <w:pPr>
        <w:spacing w:after="0" w:line="207" w:lineRule="exact"/>
        <w:rPr>
          <w:sz w:val="20"/>
          <w:szCs w:val="20"/>
          <w:color w:val="auto"/>
        </w:rPr>
      </w:pPr>
    </w:p>
    <w:p>
      <w:pPr>
        <w:ind w:left="1900" w:right="1779" w:hanging="628"/>
        <w:spacing w:after="0" w:line="237" w:lineRule="auto"/>
        <w:tabs>
          <w:tab w:leader="none" w:pos="19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OPTIONS. ISOs may not be sold, transferred, pledged, assigned, or otherwise alienated or hypothecated, other than by will or by the laws of descent and distribution, and shall be exercisable during a Participant's lifetime only by such Participant.</w:t>
      </w:r>
    </w:p>
    <w:p>
      <w:pPr>
        <w:spacing w:after="0" w:line="208" w:lineRule="exact"/>
        <w:rPr>
          <w:rFonts w:ascii="Courier New" w:cs="Courier New" w:eastAsia="Courier New" w:hAnsi="Courier New"/>
          <w:sz w:val="18"/>
          <w:szCs w:val="18"/>
          <w:color w:val="auto"/>
        </w:rPr>
      </w:pPr>
    </w:p>
    <w:p>
      <w:pPr>
        <w:ind w:left="1900" w:right="1879" w:hanging="628"/>
        <w:spacing w:after="0" w:line="237" w:lineRule="auto"/>
        <w:tabs>
          <w:tab w:leader="none" w:pos="19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NONQUALIFIED STOCK OPTIONS. Except as otherwise determined by the Committee, NQSOs may not be sold, transferred, pledged, assigned, or otherwise alienated or hypothecated, other than by will or by the laws of descent and distribution, and shall be exercisable during a Participant's lifetime only by such Participant.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7. STOCK APPRECIATION RIGHTS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7.1. GRANT OF SARS. Subject to the terms and provisions of the Plan, SARs may be granted to Participants in such amounts, upon such terms, and at such times as the Committee shall determine. The Committee may grant Freestanding SARs, Tandem SARs, or any combination of these forms of SAR.</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Committee shall have complete discretion in determining the number of SARs granted to each Participant (subject to Article 4 herein) and, consistent with the provisions of the Plan, in determining the terms and conditions pertaining to such SARs.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60" w:name="page61"/>
    <w:bookmarkEnd w:id="60"/>
    <w:p>
      <w:pPr>
        <w:ind w:right="1879" w:firstLine="632"/>
        <w:spacing w:after="0" w:line="237" w:lineRule="auto"/>
        <w:rPr>
          <w:sz w:val="20"/>
          <w:szCs w:val="20"/>
          <w:color w:val="auto"/>
        </w:rPr>
      </w:pPr>
      <w:r>
        <w:rPr>
          <w:rFonts w:ascii="Courier New" w:cs="Courier New" w:eastAsia="Courier New" w:hAnsi="Courier New"/>
          <w:sz w:val="18"/>
          <w:szCs w:val="18"/>
          <w:color w:val="auto"/>
        </w:rPr>
        <w:t>The grant price of a Freestanding SAR shall at least equal to the Fair Market Value of a Share on the date of grant of the SAR, and the grant price of a Tandem SAR shall equal the Exercise Price of the related Option; provided, however, that this restriction shall not apply to Replacement Awards or Awards that are adjusted pursuant to Section 4.3 herein.</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7.2. EXERCISE OF TANDEM SARS. A Tandem SAR may be exercised only with respect to the Shares for which its related Option is then exercisable. To the extent exercisable, Tandem SARs may be exercised for all or part of the Shares subject to the related Option. The exercise of all or part of a Tandem SAR shall result in the forfeiture of the right to purchase a number of Shares under the related Option equal to the number of Shares with respect to which the SAR is exercised. Conversely, upon exercise of all or part of an Option with respect to which a Tandem SAR has been granted, an equivalent portion of the Tandem SAR shall similarly be forfeited.</w:t>
      </w: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Notwithstanding any other provision of the Plan to the contrary, with respect to a Tandem SAR granted in connection with an ISO: (i) the Tandem SAR will expire no later than the expiration of the underlying ISO; (ii) the value of the payout with respect to the Tandem SAR may be for no more than one hundred percent (100%) of the difference between the Exercise Price of the underlying ISO and the Fair Market Value of the Shares subject to the underlying ISO at the time the Tandem SAR is exercised; and (iii) the Tandem SAR may be exercised only when the Fair Market Value of the Shares subject to the ISO exceeds the Exercise Price of the ISO.</w:t>
      </w:r>
    </w:p>
    <w:p>
      <w:pPr>
        <w:spacing w:after="0" w:line="214"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7.3. EXERCISE OF FREESTANDING SARS. Freestanding SARs may be exercised upon whatever terms and conditions the Committee, in its sole discretion, imposes upon them and sets forth in the Award Agreement.</w:t>
      </w:r>
    </w:p>
    <w:p>
      <w:pPr>
        <w:spacing w:after="0" w:line="209"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7.4. AWARD AGREEMENT. Each SAR grant shall be evidenced by an Award Agreement that shall specify the grant price, the term of the SAR, and such other provisions as the Committee shall determine.</w:t>
      </w:r>
    </w:p>
    <w:p>
      <w:pPr>
        <w:spacing w:after="0" w:line="209" w:lineRule="exact"/>
        <w:rPr>
          <w:sz w:val="20"/>
          <w:szCs w:val="20"/>
          <w:color w:val="auto"/>
        </w:rPr>
      </w:pPr>
    </w:p>
    <w:p>
      <w:pPr>
        <w:jc w:val="both"/>
        <w:ind w:right="2199" w:firstLine="632"/>
        <w:spacing w:after="0" w:line="236" w:lineRule="auto"/>
        <w:rPr>
          <w:sz w:val="20"/>
          <w:szCs w:val="20"/>
          <w:color w:val="auto"/>
        </w:rPr>
      </w:pPr>
      <w:r>
        <w:rPr>
          <w:rFonts w:ascii="Courier New" w:cs="Courier New" w:eastAsia="Courier New" w:hAnsi="Courier New"/>
          <w:sz w:val="18"/>
          <w:szCs w:val="18"/>
          <w:color w:val="auto"/>
        </w:rPr>
        <w:t>7.5. TERM OF SARS. The term of an SAR granted under the Plan shall be determined by the Committee, in its sole discretion; provided, however, that such term shall not exceed ten (10) years.</w:t>
      </w:r>
    </w:p>
    <w:p>
      <w:pPr>
        <w:spacing w:after="0" w:line="209"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7.6. PAYMENT OF SAR AMOUNT. Upon exercise of an SAR, a Participant shall be entitled to receive payment from the Company in an amount determined by multiplying:</w:t>
      </w:r>
    </w:p>
    <w:p>
      <w:pPr>
        <w:spacing w:after="0" w:line="209" w:lineRule="exact"/>
        <w:rPr>
          <w:sz w:val="20"/>
          <w:szCs w:val="20"/>
          <w:color w:val="auto"/>
        </w:rPr>
      </w:pPr>
    </w:p>
    <w:p>
      <w:pPr>
        <w:ind w:left="1900" w:right="1779" w:hanging="628"/>
        <w:spacing w:after="0" w:line="235" w:lineRule="auto"/>
        <w:tabs>
          <w:tab w:leader="none" w:pos="190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difference between the Fair Market Value of a Share on the date of exercise over the grant price; by</w:t>
      </w:r>
    </w:p>
    <w:p>
      <w:pPr>
        <w:spacing w:after="0" w:line="208" w:lineRule="exact"/>
        <w:rPr>
          <w:rFonts w:ascii="Courier New" w:cs="Courier New" w:eastAsia="Courier New" w:hAnsi="Courier New"/>
          <w:sz w:val="18"/>
          <w:szCs w:val="18"/>
          <w:color w:val="auto"/>
        </w:rPr>
      </w:pPr>
    </w:p>
    <w:p>
      <w:pPr>
        <w:ind w:left="1900" w:right="2739" w:hanging="628"/>
        <w:spacing w:after="0" w:line="235" w:lineRule="auto"/>
        <w:tabs>
          <w:tab w:leader="none" w:pos="190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with respect to which the SAR is exercised.</w:t>
      </w:r>
    </w:p>
    <w:p>
      <w:pPr>
        <w:spacing w:after="0" w:line="208"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At the discretion of the Committee, the payment upon SAR exercise may be in cash, in Shares of equivalent value, or in some combination thereof.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61" w:name="page62"/>
    <w:bookmarkEnd w:id="61"/>
    <w:p>
      <w:pPr>
        <w:ind w:right="1999" w:firstLine="632"/>
        <w:spacing w:after="0" w:line="237" w:lineRule="auto"/>
        <w:rPr>
          <w:sz w:val="20"/>
          <w:szCs w:val="20"/>
          <w:color w:val="auto"/>
        </w:rPr>
      </w:pPr>
      <w:r>
        <w:rPr>
          <w:rFonts w:ascii="Courier New" w:cs="Courier New" w:eastAsia="Courier New" w:hAnsi="Courier New"/>
          <w:sz w:val="18"/>
          <w:szCs w:val="18"/>
          <w:color w:val="auto"/>
        </w:rPr>
        <w:t>7.7. DIVIDEND EQUIVALENTS. At the discretion of the Committee, an Award of SARs may provide the Participant with the right to receive Dividend Equivalents, which may be paid currently or credited to an account for the Participant, and may be settled in cash and/or Shares, as determined by the Committee in its sole discretion, subject in each case to such terms and conditions as the Committee shall establish.</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7.8. TERMINATION OF EMPLOYMENT OR SERVICE. Each SAR Award Agreement shall set forth the extent to which the Participant shall have the right to exercise the SAR following termination of the Participant's employment or, if the Participant is a Director or Consultant, service with the Company, a Parent and/or a Subsidiary, as the case may be. Such provisions shall be determined in the sole discretion of the Committee, need not be uniform among all SARs, and may reflect distinctions based on the reasons for termination of employment or service.</w:t>
      </w:r>
    </w:p>
    <w:p>
      <w:pPr>
        <w:spacing w:after="0" w:line="212"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7.9. NONTRANSFERABILITY OF SARS. Except as otherwise determined by the Committee, SARs may not be sold, transferred, pledged, assigned, or otherwise alienated or hypothecated, other than by will or by the laws of descent and distribution, and shall be exercisable during a Participant's lifetime only by such Participant.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8. RESTRICTED STOCK</w:t>
      </w:r>
    </w:p>
    <w:p>
      <w:pPr>
        <w:spacing w:after="0" w:line="207"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8.1. GRANT OF RESTRICTED STOCK. Subject to the terms and provisions of the Plan, Restricted Stock may be granted to Participants in such amounts, upon such terms, and at such times as the Committee shall determine.</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8.2. AWARD AGREEMENT. Each Restricted Stock grant shall be evidenced by an Award Agreement that shall specify the Period(s) of Restriction and, if applicable, Performance Period(s), the number of Shares of Restricted Stock granted, and such other provisions as the Committee shall determine.</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8.3. OTHER RESTRICTIONS. The Committee shall impose such other conditions and/or restrictions on any Shares of Restricted Stock granted pursuant to the Plan as it may deem advisable including, without limitation, a requirement that Participants pay a stipulated purchase price for each Share of Restricted Stock, a requirement that the issuance of Shares of Restricted Stock be delayed, restrictions based upon the achievement of specific performance goals, time-based restrictions on vesting following the attainment of the performance goals, time-based restrictions, and/or restrictions under applicable laws or under the requirements of any stock exchange or market upon which such Shares are listed or traded, or holding requirements or sale restrictions placed on the Shares by the Company upon vesting of such Restricted Stock. The Company may retain in its custody any certificate evidencing the Shares of Restricted Stock and place thereon a legend and institute stop-transfer orders on such Shares, and the Participant shall be obligated to sign any stock power requested by the Company relating to the Shares to give effect to the forfeiture provisions of the Restricted Stock.</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62" w:name="page63"/>
    <w:bookmarkEnd w:id="62"/>
    <w:p>
      <w:pPr>
        <w:ind w:right="1879" w:firstLine="632"/>
        <w:spacing w:after="0" w:line="237" w:lineRule="auto"/>
        <w:rPr>
          <w:sz w:val="20"/>
          <w:szCs w:val="20"/>
          <w:color w:val="auto"/>
        </w:rPr>
      </w:pPr>
      <w:r>
        <w:rPr>
          <w:rFonts w:ascii="Courier New" w:cs="Courier New" w:eastAsia="Courier New" w:hAnsi="Courier New"/>
          <w:sz w:val="18"/>
          <w:szCs w:val="18"/>
          <w:color w:val="auto"/>
        </w:rPr>
        <w:t>8.4. REMOVAL OF RESTRICTIONS. Subject to applicable laws, Restricted Stock shall become freely transferable by the Participant after the last day of the Period of Restriction applicable thereto. Once Restricted Stock is released from the restrictions, the Participant shall be entitled to receive a certificate evidencing the Shares.</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8.5. VOTING RIGHTS. Unless otherwise determined by the Committee and set forth in a Participant's Award Agreement, to the extent permitted or required by law, as determined by the Committee, Participants holding Shares of Restricted Stock granted hereunder may exercise full voting rights with respect to those Shares during the Period of Restriction.</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8.6. DIVIDENDS AND OTHER DISTRIBUTIONS. Except as otherwise provided in a Participant's Award Agreement, during the Period of Restriction, Participants holding Shares of Restricted Stock shall receive all regular cash dividends paid with respect to all Shares while they are so held, and, except as otherwise determined by the Committee, all other distributions paid with respect to such Restricted Stock shall be credited to Participants subject to the same restrictions on transferability and forfeitability as the Restricted Stock with respect to which they were paid and paid at such time following full vesting as are paid the Shares of Restricted Stock with respect to which such distributions were made.</w:t>
      </w:r>
    </w:p>
    <w:p>
      <w:pPr>
        <w:spacing w:after="0" w:line="21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8.7. TERMINATION OF EMPLOYMENT OR SERVICE. Each Award Agreement shall set forth the extent to which the Participant shall have the right to retain unvested Restricted Stock following termination of the Participant's employment or, if the Participant is a Director or Consultant, service with the Company, a Parent and/or a Subsidiary, as the case may be. Such provisions shall be determined in the sole discretion of the Committee, need not be uniform among all Awards of Restricted Stock, and may reflect distinctions based on the reasons for termination of employment or service.</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8.8. NONTRANSFERABILITY OF RESTRICTED STOCK. Except as otherwise determined by the Committee, during the applicable Period of Restriction, a Participant's Restricted Stock and rights relating thereto shall be available during the Participant's lifetime only to such Participant, and such Restricted Stock and related rights may not be sold, transferred, pledged, assigned, or otherwise alienated or hypothecated other than by will or by the laws of descent and distribution.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9. RESTRICTED STOCK UNITS AND PERFORMANCE SHARES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9.1. GRANT OF RESTRICTED STOCK UNITS/PERFORMANCE SHARES. Subject to the terms and provisions of the Plan, Restricted Stock Units and Performance Shares may be granted to Participants in such amounts, upon such terms, and at such times as the Committee shall determine.</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9.2. AWARD AGREEMENT. Each grant of Restricted Stock Units or Performance Shares shall be evidenced by an Award Agreement that shall specify the applicable Period(s) of Restriction and/or Performance Period(s) (as the case may be), the number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63" w:name="page64"/>
    <w:bookmarkEnd w:id="63"/>
    <w:p>
      <w:pPr>
        <w:ind w:right="1779"/>
        <w:spacing w:after="0" w:line="237" w:lineRule="auto"/>
        <w:rPr>
          <w:sz w:val="20"/>
          <w:szCs w:val="20"/>
          <w:color w:val="auto"/>
        </w:rPr>
      </w:pPr>
      <w:r>
        <w:rPr>
          <w:rFonts w:ascii="Courier New" w:cs="Courier New" w:eastAsia="Courier New" w:hAnsi="Courier New"/>
          <w:sz w:val="18"/>
          <w:szCs w:val="18"/>
          <w:color w:val="auto"/>
        </w:rPr>
        <w:t>of Restricted Stock Units or Performance Shares granted, and such other provisions as the Committee shall determine. The initial value of a Restricted Stock Unit or Performance Share shall be at least equal to the Fair Market Value of a Share on the date of grant; provided, however, that this restriction shall not apply to Replacement Awards or Awards that are adjusted pursuant to Section 4.3 herein.</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9.3. FORM AND TIMING OF PAYMENT. Except as otherwise provided in Article 17 herein or a Participant's Award Agreement, payment of Restricted Stock Units or Performance Shares shall be made at a specified settlement date that shall not be earlier than the last day of the Period of Restriction or Performance Period, as the case may be. The Committee, in its sole discretion, may pay earned Restricted Stock Units and Performance Shares by delivery of Shares or by payment in cash of an amount equal to the Fair Market Value of such Shares (or a combination thereof). The Committee may provide that settlement of Restricted Stock Units or Performance Shares shall be deferred, on a mandatory basis or at the election of the Participant.</w:t>
      </w:r>
    </w:p>
    <w:p>
      <w:pPr>
        <w:spacing w:after="0" w:line="21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9.4. VOTING RIGHTS. A Participant shall have no voting rights with respect to any Restricted Stock Units or Performance Shares granted hereunder; provided, however, that the Committee may deposit Shares potentially deliverable in connection with Restricted Stock Units or Performance Shares in a rabbi trust, in which case the Committee may provide for pass through voting rights with respect to such deposited Shares.</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9.5. DIVIDEND EQUIVALENTS. At the discretion of the Committee, an Award of Restricted Stock Units or Performance Shares may provide the Participant with the right to receive Dividend Equivalents, which may be paid currently or credited to an account for the Participant, and may be settled in cash and/or Shares, as determined by the Committee in its sole discretion, subject in each case to such terms and conditions as the Committee shall establish.</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9.6. TERMINATION OF EMPLOYMENT OR SERVICE. Each Award Agreement shall set forth the extent to which the Participant shall have the right to receive a payout respecting an Award of Restricted Stock Units or Performance Shares following termination of the Participant's employment or, if the Participant is a Director or Consultant, service with the Company, a Parent and/or a Subsidiary, as the case may be. Such provisions shall be determined in the sole discretion of the Committee, need not be uniform among all Restricted Stock Units or Performance Shares, and may reflect distinctions based on the reasons for termination of employment or service.</w:t>
      </w:r>
    </w:p>
    <w:p>
      <w:pPr>
        <w:spacing w:after="0" w:line="214" w:lineRule="exact"/>
        <w:rPr>
          <w:sz w:val="20"/>
          <w:szCs w:val="20"/>
          <w:color w:val="auto"/>
        </w:rPr>
      </w:pPr>
    </w:p>
    <w:p>
      <w:pPr>
        <w:ind w:right="1779" w:firstLine="632"/>
        <w:spacing w:after="0" w:line="275" w:lineRule="auto"/>
        <w:rPr>
          <w:sz w:val="20"/>
          <w:szCs w:val="20"/>
          <w:color w:val="auto"/>
        </w:rPr>
      </w:pPr>
      <w:r>
        <w:rPr>
          <w:rFonts w:ascii="Courier New" w:cs="Courier New" w:eastAsia="Courier New" w:hAnsi="Courier New"/>
          <w:sz w:val="16"/>
          <w:szCs w:val="16"/>
          <w:color w:val="auto"/>
        </w:rPr>
        <w:t>9.7. NONTRANSFERABILITY. Except as otherwise determined by the Committee, Restricted Stock Units and Performance Shares and rights relating thereto may not be sold, transferred, pledged, assigned, or otherwise alienated or hypothecated, other than by will or by the laws of descent and distribution.</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8"/>
          <w:szCs w:val="18"/>
          <w:color w:val="auto"/>
        </w:rPr>
        <w:t>ARTICLE 10. PERFORMANCE UNITS</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10.1. GRANT OF PERFORMANCE UNITS. Subject to the terms and conditions of the Plan, Performance Units may be granted to Participants in such amounts, upon such terms, and at such times as the Committee shall determine.</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10.2. AWARD AGREEMENT. Each grant of Performance Units shall be evidenced by an Award Agreement that shall specify the number of Performance Units granted, the Performance Period(s), the performance goals and such other provisions as the Committee shall determine.</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10.3. VALUE OF PERFORMANCE UNITS. The Committee shall set performance goals in its discretion that, depending on the extent to which they are met, will determine the number and/or value of Performance Units that will be paid out to the Participants.</w:t>
      </w:r>
    </w:p>
    <w:p>
      <w:pPr>
        <w:spacing w:after="0" w:line="207" w:lineRule="exact"/>
        <w:rPr>
          <w:sz w:val="20"/>
          <w:szCs w:val="20"/>
          <w:color w:val="auto"/>
        </w:rPr>
      </w:pPr>
    </w:p>
    <w:p>
      <w:pPr>
        <w:ind w:right="1879" w:firstLine="632"/>
        <w:spacing w:after="0" w:line="272" w:lineRule="auto"/>
        <w:rPr>
          <w:sz w:val="20"/>
          <w:szCs w:val="20"/>
          <w:color w:val="auto"/>
        </w:rPr>
      </w:pPr>
      <w:r>
        <w:rPr>
          <w:rFonts w:ascii="Courier New" w:cs="Courier New" w:eastAsia="Courier New" w:hAnsi="Courier New"/>
          <w:sz w:val="16"/>
          <w:szCs w:val="16"/>
          <w:color w:val="auto"/>
        </w:rPr>
        <w:t>10.4. FORM AND TIMING OF PAYMENT. Except as otherwise provided in Article 17 herein or a Participant's Award Agreement, payment of earned Performance Units shall be made following the close of the applicable Performance Period. The Committee, in its sole discretion, may pay earned Performance Units in cash or in Shares that have an aggregate Fair Market Value equal to the value of the earned Performance Units (or a combination thereof). The Committee may provide that settlement of Performance Units shall be deferred, on a mandatory basis or at the election of the Participant.</w:t>
      </w:r>
    </w:p>
    <w:p>
      <w:pPr>
        <w:spacing w:after="0" w:line="385"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10.5. DIVIDEND EQUIVALENTS. At the discretion of the Committee, an Award of Performance Units may provide the Participant with the right to receive Dividend Equivalents, which may be paid currently or credited to an account for the Participant, and may be settled in cash and/or Shares, as determined by the Committee in its sole discretion, subject in each case to such terms and conditions as the Committee shall establish.</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10.6. TERMINATION OF EMPLOYMENT OR SERVICE. Each Award Agreement shall set forth the extent to which the Participant shall have the right to receive a payout respecting an Award of Performance Units following termination of the Participant's employment or, if the Participant is a Director or Consultant, service with the Company, a Parent and/or a Subsidiary, as the case may be. Such provisions shall be determined in the sole discretion of the Committee, need not be uniform among all Performance Units and may reflect distinctions based on reasons for termination of employment or service.</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10.7. NONTRANSFERABILITY. Except as otherwise determined by the Committee, Performance Units and rights relating thereto may not be sold, transferred, pledged, assigned or otherwise alienated or hypothecated, other than by will or by the laws of descent and distribution.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8"/>
          <w:szCs w:val="18"/>
          <w:color w:val="auto"/>
        </w:rPr>
        <w:t>ARTICLE 11. OTHER AWARDS</w:t>
      </w:r>
    </w:p>
    <w:p>
      <w:pPr>
        <w:spacing w:after="0" w:line="20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11.1. GRANT OF OTHER AWARDS. Subject to the terms and conditions of the Plan, Other Awards may be granted to Participants in such amounts, upon such terms, and at such times as the Committee shall determine. Types of Other Awards that may be granted pursuant to this Article 11 include, without limitation, the payment of cash or Shares based on attainment of performance goals established by the Committee, the payment of Shares as a bonus or in lieu of cash based on attainment of performance goals established by the Committee, and the payment of Shares in lieu of cash under other Company incentive or bonus programs</w:t>
      </w:r>
    </w:p>
    <w:p>
      <w:pPr>
        <w:spacing w:after="0" w:line="186"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11.2. PAYMENT OF OTHER AWARDS. Payment under or settlement of any such Awards shall be made in such manner and at such times as the Committee may determine.</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11.3. TERMINATION OF EMPLOYMENT OR SERVICE. The Committee shall determine the extent to which the Participant shall have the right to receive Other Awards following termination of the Participant's employment or, if the Participant is a Director or Consultant, service with the Company, a Parent and/or a Subsidiary, as the case may be. Such provisions shall be determined in the sole discretion of the Committee, may be included in an agreement entered into with each Participant, but need not be uniform among all Other Awards, and may reflect distinctions based on the reasons for termination of employment or service.</w:t>
      </w: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11.4. NONTRANSFERABILITY. Except as otherwise determined by the Committee, Other Awards and rights relating thereto may not be sold, transferred, pledged, assigned, or otherwise alienated or hypothecated, other than by will or by the laws of descent and distribution.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12. REPLACEMENT AWARDS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Each Replacement Award shall have substantially the same terms and conditions (as determined by the Committee) as the award it replaces; provided, however, that the number of Shares subject to Replacement Awards, the Exercise Price, grant price or other price of Shares subject to Replacement Awards, any performance conditions relating to Shares underlying Replacement Awards, or the market price of Shares underlying Replacement Awards or per-Share results may differ from the awards they replace to the extent such differences are determined to be appropriate and equitable by the Committee, in its sole discretion.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13. PERFORMANCE MEASURES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Committee may specify that the attainment of one or more of the performance measures set forth in this Article 13 shall determine the degree of granting, vesting and/or payout with respect to Awards (including any related dividends or Dividend Equivalents) that the Committee intends will qualify for the Performance-Based Exception. The performance goals to be used for such Awards shall be chosen from among the following performance measure(s): earnings per share, economic value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66" w:name="page67"/>
    <w:bookmarkEnd w:id="66"/>
    <w:p>
      <w:pPr>
        <w:ind w:right="1779"/>
        <w:spacing w:after="0" w:line="238" w:lineRule="auto"/>
        <w:rPr>
          <w:sz w:val="20"/>
          <w:szCs w:val="20"/>
          <w:color w:val="auto"/>
        </w:rPr>
      </w:pPr>
      <w:r>
        <w:rPr>
          <w:rFonts w:ascii="Courier New" w:cs="Courier New" w:eastAsia="Courier New" w:hAnsi="Courier New"/>
          <w:sz w:val="18"/>
          <w:szCs w:val="18"/>
          <w:color w:val="auto"/>
        </w:rPr>
        <w:t>created, market share (actual or targeted growth), net income (before or after taxes), operating income, adjusted net income after capital charge, return on assets (actual or targeted growth), return on capital (actual or targeted growth), return on equity (actual or targeted growth), return on investment (actual or targeted growth), revenue (actual or targeted growth), cash flow, operating margin, share price, share price growth, total stockholder return, and strategic business criteria consisting of one or more objectives based on meeting specified market penetration goals, productivity measures, geographic business expansion goals, cost targets, customer satisfaction or employee satisfaction goals, goals relating to merger synergies, management of employment practices and employee benefits, or supervision of litigation and information technology, and goals relating to acquisitions or divestitures of Subsidiaries and/or other affiliates or joint ventures. The targeted level or levels of performance with respect to such performance measures may be established at such levels and on such terms as the Committee may determine, in its discretion, including in absolute terms, as a goal relative to performance in prior periods, or as a goal compared to the performance of one or more comparable companies or an index covering multiple companies. Awards (including any related dividends or Dividend Equivalents) that are not intended to qualify for the Performance-Based Exception may be based on these or such other performance measures as the Committee may determine.</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Achievement of performance goals in respect of Awards intended to qualify under the Performance-Based Exception shall be measured over a Performance Period, and the goals shall be established not later than ninety (90) days after the beginning of the Performance Period or, if less than (90) days, the number of days that is equal to twenty-five percent (25%) of the relevant Performance Period applicable to the Award. The Committee shall have the discretion to adjust the determinations of the degree of attainment of the pre-established performance goals; provided, however, that Awards that are designed to qualify for the Performance-Based Exception may not be adjusted upward (the Committee may, in its discretion, adjust such Awards downward).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14. BENEFICIARY DESIGNATION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Each Participant under the Plan may, from time to time, name any beneficiary or beneficiaries (who may be named contingently or successively) to whom any benefit under the Plan is to be paid in case of his or her death before he or she receives any or all of such benefit. Each such designation shall revoke all prior designations by the same Participant, shall be in a form prescribed by the Committee, and will be effective only when filed by the Participant in writing during the Participant's lifetime with the Committee. In the absence of any such designation, benefits remaining unpaid at the Participant's death shall be paid to the Participant's estate.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15. DEFERRALS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If permitted by the Committee, a Participant may defer receipt of amounts that would otherwise be provided to such Participant with respect to an Award, including Shares deliverable upon exercise of an Option or SAR or upon payout of any other Award. If permitted, such deferral (and the required deferral election) shall be made in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67" w:name="page68"/>
    <w:bookmarkEnd w:id="67"/>
    <w:p>
      <w:pPr>
        <w:ind w:right="2199"/>
        <w:spacing w:after="0" w:line="237" w:lineRule="auto"/>
        <w:rPr>
          <w:sz w:val="20"/>
          <w:szCs w:val="20"/>
          <w:color w:val="auto"/>
        </w:rPr>
      </w:pPr>
      <w:r>
        <w:rPr>
          <w:rFonts w:ascii="Courier New" w:cs="Courier New" w:eastAsia="Courier New" w:hAnsi="Courier New"/>
          <w:sz w:val="18"/>
          <w:szCs w:val="18"/>
          <w:color w:val="auto"/>
        </w:rPr>
        <w:t>accordance with, and shall be subject to, the terms and conditions of the applicable nonqualified deferred compensation plan, agreement or arrangement under which such deferral is made and such other terms and conditions as the Committee may prescribe.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16. RIGHTS OF PARTICIPANTS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16.1. CONTINUED SERVICE. Nothing in the Plan shall:</w:t>
      </w:r>
    </w:p>
    <w:p>
      <w:pPr>
        <w:spacing w:after="0" w:line="207" w:lineRule="exact"/>
        <w:rPr>
          <w:sz w:val="20"/>
          <w:szCs w:val="20"/>
          <w:color w:val="auto"/>
        </w:rPr>
      </w:pPr>
    </w:p>
    <w:p>
      <w:pPr>
        <w:ind w:left="1900" w:right="1779" w:hanging="628"/>
        <w:spacing w:after="0" w:line="236" w:lineRule="auto"/>
        <w:tabs>
          <w:tab w:leader="none" w:pos="19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interfere with or limit in any way the right of the Company, a Parent or a Subsidiary to terminate any Participant's employment or service at any time,</w:t>
      </w:r>
    </w:p>
    <w:p>
      <w:pPr>
        <w:spacing w:after="0" w:line="208" w:lineRule="exact"/>
        <w:rPr>
          <w:rFonts w:ascii="Courier New" w:cs="Courier New" w:eastAsia="Courier New" w:hAnsi="Courier New"/>
          <w:sz w:val="18"/>
          <w:szCs w:val="18"/>
          <w:color w:val="auto"/>
        </w:rPr>
      </w:pPr>
    </w:p>
    <w:p>
      <w:pPr>
        <w:ind w:left="1900" w:right="2099" w:hanging="628"/>
        <w:spacing w:after="0" w:line="236" w:lineRule="auto"/>
        <w:tabs>
          <w:tab w:leader="none" w:pos="19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confer upon any Participant any right to continue in the employ or service of the Company, a Parent or a Subsidiary, nor</w:t>
      </w:r>
    </w:p>
    <w:p>
      <w:pPr>
        <w:spacing w:after="0" w:line="208" w:lineRule="exact"/>
        <w:rPr>
          <w:rFonts w:ascii="Courier New" w:cs="Courier New" w:eastAsia="Courier New" w:hAnsi="Courier New"/>
          <w:sz w:val="18"/>
          <w:szCs w:val="18"/>
          <w:color w:val="auto"/>
        </w:rPr>
      </w:pPr>
    </w:p>
    <w:p>
      <w:pPr>
        <w:jc w:val="both"/>
        <w:ind w:left="1900" w:right="1999" w:hanging="628"/>
        <w:spacing w:after="0" w:line="290" w:lineRule="auto"/>
        <w:tabs>
          <w:tab w:leader="none" w:pos="19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confer on any Director any right to continue to serve on the Board of Directors of the Company, a Parent or a Subsidiary.</w:t>
      </w:r>
    </w:p>
    <w:p>
      <w:pPr>
        <w:spacing w:after="0" w:line="170"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16.2. PARTICIPATION. No Employee, Director or Consultant shall have the right to be selected to receive an Award under the Plan, or, having been so selected, to be selected to receive future Awards.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17. CHANGE IN CONTROL</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Except as otherwise provided in a Participant's Award Agreement, upon the occurrence of a Change in Control, unless otherwise specifically prohibited under applicable laws, or by the rules and regulations of any governing governmental agencies or national securities exchanges:</w:t>
      </w:r>
    </w:p>
    <w:p>
      <w:pPr>
        <w:spacing w:after="0" w:line="207" w:lineRule="exact"/>
        <w:rPr>
          <w:sz w:val="20"/>
          <w:szCs w:val="20"/>
          <w:color w:val="auto"/>
        </w:rPr>
      </w:pPr>
    </w:p>
    <w:p>
      <w:pPr>
        <w:ind w:left="1900" w:right="1879" w:hanging="628"/>
        <w:spacing w:after="0" w:line="275" w:lineRule="auto"/>
        <w:tabs>
          <w:tab w:leader="none" w:pos="19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outstanding Options and SARs granted hereunder shall become immediately exercisable; provided, however, that the Committee instead may instead provide that such Awards shall be automatically cashed out upon a Change in Control;</w:t>
      </w:r>
    </w:p>
    <w:p>
      <w:pPr>
        <w:spacing w:after="0" w:line="182" w:lineRule="exact"/>
        <w:rPr>
          <w:rFonts w:ascii="Courier New" w:cs="Courier New" w:eastAsia="Courier New" w:hAnsi="Courier New"/>
          <w:sz w:val="16"/>
          <w:szCs w:val="16"/>
          <w:color w:val="auto"/>
        </w:rPr>
      </w:pPr>
    </w:p>
    <w:p>
      <w:pPr>
        <w:jc w:val="both"/>
        <w:ind w:left="1900" w:right="2319" w:hanging="628"/>
        <w:spacing w:after="0" w:line="236" w:lineRule="auto"/>
        <w:tabs>
          <w:tab w:leader="none" w:pos="19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Period of Restriction or other restriction imposed on Restricted Stock, Restricted Stock Units and Other Awards shall lapse; and</w:t>
      </w:r>
    </w:p>
    <w:p>
      <w:pPr>
        <w:spacing w:after="0" w:line="208" w:lineRule="exact"/>
        <w:rPr>
          <w:rFonts w:ascii="Courier New" w:cs="Courier New" w:eastAsia="Courier New" w:hAnsi="Courier New"/>
          <w:sz w:val="18"/>
          <w:szCs w:val="18"/>
          <w:color w:val="auto"/>
        </w:rPr>
      </w:pPr>
    </w:p>
    <w:p>
      <w:pPr>
        <w:ind w:left="1900" w:right="1879" w:hanging="628"/>
        <w:spacing w:after="0" w:line="275" w:lineRule="auto"/>
        <w:tabs>
          <w:tab w:leader="none" w:pos="19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Performance Shares, Performance Units and other Awards (if performance-based) shall be deemed earned at the target level (or if no target level is specified, the maximum level) with respect to all open Performance Periods.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18. ADDITIONAL FORFEITURE PROVISIONS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Committee may condition a Participant's right to receive a grant of an Award, to vest in the Award, to exercise the Award, to retain cash, Shares, other Awards, or other property acquired in connection with the Award, or to retain the profit or gain realized by the Participant in connection with the Award, including cash or other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68" w:name="page69"/>
    <w:bookmarkEnd w:id="68"/>
    <w:p>
      <w:pPr>
        <w:ind w:right="1779"/>
        <w:spacing w:after="0" w:line="237" w:lineRule="auto"/>
        <w:rPr>
          <w:sz w:val="20"/>
          <w:szCs w:val="20"/>
          <w:color w:val="auto"/>
        </w:rPr>
      </w:pPr>
      <w:r>
        <w:rPr>
          <w:rFonts w:ascii="Courier New" w:cs="Courier New" w:eastAsia="Courier New" w:hAnsi="Courier New"/>
          <w:sz w:val="18"/>
          <w:szCs w:val="18"/>
          <w:color w:val="auto"/>
        </w:rPr>
        <w:t>proceeds received upon sale of Shares acquired in connection with an Award, upon compliance by the Participant with specified conditions relating to non-competition, confidentiality of information relating to or possessed by the Company, non-solicitation of customers, suppliers, and employees of the Company, cooperation in litigation, non-disparagement of the Company and its officers, directors and affiliates, and other restrictions upon or covenants of the Participant, including during specified periods following termination of employment with or service for the Company, a Parent and/or a Subsidiary.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19. AMENDMENT, MODIFICATION, AND TERMINATION</w:t>
      </w:r>
    </w:p>
    <w:p>
      <w:pPr>
        <w:spacing w:after="0" w:line="20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19.1. AMENDMENT, MODIFICATION, AND TERMINATION. The Board may at any time and from time to time, alter, amend, suspend or terminate the Plan in whole or in part; provided, however, that no amendment that requires stockholder approval in order for the Plan to continue to comply with the New York Stock Exchange listing standards or any rule promulgated by the United States Securities and Exchange Commission or any securities exchange on which the securities of the Company are listed shall be effective unless such amendment shall be approved by the requisite vote of stockholders of the Company entitled to vote thereon within the time period required under such applicable listing standard or rule.</w:t>
      </w:r>
    </w:p>
    <w:p>
      <w:pPr>
        <w:spacing w:after="0" w:line="184"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19.2. ADJUSTMENT OF AWARDS UPON THE OCCURRENCE OF CERTAIN UNUSUAL OR NONRECURRING EVENTS. The Committee may make adjustments in the terms and conditions of, and the criteria included in, Awards in recognition of unusual or nonrecurring events (including, without limitation, the events described in Section 4.3 hereof)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With respect to any Awards intended to comply with the Performance-Based Exception, any such exception shall be specified at such times and in such manner as will not cause such Awards to fail to qualify under the Performance-Based Exception.</w:t>
      </w:r>
    </w:p>
    <w:p>
      <w:pPr>
        <w:spacing w:after="0" w:line="207"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19.3. AWARDS PREVIOUSLY GRANTED. No termination, amendment or modification of the Plan or of any Award shall adversely affect in any material way any Award previously granted under the Plan without the written consent of the Participant holding such Award, unless such termination, modification or amendment is required by applicable law and except as otherwise provided herein.</w:t>
      </w:r>
    </w:p>
    <w:p>
      <w:pPr>
        <w:spacing w:after="0" w:line="18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19.4. COMPLIANCE WITH THE PERFORMANCE-BASED EXCEPTION. If it is intended that an Award (and/or any dividends or Dividend Equivalents relating to such Award) comply with the requirements of the Performance-Based Exception, the Committee may apply any restrictions it deems appropriate such that the Awards (and/or dividends or Dividend Equivalents) maintain eligibility for the Performance-Based Exception. If changes are made to Code Section 162(m) or regulations promulgated thereunder to permit greater flexibility with respect to any Award or Awards available under the Plan,</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69" w:name="page70"/>
    <w:bookmarkEnd w:id="69"/>
    <w:p>
      <w:pPr>
        <w:ind w:right="1879"/>
        <w:spacing w:after="0" w:line="235" w:lineRule="auto"/>
        <w:rPr>
          <w:sz w:val="20"/>
          <w:szCs w:val="20"/>
          <w:color w:val="auto"/>
        </w:rPr>
      </w:pPr>
      <w:r>
        <w:rPr>
          <w:rFonts w:ascii="Courier New" w:cs="Courier New" w:eastAsia="Courier New" w:hAnsi="Courier New"/>
          <w:sz w:val="18"/>
          <w:szCs w:val="18"/>
          <w:color w:val="auto"/>
        </w:rPr>
        <w:t>the Committee may, subject to this Article 19, make any adjustments to the Plan and/or Award Agreements it deems appropriate.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20. WITHHOLDING</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20.1. TAX WITHHOLDING. The Company shall have the power and the right to deduct or withhold, or require a Participant to remit to the Company, an amount sufficient to satisfy federal, state, local, domestic or foreign taxes required by law or regulation to be withheld with respect to any taxable event arising as a result of the Plan.</w:t>
      </w:r>
    </w:p>
    <w:p>
      <w:pPr>
        <w:spacing w:after="0" w:line="209"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20.2. USE OF SHARES TO SATISFY WITHHOLDING OBLIGATION. With respect to withholding required upon the exercise of Options or SARs, upon the vesting or settlement of Restricted Stock, Restricted Stock Units, Performance Shares or Performance Units, or upon any other taxable event arising as a result of Awards granted hereunder, the Committee may require or may permit Participants to elect that the withholding requirement be satisfied, in whole or in part, by having the Company withhold, or by tendering to the Company, Shares having a Fair Market Value equal to the minimum statutory withholding (based on minimum statutory withholding rates for federal and state tax purposes, including payroll taxes) that could be imposed on the transaction and, in any case in which it would not result in additional accounting expense to the Company, taxes in excess of the minimum statutory withholding amounts. Any such elections by a Participant shall be irrevocable, made in writing and signed by the Participant.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21. INDEMNIFICATION</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Each person who is or shall have been a member of the Committee, or of the Board, shall be indemnified and held harmless by the Company to the fullest extent permitted by Delaware law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The foregoing right of indemnification is subject to the person having been successful in the legal proceedings or having acted in good faith and what is reasonably believed to be a lawful manner in the Company's best interests.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8"/>
          <w:szCs w:val="18"/>
          <w:color w:val="auto"/>
        </w:rPr>
        <w:t>ARTICLE 22. SUCCESSORS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All obligations of the Company under the Plan and with respect to Awards shall be binding on any successor to the Company, whether the existence of such successor is the result of a direct or indirect purchase, merger, consolidation, or other event, or a sale or disposition of all or substantially all of the business and/or assets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23. LEGAL CONSTRUCTION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23.1. GENDER, NUMBER AND REFERENCES. Except where otherwise indicated by the context, any masculine term used herein also shall include the feminine; the plural shall include the singular and the singular shall include the plural. Any reference in the Plan to an act or code or to any section thereof or rule or regulation thereunder shall be deemed to refer to such act, code, section, rule or regulation, as may be amended from time to time, or to any successor act, code, section, rule or regulation.</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23.2. SEVERABILITY.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23.3. REQUIREMENTS OF LAW. The granting of Awards and the issuance of Shares under the Plan shall be subject to all applicable laws, rules, and regulations, and to such approvals by any governmental agencies or national securities exchanges as may be required.</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23.4. GOVERNING LAW. To the extent not preempted by federal law, the Plan, and all agreements hereunder, shall be construed in accordance with and governed by the laws of the State of Florida, without giving effect to conflicts or choice of law principles.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23.5. NON-EXCLUSIVE PLAN. Neither the adoption of the Plan by the Board nor its submission to the stockholders of the Company for approval shall be construed as creating any limitations on the power of the Board or a committee thereof to adopt such other incentive arrangements as it may deem desirable, including other incentive arrangements and awards that do or do not qualify under the Performance-Based Exception.</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23.6. CODE SECTION 409A COMPLIANCE. To the extent applicable, it is intended that this Plan and any Awards granted under the Plan comply with the requirements of Code Section 409A and any related regulations or other guidance promulgated with respect to such Section by the U.S. Department of the Treasury or the Internal Revenue Service (collectively "Section 409A"). Any provision that would cause the Plan or any Award granted under the Plan to fail to satisfy Section 409A shall have no force or effect until amended to comply with Section 409A, which amendment may be retroactive to the extent permitted by Section 409A.</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71" w:name="page72"/>
    <w:bookmarkEnd w:id="71"/>
    <w:p>
      <w:pPr>
        <w:jc w:val="right"/>
        <w:ind w:right="1779"/>
        <w:spacing w:after="0"/>
        <w:rPr>
          <w:sz w:val="20"/>
          <w:szCs w:val="20"/>
          <w:color w:val="auto"/>
        </w:rPr>
      </w:pPr>
      <w:r>
        <w:rPr>
          <w:rFonts w:ascii="Courier New" w:cs="Courier New" w:eastAsia="Courier New" w:hAnsi="Courier New"/>
          <w:sz w:val="18"/>
          <w:szCs w:val="18"/>
          <w:color w:val="auto"/>
        </w:rPr>
        <w:t>EXHIBIT 10.50</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FIDELITY NATIONAL TITLE GROUP, INC.</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EMPLOYEE STOCK PURCHASE PLAN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Fidelity National Title Group, Inc., a Delaware corporation (hereinafter referred to as the "Company"), hereby establishes an employee stock purchase plan to be known as the "Fidelity National Title Group, Inc. Employee Stock Purchase Plan" (hereinafter referred to as the "Plan"). The Plan shall become effective on September 26, 2005.</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ind w:left="3280"/>
        <w:spacing w:after="0" w:line="238" w:lineRule="auto"/>
        <w:rPr>
          <w:sz w:val="20"/>
          <w:szCs w:val="20"/>
          <w:color w:val="auto"/>
        </w:rPr>
      </w:pPr>
      <w:r>
        <w:rPr>
          <w:rFonts w:ascii="Courier New" w:cs="Courier New" w:eastAsia="Courier New" w:hAnsi="Courier New"/>
          <w:sz w:val="18"/>
          <w:szCs w:val="18"/>
          <w:color w:val="auto"/>
        </w:rPr>
        <w:t>PURPOSE OF THE PLAN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1.1. PURPOSE. The Company has determined that it is in its best interests to provide an incentive to attract and retain Employees and to increase Employee morale by providing a program through which Employees may acquire a proprietary interest in the Company through the purchase of Company Stock. The Plan shall permit Employees to subscribe for and purchase shares of the Company Stock, and to pay the purchase price in installments by payroll deductions. Participation in the Plan is entirely voluntary and neither the Company nor any of its Subsidiaries makes any recommendations to their Employees as to whether they should participate in the Plan. The Plan is not intended to be an employee benefit plan under the Employee Retirement Income Security Act of 1974, as amended, nor qualify as an "employee stock purchase plan" under Section 423 of the Code.</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ind w:left="3700"/>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2.1. BASE EARNINGS. "Base Earnings" means the amount of a Participant's regular salary before deductions required by law and deductions authorized by the Participant, including any elective deferrals with respect to a plan of the Employer qualified under Sections 125 or 401(a) of the Code and any amounts deferred by the Participant to a nonqualified deferred compensation plan sponsored by the Employer. In the case of Participants primarily compensated on a commission basis, "Base Earnings" may include commission earnings not to exceed $7,500 per month. "Base Earnings" shall not include: wages paid for overtime, extended workweek schedules or any other form of extra compensation, payments made by the Employer based upon salary for Social Security, workers' compensation, unemployment compensation, disability payments or any other payment mandated by state or federal statute, or salary-related contributions made by the Employer for insurance, annuity or any other employee benefit plan.</w:t>
      </w:r>
    </w:p>
    <w:p>
      <w:pPr>
        <w:spacing w:after="0" w:line="38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2.2. BOARD. "Board" means the Board of Directors of the Company.</w:t>
      </w:r>
    </w:p>
    <w:p>
      <w:pPr>
        <w:spacing w:after="0" w:line="207"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2.3. BROKER. "Broker" means the financial institution designated by the Company to act as Broker for the Plan under Article VIII below.</w:t>
      </w:r>
    </w:p>
    <w:p>
      <w:pPr>
        <w:spacing w:after="0" w:line="208"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2.4. BROKERAGE ACCOUNT. "Brokerage Account" means the bookkeeping entry maintained by the Company for the purpose of accounting for the benefits accrued by a Participant under the Plan.</w:t>
      </w:r>
    </w:p>
    <w:p>
      <w:pPr>
        <w:sectPr>
          <w:pgSz w:w="11900" w:h="16838" w:orient="portrait"/>
          <w:cols w:equalWidth="0" w:num="1">
            <w:col w:w="10219"/>
          </w:cols>
          <w:pgMar w:left="240" w:top="541" w:right="1440" w:bottom="1440" w:gutter="0" w:footer="0" w:header="0"/>
        </w:sectPr>
      </w:pPr>
    </w:p>
    <w:bookmarkStart w:id="72" w:name="page73"/>
    <w:bookmarkEnd w:id="72"/>
    <w:p>
      <w:pPr>
        <w:ind w:right="1879" w:firstLine="948"/>
        <w:spacing w:after="0" w:line="235" w:lineRule="auto"/>
        <w:rPr>
          <w:sz w:val="20"/>
          <w:szCs w:val="20"/>
          <w:color w:val="auto"/>
        </w:rPr>
      </w:pPr>
      <w:r>
        <w:rPr>
          <w:rFonts w:ascii="Courier New" w:cs="Courier New" w:eastAsia="Courier New" w:hAnsi="Courier New"/>
          <w:sz w:val="18"/>
          <w:szCs w:val="18"/>
          <w:color w:val="auto"/>
        </w:rPr>
        <w:t>2.5. CODE. "Code" means the Internal Revenue Code of 1986, as amended, and the regulations promulgated thereunder.</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2.6. COMMITTEE. "Committee" means the Committee described in Article</w:t>
      </w:r>
    </w:p>
    <w:p>
      <w:pPr>
        <w:spacing w:after="0" w:line="238" w:lineRule="auto"/>
        <w:rPr>
          <w:sz w:val="20"/>
          <w:szCs w:val="20"/>
          <w:color w:val="auto"/>
        </w:rPr>
      </w:pPr>
      <w:r>
        <w:rPr>
          <w:rFonts w:ascii="Courier New" w:cs="Courier New" w:eastAsia="Courier New" w:hAnsi="Courier New"/>
          <w:sz w:val="18"/>
          <w:szCs w:val="18"/>
          <w:color w:val="auto"/>
        </w:rPr>
        <w:t>VIII.</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2.7. COMPANY. "Company" means Fidelity National Title Group, Inc., a Delaware corporation.</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2.8. COMPANY STOCK. "Company Stock" means Class A common stock of the Company, par value $0.0001 per share.</w:t>
      </w:r>
    </w:p>
    <w:p>
      <w:pPr>
        <w:spacing w:after="0" w:line="20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2.9. DISTRIBUTION DATE. "Distribution Date" means the date as of which the distribution of Company Stock to the holders of the outstanding common stock of Fidelity National Financial, Inc., is effected.</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2.10. EMPLOYEE. "Employee" means each person currently employed by the Employer who (a) averages at least twenty hours per week, any portion of whose income is subject to withholding of income tax or for whom Social Security retirement contributions are made by the Employer, or (b) qualifies as a common-law employee of the Employer. Persons determined by the Board to be non-Employees and Employees on a leave of absence are not eligible to become Participants in the Plan.</w:t>
      </w:r>
    </w:p>
    <w:p>
      <w:pPr>
        <w:spacing w:after="0" w:line="211"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2.11. EMPLOYER. "Employer" means the Company and any Subsidiary that adopts this Plan with the approval of the Board.</w:t>
      </w:r>
    </w:p>
    <w:p>
      <w:pPr>
        <w:spacing w:after="0" w:line="208"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2.12. PARTICIPANT. "Participant" means an Employee who has satisfied the eligibility requirements of Section 3.1 and has become a participant in the Plan in accordance with Section 3.2.</w:t>
      </w:r>
    </w:p>
    <w:p>
      <w:pPr>
        <w:spacing w:after="0" w:line="209" w:lineRule="exact"/>
        <w:rPr>
          <w:sz w:val="20"/>
          <w:szCs w:val="20"/>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2.13. PAYROLL PERIOD. "Payroll Period" means the pay periods coinciding with the Employer's payroll practices, as revised from time to time.</w:t>
      </w:r>
    </w:p>
    <w:p>
      <w:pPr>
        <w:spacing w:after="0" w:line="170"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2.14. PLAN YEAR. "Plan Year" means the twelve consecutive month period ending each December 31.</w:t>
      </w:r>
    </w:p>
    <w:p>
      <w:pPr>
        <w:spacing w:after="0" w:line="208"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2.15. QUARTER. "Quarter" means the three consecutive calendar month periods commencing January 1 through March 31, April 1 through June 30, July 1 through September 30 and October 1 through December 31 each Plan Year.</w:t>
      </w:r>
    </w:p>
    <w:p>
      <w:pPr>
        <w:spacing w:after="0" w:line="209"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2.16. QUARTER END. "Quarter End" means the last day of each Quarter (March 31, June 30, September 30 or December 31).</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2.17. SUBSIDIARY. "Subsidiary" means any corporation in which the Company owns, directly or indirectly, at least fifty percent (50%) of the total combined voting power of all classes of stock, or any other entity (including, but not limited to, partnerships and joint ventures) in which the Company owns, directly or indirectly, at least fifty percent (50%) of the combined equity thereof.</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20" w:right="1440" w:bottom="1440" w:gutter="0" w:footer="0" w:header="0"/>
        </w:sectPr>
      </w:pPr>
    </w:p>
    <w:bookmarkStart w:id="73" w:name="page74"/>
    <w:bookmarkEnd w:id="73"/>
    <w:p>
      <w:pPr>
        <w:ind w:left="3580"/>
        <w:spacing w:after="0"/>
        <w:rPr>
          <w:sz w:val="20"/>
          <w:szCs w:val="20"/>
          <w:color w:val="auto"/>
        </w:rPr>
      </w:pPr>
      <w:r>
        <w:rPr>
          <w:rFonts w:ascii="Courier New" w:cs="Courier New" w:eastAsia="Courier New" w:hAnsi="Courier New"/>
          <w:sz w:val="18"/>
          <w:szCs w:val="18"/>
          <w:color w:val="auto"/>
        </w:rPr>
        <w:t>ARTICLE III</w:t>
      </w:r>
    </w:p>
    <w:p>
      <w:pPr>
        <w:ind w:left="2740"/>
        <w:spacing w:after="0" w:line="238" w:lineRule="auto"/>
        <w:rPr>
          <w:sz w:val="20"/>
          <w:szCs w:val="20"/>
          <w:color w:val="auto"/>
        </w:rPr>
      </w:pPr>
      <w:r>
        <w:rPr>
          <w:rFonts w:ascii="Courier New" w:cs="Courier New" w:eastAsia="Courier New" w:hAnsi="Courier New"/>
          <w:sz w:val="18"/>
          <w:szCs w:val="18"/>
          <w:color w:val="auto"/>
        </w:rPr>
        <w:t>ELIGIBILITY AND PARTICIPATION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3.1. ELIGIBILITY. Eligibility under the Plan shall be determined as</w:t>
      </w:r>
    </w:p>
    <w:p>
      <w:pPr>
        <w:spacing w:after="0" w:line="238" w:lineRule="auto"/>
        <w:rPr>
          <w:sz w:val="20"/>
          <w:szCs w:val="20"/>
          <w:color w:val="auto"/>
        </w:rPr>
      </w:pPr>
      <w:r>
        <w:rPr>
          <w:rFonts w:ascii="Courier New" w:cs="Courier New" w:eastAsia="Courier New" w:hAnsi="Courier New"/>
          <w:sz w:val="18"/>
          <w:szCs w:val="18"/>
          <w:color w:val="auto"/>
        </w:rPr>
        <w:t>follows:</w:t>
      </w:r>
    </w:p>
    <w:p>
      <w:pPr>
        <w:spacing w:after="0" w:line="207" w:lineRule="exact"/>
        <w:rPr>
          <w:sz w:val="20"/>
          <w:szCs w:val="20"/>
          <w:color w:val="auto"/>
        </w:rPr>
      </w:pPr>
    </w:p>
    <w:p>
      <w:pPr>
        <w:ind w:right="1879" w:firstLine="1904"/>
        <w:spacing w:after="0" w:line="237" w:lineRule="auto"/>
        <w:tabs>
          <w:tab w:leader="none" w:pos="231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Employee of the Employer who participated in or was eligible to participate in the Fidelity National Financial, Inc. Employee Stock Purchase Plan (the "FNF ESPP") prior to the Distribution Date shall be eligible to become a Participant in the Plan following the Distribution Date.</w:t>
      </w:r>
    </w:p>
    <w:p>
      <w:pPr>
        <w:spacing w:after="0" w:line="207"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Employees of the Employer shall be eligible to become Participants in the Plan on the first day of the next Payroll Period (to the extent practical under the Employer's payroll practices) following the delivery of an enrollment form provided by the Employer (the "Enrollment Form") coincident with or next following the completion of ninety days of employment with the Employer.</w:t>
      </w:r>
    </w:p>
    <w:p>
      <w:pPr>
        <w:spacing w:after="0" w:line="210"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3.2. PARTICIPATION. As soon as administratively practicable following the Distribution Date, as determined by the Committee in its sole discretion, an Employee who has satisfied the eligibility requirements of Section 3.1 may become a participant in the Plan upon his or her completion and delivery to the Human Resources Department of the Company an Enrollment Form authorizing payroll deductions. Payroll deductions for a Participant shall commence on the first day of the next Payroll Period coincident with or next following the filing of the Participant's Enrollment Form and shall remain in effect until revoked by the Participant by the filing of a notice of withdrawal from the Plan under Article VII or by the filing of a new Enrollment Form providing for a change in the Participant's payroll deduction rate in accordance with Section 4.2 below.</w:t>
      </w:r>
    </w:p>
    <w:p>
      <w:pPr>
        <w:spacing w:after="0" w:line="18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3.3. SPECIAL RULES. In the event that a person is excluded from participation in the Plan under Section 2.10 above and a court of competent jurisdiction determines that the person is eligible to participate in the Plan, the person shall be treated as an Employee only from the date of the court's determination and shall not be entitled to retroactive participation in the Plan.</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jc w:val="center"/>
        <w:ind w:right="1779"/>
        <w:spacing w:after="0" w:line="238" w:lineRule="auto"/>
        <w:rPr>
          <w:sz w:val="20"/>
          <w:szCs w:val="20"/>
          <w:color w:val="auto"/>
        </w:rPr>
      </w:pPr>
      <w:r>
        <w:rPr>
          <w:rFonts w:ascii="Courier New" w:cs="Courier New" w:eastAsia="Courier New" w:hAnsi="Courier New"/>
          <w:sz w:val="18"/>
          <w:szCs w:val="18"/>
          <w:color w:val="auto"/>
        </w:rPr>
        <w:t>PAYROLL DEDUCTIONS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4.1. PARTICIPANT ELECTION. Upon the Enrollment Form, each Participant shall designate the amount of payroll deductions ("Participant Contributions") to be made from his paycheck to purchase Company Stock under the Plan. The amount of Participant Contributions shall be designated in whole percentages of Base Earnings, of at least 3% not to exceed 15% of Base Earnings for any Plan Year. The amount so designated upon the Enrollment Form shall be effective as of the next Payroll Period and shall continue until terminated or altered in accordance with Section 4.2 below.</w:t>
      </w:r>
    </w:p>
    <w:p>
      <w:pPr>
        <w:spacing w:after="0" w:line="21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4.2. CHANGES IN ELECTION. A Participant may terminate participation in the Plan at any time prior to the close of a Payroll Period as provided in Article VII. A Participant may decrease or increase the rate of Participant Contributions once each Quarter by completing and delivering to the Human Resources Department of the Company a new Enrollment Form</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440" w:gutter="0" w:footer="0" w:header="0"/>
        </w:sectPr>
      </w:pPr>
    </w:p>
    <w:bookmarkStart w:id="74" w:name="page75"/>
    <w:bookmarkEnd w:id="74"/>
    <w:p>
      <w:pPr>
        <w:ind w:right="1779"/>
        <w:spacing w:after="0" w:line="237" w:lineRule="auto"/>
        <w:rPr>
          <w:sz w:val="20"/>
          <w:szCs w:val="20"/>
          <w:color w:val="auto"/>
        </w:rPr>
      </w:pPr>
      <w:r>
        <w:rPr>
          <w:rFonts w:ascii="Courier New" w:cs="Courier New" w:eastAsia="Courier New" w:hAnsi="Courier New"/>
          <w:sz w:val="18"/>
          <w:szCs w:val="18"/>
          <w:color w:val="auto"/>
        </w:rPr>
        <w:t>setting forth the desired change. Any change under this Section 4.2 shall become effective on the first day of the next Payroll Period (to the extent practical under the Employer's payroll practices) following the delivery of the new Enrollment Form.</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4.3. PARTICIPANT ACCOUNTS. The Company shall establish and maintain a separate Brokerage Account for each Participant. The amount of each Participant's Participant Contributions shall be credited to his or her Brokerage Account. No interest will be paid or allowed on amounts credited to a Participant's Brokerage Account. All Participant Contributions withheld by the Company under the Plan are general corporate assets of the Company and may be used by the Company for any corporate purpose. The Company is not obligated to segregate such Participant Contributions.</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w:t>
      </w:r>
    </w:p>
    <w:p>
      <w:pPr>
        <w:ind w:left="3160"/>
        <w:spacing w:after="0" w:line="238" w:lineRule="auto"/>
        <w:rPr>
          <w:sz w:val="20"/>
          <w:szCs w:val="20"/>
          <w:color w:val="auto"/>
        </w:rPr>
      </w:pPr>
      <w:r>
        <w:rPr>
          <w:rFonts w:ascii="Courier New" w:cs="Courier New" w:eastAsia="Courier New" w:hAnsi="Courier New"/>
          <w:sz w:val="18"/>
          <w:szCs w:val="18"/>
          <w:color w:val="auto"/>
        </w:rPr>
        <w:t>COMPANY CONTRIBUTIONS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5.1. OFFICERS AND DIRECTORS. For each Officer or director of the Employer who is a Participant in the Plan and remains an Employee on each day from each Quarter End until the anniversary of that Quarter End (the "Matching Date"), the Employer shall make a Matching Contribution to the Brokerage Account of that Participant. The Matching Contribution shall be in an amount equal to one-half of the amount of Participant Contributions set aside into the Participant's Brokerage Account for the Quarter ending on the applicable Quarter End. The Matching Contribution shall be made as soon as is practical to the Broker following the Matching Date. Withholding taxes, if any, shall be made upon such Matching Contribution based upon the Participant's existing withholding percentages or as otherwise required by law from the Participant's Base Earnings. For purposes of the Plan, "Officer" means president, secretary, vice president, treasurer or assistant vice president and shall be determined by the Committee as of any Quarter End.</w:t>
      </w:r>
    </w:p>
    <w:p>
      <w:pPr>
        <w:spacing w:after="0" w:line="20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5.2. OTHER PARTICIPANTS. For each Participant who the Committee determines is not an Officer or director of the Employer under Section 5.1 above and who remains an Employee on each day from each Quarter End until the Matching Date, the Company shall make a Matching Contribution to the Brokerage Account of that Participant. Except as otherwise provided in Section 5.3 below, the Matching Contribution shall be in an amount equal to one-third of the amount of Participant Contributions set aside into the Participant's Brokerage Account for the Quarter ending on the applicable Quarter End. The Matching Contribution shall be made as soon as is practical to the Broker following the Matching Date. Withholding taxes, if any, shall be made upon such Matching Contribution based upon the Participant's existing withholding percentages or as otherwise required by law from the Participant's Base Earnings.</w:t>
      </w:r>
    </w:p>
    <w:p>
      <w:pPr>
        <w:spacing w:after="0" w:line="39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5.3. TEN-YEAR EMPLOYEES. Notwithstanding the provisions of Section 5.2 above, with respect to each Participant who has completed at least ten consecutive years of employment with the Employer at the time any Matching Contribution will be made ("Ten-Year Employee"), the Matching Contribution for such Participant under Section 5.2 above shall be one-half of the amount of the Participant's Contributions instead of one-third. For purposes of this Section 5.3, a Participant's years of employment with Fidelity National Financial Inc. ("FNF") prior to the Distribution Date, including all direct and indirect subsidiaries of FNF, shall be included in determining whether the Participant is a Ten-Year Employee.</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1440" w:gutter="0" w:footer="0" w:header="0"/>
        </w:sectPr>
      </w:pPr>
    </w:p>
    <w:bookmarkStart w:id="75" w:name="page76"/>
    <w:bookmarkEnd w:id="75"/>
    <w:p>
      <w:pPr>
        <w:ind w:right="1879" w:firstLine="948"/>
        <w:spacing w:after="0" w:line="237" w:lineRule="auto"/>
        <w:rPr>
          <w:sz w:val="20"/>
          <w:szCs w:val="20"/>
          <w:color w:val="auto"/>
        </w:rPr>
      </w:pPr>
      <w:r>
        <w:rPr>
          <w:rFonts w:ascii="Courier New" w:cs="Courier New" w:eastAsia="Courier New" w:hAnsi="Courier New"/>
          <w:sz w:val="18"/>
          <w:szCs w:val="18"/>
          <w:color w:val="auto"/>
        </w:rPr>
        <w:t>5.4. CHANGES IN STATUS. In the event that a Participant becomes an Officer or director of the Employer, as described in Section 5.1 herein, or a Ten-Year Employee, as described in Section 5.3 herein, during a Quarter, for purposes of determining such Participant's Matching Contribution, all Participant Contributions made during the Quarter in which the change in status occurred shall be considered to have been made as an Officer, director or Ten-Year Employee for that Quarter.</w:t>
      </w: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ind w:left="3380"/>
        <w:spacing w:after="0" w:line="238" w:lineRule="auto"/>
        <w:rPr>
          <w:sz w:val="20"/>
          <w:szCs w:val="20"/>
          <w:color w:val="auto"/>
        </w:rPr>
      </w:pPr>
      <w:r>
        <w:rPr>
          <w:rFonts w:ascii="Courier New" w:cs="Courier New" w:eastAsia="Courier New" w:hAnsi="Courier New"/>
          <w:sz w:val="18"/>
          <w:szCs w:val="18"/>
          <w:color w:val="auto"/>
        </w:rPr>
        <w:t>PURCHASE OF STOCK</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6.1. PURCHASE OF COMPANY STOCK. Absent an election by the Participant to terminate his or her payroll deductions and have his or her Brokerage Account returned, as soon as is practical following the transfer of funds from the Employer to the Broker following the close of each Payroll Period or, with respect to Matching Contributions, Quarter End, the Plan shall cause the Broker to purchase on behalf of each Participant the maximum number of shares and partial shares of Company Stock at the purchase price determined under Section 6.4 as can be purchased with the amounts held in each Participant's Brokerage Account. If there are amounts held in a Participant's Brokerage Account that are not used to purchase Company Stock, all such amounts shall be held in the Participant's Brokerage Account and carried forward to the next Payroll Period.</w:t>
      </w:r>
    </w:p>
    <w:p>
      <w:pPr>
        <w:spacing w:after="0" w:line="38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6.2. DELIVERY OF COMPANY STOCK.</w:t>
      </w:r>
    </w:p>
    <w:p>
      <w:pPr>
        <w:spacing w:after="0" w:line="207" w:lineRule="exact"/>
        <w:rPr>
          <w:sz w:val="20"/>
          <w:szCs w:val="20"/>
          <w:color w:val="auto"/>
        </w:rPr>
      </w:pPr>
    </w:p>
    <w:p>
      <w:pPr>
        <w:ind w:right="1779" w:firstLine="1904"/>
        <w:spacing w:after="0" w:line="271" w:lineRule="auto"/>
        <w:tabs>
          <w:tab w:leader="none" w:pos="2318"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Stock acquired under the Plan may either be issued directly to Participants or may be issued to the Broker engaged by the Company to administer the Plan under Article VIII. If the Company Stock is issued in the name of the Broker, all Company Stock so issued ("Plan Held Stock") shall be held in the name of the Broker for the benefit of the Plan. The Broker shall maintain Brokerage Accounts for the benefit of the Participants that shall reflect each Participant's interest in the Plan Held Stock. Such accounts shall reflect the number of whole and partial shares of Company Stock that are being held by the Broker for the benefit of each Participant.</w:t>
      </w:r>
    </w:p>
    <w:p>
      <w:pPr>
        <w:spacing w:after="0" w:line="388"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Participant may elect to have the Company Stock purchased under the Plan from his or her Brokerage Account be issued directly to the Participant. Any election under this paragraph shall be on the forms provided by the Company and shall be issued in accordance with paragraph (c) below.</w:t>
      </w:r>
    </w:p>
    <w:p>
      <w:pPr>
        <w:spacing w:after="0" w:line="208" w:lineRule="exact"/>
        <w:rPr>
          <w:rFonts w:ascii="Courier New" w:cs="Courier New" w:eastAsia="Courier New" w:hAnsi="Courier New"/>
          <w:sz w:val="18"/>
          <w:szCs w:val="18"/>
          <w:color w:val="auto"/>
        </w:rPr>
      </w:pPr>
    </w:p>
    <w:p>
      <w:pPr>
        <w:ind w:right="1879" w:firstLine="1904"/>
        <w:spacing w:after="0" w:line="270" w:lineRule="auto"/>
        <w:tabs>
          <w:tab w:leader="none" w:pos="2318"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Company Stock under the Plan is issued directly to a Participant, the Company will deliver to each Participant a stock certificate or certificates issued in his or her name for the number of shares of Company Stock purchased as soon as practicable after the Company Stock is purchased. Where Company Stock is issued under this paragraph, only full shares of stock will be issued to a Participant. The time of issuance and delivery of shares may be postponed for such period as may be necessary to comply with the registration requirements under the Securities Act of 1933, as amended, the listing requirements of any securities exchange on which the Company Stock may then be listed, or the requirements under other laws or regulations applicable to the issuance or sale of such shares.</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20" w:right="1440" w:bottom="1440" w:gutter="0" w:footer="0" w:header="0"/>
        </w:sectPr>
      </w:pPr>
    </w:p>
    <w:bookmarkStart w:id="76" w:name="page77"/>
    <w:bookmarkEnd w:id="76"/>
    <w:p>
      <w:pPr>
        <w:ind w:right="1999" w:firstLine="948"/>
        <w:spacing w:after="0" w:line="290" w:lineRule="auto"/>
        <w:rPr>
          <w:sz w:val="20"/>
          <w:szCs w:val="20"/>
          <w:color w:val="auto"/>
        </w:rPr>
      </w:pPr>
      <w:r>
        <w:rPr>
          <w:rFonts w:ascii="Courier New" w:cs="Courier New" w:eastAsia="Courier New" w:hAnsi="Courier New"/>
          <w:sz w:val="16"/>
          <w:szCs w:val="16"/>
          <w:color w:val="auto"/>
        </w:rPr>
        <w:t>6.3. PURCHASE PRICE. The purchase price for any Offering Period shall be the Fair Market Value of Company Stock on the date shares are purchased.</w:t>
      </w:r>
    </w:p>
    <w:p>
      <w:pPr>
        <w:spacing w:after="0" w:line="170"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6.4. FAIR MARKET VALUE. For purposes of the Plan, the term "Fair Market Value" on any given date means the value of one share of Company Stock, determined as follows:</w:t>
      </w:r>
    </w:p>
    <w:p>
      <w:pPr>
        <w:spacing w:after="0" w:line="209" w:lineRule="exact"/>
        <w:rPr>
          <w:sz w:val="20"/>
          <w:szCs w:val="20"/>
          <w:color w:val="auto"/>
        </w:rPr>
      </w:pPr>
    </w:p>
    <w:p>
      <w:pPr>
        <w:ind w:right="1779" w:firstLine="1904"/>
        <w:spacing w:after="0" w:line="237" w:lineRule="auto"/>
        <w:tabs>
          <w:tab w:leader="none" w:pos="231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Stock is then listed or admitted to trading on the New York Stock Exchange ("NYSE"), NASDAQ National Market System ("NASDAQ") or a stock exchange that reports closing sale prices, the Fair Market Value shall be the opening sale price on the date of valuation, or, if no opening sale price is quoted or no sale takes place on such day, then the Fair Market Value shall be the opening sale price of the Company Stock on the next preceding day on which a sale occurred.</w:t>
      </w:r>
    </w:p>
    <w:p>
      <w:pPr>
        <w:spacing w:after="0" w:line="211"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Stock is not then listed or admitted to trading on the NYSE, NASDAQ, or a stock exchange that reports closing sale prices, the Fair Market Value shall be the average of the opening bid and asked prices of the Company Stock in the over-the-counter market on the date of valuation.</w:t>
      </w:r>
    </w:p>
    <w:p>
      <w:pPr>
        <w:spacing w:after="0" w:line="208" w:lineRule="exact"/>
        <w:rPr>
          <w:rFonts w:ascii="Courier New" w:cs="Courier New" w:eastAsia="Courier New" w:hAnsi="Courier New"/>
          <w:sz w:val="18"/>
          <w:szCs w:val="18"/>
          <w:color w:val="auto"/>
        </w:rPr>
      </w:pPr>
    </w:p>
    <w:p>
      <w:pPr>
        <w:ind w:right="1999" w:firstLine="1904"/>
        <w:spacing w:after="0" w:line="237" w:lineRule="auto"/>
        <w:tabs>
          <w:tab w:leader="none" w:pos="231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neither (a) nor (b) is applicable as of the date of valuation, then the Fair Market Value shall be determined by the Committee in good faith using any reasonable method of valuation, which determination shall be conclusive and binding on all interested parties.</w:t>
      </w:r>
    </w:p>
    <w:p>
      <w:pPr>
        <w:spacing w:after="0" w:line="207" w:lineRule="exact"/>
        <w:rPr>
          <w:sz w:val="20"/>
          <w:szCs w:val="20"/>
          <w:color w:val="auto"/>
        </w:rPr>
      </w:pPr>
    </w:p>
    <w:p>
      <w:pPr>
        <w:ind w:right="1999" w:firstLine="948"/>
        <w:spacing w:after="0" w:line="271" w:lineRule="auto"/>
        <w:rPr>
          <w:sz w:val="20"/>
          <w:szCs w:val="20"/>
          <w:color w:val="auto"/>
        </w:rPr>
      </w:pPr>
      <w:r>
        <w:rPr>
          <w:rFonts w:ascii="Courier New" w:cs="Courier New" w:eastAsia="Courier New" w:hAnsi="Courier New"/>
          <w:sz w:val="16"/>
          <w:szCs w:val="16"/>
          <w:color w:val="auto"/>
        </w:rPr>
        <w:t>6.5. FEES AND COMMISSIONS. The Company shall pay the Broker's administrative charges for opening and maintaining the Brokerage Accounts for the Participants and the brokerage commissions on purchases made for such Brokerage Accounts that are attributable to the purchase of Company Stock with Participant Contributions and Matching Contributions under the Plan. Such Brokerage Accounts may be utilized for other transactions as described in Section 6.6 below, but any fees, commissions or other charges by the Broker in connection with such transactions shall, in certain circumstances described in Section 6.6, be payable directly to the Broker by the Participant.</w:t>
      </w:r>
    </w:p>
    <w:p>
      <w:pPr>
        <w:spacing w:after="0" w:line="184"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6.6. PARTICIPANT ACCOUNTS WITH BROKER. Each Participant's Brokerage Account shall be credited with all cash dividends paid with respect to full shares and fractional shares of Company Stock purchased with Participant Contributions and Matching Contributions, unless the Company Stock is registered in the Participant's name under Section 6.2 above. Unless directed otherwise, all cash dividends on Company Stock held in a Participant's Brokerage Account shall automatically be reinvested in Company Stock as soon as is practical following receipt of the dividends by the Broker. Applicable fees and brokerage commissions on the reinvestment of such dividends will be payable by the Participant. Any stock dividends or stock splits that are made with respect to Company Stock purchased with Participant Contributions and Matching Contributions shall be credited to the Participant's Brokerage Account without charge to the Participant. Any Participant may request that a certificate for any or all of the full shares of Company Stock credited to his or her Brokerage Account be delivered to him or her at any time, provided that the Participant shall be charged by the Broker for any fees applicable to such request. A Participant may request the Broker to sell any or all of the full or fractional shares of Company Stock allocated to his or her Brokerage Account. Unless</w:t>
      </w: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0" w:right="1440" w:bottom="1440" w:gutter="0" w:footer="0" w:header="0"/>
        </w:sectPr>
      </w:pPr>
    </w:p>
    <w:bookmarkStart w:id="77" w:name="page78"/>
    <w:bookmarkEnd w:id="77"/>
    <w:p>
      <w:pPr>
        <w:ind w:right="1779"/>
        <w:spacing w:after="0" w:line="270" w:lineRule="auto"/>
        <w:rPr>
          <w:sz w:val="20"/>
          <w:szCs w:val="20"/>
          <w:color w:val="auto"/>
        </w:rPr>
      </w:pPr>
      <w:r>
        <w:rPr>
          <w:rFonts w:ascii="Courier New" w:cs="Courier New" w:eastAsia="Courier New" w:hAnsi="Courier New"/>
          <w:sz w:val="16"/>
          <w:szCs w:val="16"/>
          <w:color w:val="auto"/>
        </w:rPr>
        <w:t>directed otherwise by the Participant, the Broker shall mail to the Participant a check for the proceeds, less any applicable fees and brokerage commissions and any transfer taxes, registration fees or other normal charges associated with such a sale, which shall be paid by the Participant. Except as provided in Section 7.1 below, any sale of Company Stock held in a Participant's Brokerage Account shall not affect his or her status as a Participant. A Participant may purchase or sell additional shares of Company Stock through his or her Brokerage Account at any time through separate purchases arranged through the Broker. The Participant shall pay any and all costs, commissions or fees associated with any such transactions to the Broker, including, but not limited to, purchases, sales, reinvestment of dividends, requests for certificates and crediting of stock dividends or stock splits.</w:t>
      </w:r>
    </w:p>
    <w:p>
      <w:pPr>
        <w:spacing w:after="0" w:line="385"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8"/>
          <w:szCs w:val="18"/>
          <w:color w:val="auto"/>
        </w:rPr>
        <w:t>ARTICLE VII</w:t>
      </w:r>
    </w:p>
    <w:p>
      <w:pPr>
        <w:jc w:val="right"/>
        <w:ind w:right="5479"/>
        <w:spacing w:after="0" w:line="238" w:lineRule="auto"/>
        <w:rPr>
          <w:sz w:val="20"/>
          <w:szCs w:val="20"/>
          <w:color w:val="auto"/>
        </w:rPr>
      </w:pPr>
      <w:r>
        <w:rPr>
          <w:rFonts w:ascii="Courier New" w:cs="Courier New" w:eastAsia="Courier New" w:hAnsi="Courier New"/>
          <w:sz w:val="18"/>
          <w:szCs w:val="18"/>
          <w:color w:val="auto"/>
        </w:rPr>
        <w:t>WITHDRAWAL</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7.1. IN SERVICE WITHDRAWALS. At any time prior to the close of a Payroll Period, any Participant may withdraw the amounts held in his or her Brokerage Account by executing and delivering to the Human Resources Department for the Company written notice of withdrawal on the form provided by the Company. In such a case, the entire balance of the Participant's Brokerage Account shall be paid to the Participant, without interest, as soon as is practicable. Upon such notification, that Participant shall cease to participate in the Plan for the remainder of the Payroll Period in which the notice is given. Any Employee who has withdrawn under this Section shall be excluded from participation in the Plan for the remainder of the Payroll Period, but may then be reinstated as a Participant for a subsequent Payroll Period by executing and delivering a new Enrollment Form to the Committee.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7.2. TERMINATION OF EMPLOYMENT.</w:t>
      </w:r>
    </w:p>
    <w:p>
      <w:pPr>
        <w:spacing w:after="0" w:line="207" w:lineRule="exact"/>
        <w:rPr>
          <w:sz w:val="20"/>
          <w:szCs w:val="20"/>
          <w:color w:val="auto"/>
        </w:rPr>
      </w:pPr>
    </w:p>
    <w:p>
      <w:pPr>
        <w:ind w:right="1999" w:firstLine="1904"/>
        <w:spacing w:after="0" w:line="273" w:lineRule="auto"/>
        <w:tabs>
          <w:tab w:leader="none" w:pos="2318"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 Participant's employment with the Employer terminates for any reason, the Participant shall cease to participate in the Plan on the date of termination. As soon as is practical following the date of termination, the entire balance of the Participant's Brokerage Account shall be paid to the Participant or his or her beneficiary, without interest.</w:t>
      </w:r>
    </w:p>
    <w:p>
      <w:pPr>
        <w:spacing w:after="0" w:line="184" w:lineRule="exact"/>
        <w:rPr>
          <w:rFonts w:ascii="Courier New" w:cs="Courier New" w:eastAsia="Courier New" w:hAnsi="Courier New"/>
          <w:sz w:val="16"/>
          <w:szCs w:val="16"/>
          <w:color w:val="auto"/>
        </w:rPr>
      </w:pPr>
    </w:p>
    <w:p>
      <w:pPr>
        <w:ind w:right="1779" w:firstLine="1904"/>
        <w:spacing w:after="0" w:line="238" w:lineRule="auto"/>
        <w:tabs>
          <w:tab w:leader="none" w:pos="231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 may file a written designation of a beneficiary who is to receive any shares of Company Stock purchased under the Plan or any cash from the Participant's Brokerage Account in the event of his or her death. Beneficiary designations may be changed by the Participant at any time by written notice. If a Participant dies, the Committee may rely upon the most recent beneficiary designation it has on file as being the appropriate beneficiary. If a Participant dies and no valid beneficiary designation exists, or the beneficiary has predeceased the Participant, the Committee shall deliver any cash or shares of Company Stock to the executor or administrator of the estate of the Participant, or if no such executor or administrator has been appointed to the knowledge of the Committee, the Committee, in its sole discretion, may deliver such shares of Company Stock or cash to the spouse or any one or more dependents or relatives of the Participant, or if no spouse, dependent or relative is known to the Committee, then to such other person as the Committee may designate.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sectPr>
      </w:pPr>
    </w:p>
    <w:bookmarkStart w:id="78" w:name="page79"/>
    <w:bookmarkEnd w:id="78"/>
    <w:p>
      <w:pPr>
        <w:ind w:left="3580"/>
        <w:spacing w:after="0"/>
        <w:rPr>
          <w:sz w:val="20"/>
          <w:szCs w:val="20"/>
          <w:color w:val="auto"/>
        </w:rPr>
      </w:pPr>
      <w:r>
        <w:rPr>
          <w:rFonts w:ascii="Courier New" w:cs="Courier New" w:eastAsia="Courier New" w:hAnsi="Courier New"/>
          <w:sz w:val="18"/>
          <w:szCs w:val="18"/>
          <w:color w:val="auto"/>
        </w:rPr>
        <w:t>ARTICLE VIII</w:t>
      </w:r>
    </w:p>
    <w:p>
      <w:pPr>
        <w:ind w:left="3280"/>
        <w:spacing w:after="0" w:line="238" w:lineRule="auto"/>
        <w:rPr>
          <w:sz w:val="20"/>
          <w:szCs w:val="20"/>
          <w:color w:val="auto"/>
        </w:rPr>
      </w:pPr>
      <w:r>
        <w:rPr>
          <w:rFonts w:ascii="Courier New" w:cs="Courier New" w:eastAsia="Courier New" w:hAnsi="Courier New"/>
          <w:sz w:val="18"/>
          <w:szCs w:val="18"/>
          <w:color w:val="auto"/>
        </w:rPr>
        <w:t>PLAN ADMINISTRATION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8.1. PLAN ADMINISTRATION.</w:t>
      </w:r>
    </w:p>
    <w:p>
      <w:pPr>
        <w:spacing w:after="0" w:line="207" w:lineRule="exact"/>
        <w:rPr>
          <w:sz w:val="20"/>
          <w:szCs w:val="20"/>
          <w:color w:val="auto"/>
        </w:rPr>
      </w:pPr>
    </w:p>
    <w:p>
      <w:pPr>
        <w:ind w:right="1879" w:firstLine="1904"/>
        <w:spacing w:after="0" w:line="237" w:lineRule="auto"/>
        <w:tabs>
          <w:tab w:leader="none" w:pos="231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to control and manage the operation and administration of the Plan shall be vested in the Board, or a committee ("Committee") appointed by the Board. Until such time as the Board appoints a Committee to administer the Plan, the Board shall serve as the Committee for purposes of the Plan. The Board or Committee shall have all powers necessary to supervise the administration of the Plan and control its operations.</w:t>
      </w:r>
    </w:p>
    <w:p>
      <w:pPr>
        <w:spacing w:after="0" w:line="209" w:lineRule="exact"/>
        <w:rPr>
          <w:rFonts w:ascii="Courier New" w:cs="Courier New" w:eastAsia="Courier New" w:hAnsi="Courier New"/>
          <w:sz w:val="18"/>
          <w:szCs w:val="18"/>
          <w:color w:val="auto"/>
        </w:rPr>
      </w:pPr>
    </w:p>
    <w:p>
      <w:pPr>
        <w:ind w:right="1779" w:firstLine="1904"/>
        <w:spacing w:after="0" w:line="236" w:lineRule="auto"/>
        <w:tabs>
          <w:tab w:leader="none" w:pos="231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any powers and authority conferred on the Board or Committee elsewhere in the Plan or by law, the Board or Committee shall have the following powers and authority:</w:t>
      </w:r>
    </w:p>
    <w:p>
      <w:pPr>
        <w:spacing w:after="0" w:line="208"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designate agents to carry out responsibilities</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relating to the Plan;</w:t>
      </w:r>
    </w:p>
    <w:p>
      <w:pPr>
        <w:spacing w:after="0" w:line="207" w:lineRule="exact"/>
        <w:rPr>
          <w:rFonts w:ascii="Courier New" w:cs="Courier New" w:eastAsia="Courier New" w:hAnsi="Courier New"/>
          <w:sz w:val="16"/>
          <w:szCs w:val="16"/>
          <w:color w:val="auto"/>
        </w:rPr>
      </w:pPr>
    </w:p>
    <w:p>
      <w:pPr>
        <w:jc w:val="both"/>
        <w:ind w:left="960" w:right="1879" w:firstLine="1892"/>
        <w:spacing w:after="0" w:line="237" w:lineRule="auto"/>
        <w:tabs>
          <w:tab w:leader="none" w:pos="3383"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administer, interpret, construe and apply this Plan and to answer all questions that may arise or that may be raised under this Plan by a Participant, his or her beneficiary or any other person whatsoever;</w:t>
      </w:r>
    </w:p>
    <w:p>
      <w:pPr>
        <w:spacing w:after="0" w:line="207" w:lineRule="exact"/>
        <w:rPr>
          <w:rFonts w:ascii="Courier New" w:cs="Courier New" w:eastAsia="Courier New" w:hAnsi="Courier New"/>
          <w:sz w:val="18"/>
          <w:szCs w:val="18"/>
          <w:color w:val="auto"/>
        </w:rPr>
      </w:pPr>
    </w:p>
    <w:p>
      <w:pPr>
        <w:ind w:left="3480" w:hanging="628"/>
        <w:spacing w:after="0"/>
        <w:tabs>
          <w:tab w:leader="none" w:pos="348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establish rules and procedures from time to</w:t>
      </w:r>
    </w:p>
    <w:p>
      <w:pPr>
        <w:spacing w:after="0" w:line="21" w:lineRule="exact"/>
        <w:rPr>
          <w:rFonts w:ascii="Courier New" w:cs="Courier New" w:eastAsia="Courier New" w:hAnsi="Courier New"/>
          <w:sz w:val="16"/>
          <w:szCs w:val="16"/>
          <w:color w:val="auto"/>
        </w:rPr>
      </w:pPr>
    </w:p>
    <w:p>
      <w:pPr>
        <w:ind w:left="960"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time for the conduct of its business and for the administration and effectuation of its responsibilities under the Plan; and</w:t>
      </w:r>
    </w:p>
    <w:p>
      <w:pPr>
        <w:spacing w:after="0" w:line="208" w:lineRule="exact"/>
        <w:rPr>
          <w:rFonts w:ascii="Courier New" w:cs="Courier New" w:eastAsia="Courier New" w:hAnsi="Courier New"/>
          <w:sz w:val="16"/>
          <w:szCs w:val="16"/>
          <w:color w:val="auto"/>
        </w:rPr>
      </w:pPr>
    </w:p>
    <w:p>
      <w:pPr>
        <w:jc w:val="both"/>
        <w:ind w:left="960" w:right="1779" w:firstLine="1892"/>
        <w:spacing w:after="0" w:line="236" w:lineRule="auto"/>
        <w:tabs>
          <w:tab w:leader="none" w:pos="3383"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perform or cause to be performed such further acts as it may deem to be necessary, appropriate, or convenient for the operation of the Plan.</w:t>
      </w:r>
    </w:p>
    <w:p>
      <w:pPr>
        <w:spacing w:after="0" w:line="208"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taken in good faith by the Board or Committee in the exercise of authority conferred upon it by this Plan shall be conclusive and binding upon a Participant and his or her beneficiaries. All discretionary powers conferred upon the Board shall be absolute.</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8.2. LIMITATION ON LIABILITY. No Employee of the Employer nor any member of the Board or Committee shall be subject to any liability with respect to his or her duties under the Plan unless the person acts fraudulently or in bad faith. To the extent permitted by law, the Company shall indemnify each member of the Board or Committee, and any other Employee of the Employer with duties under the Plan who was or is a party, or is threatened to be made a party, to any threatened, pending or completed proceeding, whether civil, criminal, administrative, or investigative, by reason of the person's conduct in the performance of his or her duties under the Plan.</w:t>
      </w:r>
    </w:p>
    <w:p>
      <w:pPr>
        <w:spacing w:after="0" w:line="38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IX</w:t>
      </w:r>
    </w:p>
    <w:p>
      <w:pPr>
        <w:ind w:left="3580"/>
        <w:spacing w:after="0" w:line="238" w:lineRule="auto"/>
        <w:rPr>
          <w:sz w:val="20"/>
          <w:szCs w:val="20"/>
          <w:color w:val="auto"/>
        </w:rPr>
      </w:pPr>
      <w:r>
        <w:rPr>
          <w:rFonts w:ascii="Courier New" w:cs="Courier New" w:eastAsia="Courier New" w:hAnsi="Courier New"/>
          <w:sz w:val="18"/>
          <w:szCs w:val="18"/>
          <w:color w:val="auto"/>
        </w:rPr>
        <w:t>COMPANY STOCK</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9.1. LIMITATIONS ON PURCHASE OF SHARES. The maximum number of shares of Company Stock that shall be made available for sale under the Plan shall be 10,000,000 shares, subject to adjustment under Section 9.4 below. The Company will issue the shares of</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14" w:right="1440" w:bottom="1440" w:gutter="0" w:footer="0" w:header="0"/>
        </w:sectPr>
      </w:pPr>
    </w:p>
    <w:bookmarkStart w:id="79" w:name="page80"/>
    <w:bookmarkEnd w:id="79"/>
    <w:p>
      <w:pPr>
        <w:ind w:right="1879"/>
        <w:spacing w:after="0" w:line="237" w:lineRule="auto"/>
        <w:rPr>
          <w:sz w:val="20"/>
          <w:szCs w:val="20"/>
          <w:color w:val="auto"/>
        </w:rPr>
      </w:pPr>
      <w:r>
        <w:rPr>
          <w:rFonts w:ascii="Courier New" w:cs="Courier New" w:eastAsia="Courier New" w:hAnsi="Courier New"/>
          <w:sz w:val="18"/>
          <w:szCs w:val="18"/>
          <w:color w:val="auto"/>
        </w:rPr>
        <w:t>Company Stock to be sold to Participants under the Plan. If the total number of shares of Company Stock that would otherwise be issuable pursuant to rights granted pursuant to Article VI of the Plan at the purchase date exceeds the number of shares then available under the Plan, the Company shall make a pro rata allocation of the shares remaining available in as uniform and equitable a manner as is practicable. In such event, the Company shall give written notice of such reduction of the number of shares to each Participant affected thereby and any unused Participant Contributions shall be returned to such Participant if necessary.</w:t>
      </w:r>
    </w:p>
    <w:p>
      <w:pPr>
        <w:spacing w:after="0" w:line="214"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9.2. VOTING COMPANY STOCK. The Participant will have no interest or voting right in shares to be purchased under Article VI of the Plan until such shares have been purchased.</w:t>
      </w:r>
    </w:p>
    <w:p>
      <w:pPr>
        <w:spacing w:after="0" w:line="209"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9.3. REGISTRATION OF COMPANY STOCK. Shares to be delivered to a Participant under the Plan will be registered in the name of the Plan unless designated otherwise by the Participant.</w:t>
      </w:r>
    </w:p>
    <w:p>
      <w:pPr>
        <w:spacing w:after="0" w:line="209"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9.4. CHANGES IN CAPITALIZATION OF THE COMPANY. Subject to any required action by the stockholders of the Company, the number of shares of Company Stock covered by each right under the Plan that has not yet been exercised and the number of shares of Company Stock that have been authorized for issuance under the Plan but have not yet been placed under rights or that have been returned to the Plan upon the cancellation of a right, as well as the purchase price per share of Company Stock covered by each right under the Plan that has not yet been exercised, shall be proportionately adjusted in the event of a stock split, stock dividend, spin-off, reorganization, recapitalization, merger, consolidation, exchange of shares or similar transaction affecting the shares of Company Stock. Such adjustment shall be made by the Board, whose determination in that respect shall be final, binding and conclusive. Except as expressly provided herein, no issue by the Company of shares of stock of any class, or securities convertible into shares of stock of any class, shall affect, and no adjustment by reason thereof shall be made with respect to, the number or price of shares of Company Stock subject to any right granted hereunder.</w:t>
      </w:r>
    </w:p>
    <w:p>
      <w:pPr>
        <w:spacing w:after="0" w:line="39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9.5. MERGER OF COMPANY. In the event that the Company at any time proposes to merge into, consolidate with or to enter into any other reorganization pursuant to which the Company is not the surviving entity (including the sale of all or substantially all of its assets or a "reverse" merger in which the Company is the surviving entity), the Plan shall terminate, unless provision is made in writing in connection with such transaction for the continuance of the Plan and for the assumption of rights theretofore granted, or the substitution for such rights of new rights covering the shares of a successor corporation, with appropriate adjustments as to number and kind of shares and prices, in which event the Plan and the rights theretofore granted or the new rights substituted therefore, shall continue in the manner and under the terms so provided. If such provision is not made in such transaction for the continuance of the Plan and the assumption of rights theretofore granted or the substitution for such rights of new rights covering the shares of a successor corporation, then the Board or Committee shall cause written notice of the proposed transaction to be given to the persons holding rights not less than 10 days prior to the anticipated effective date of the proposed transaction, and, concurrent with the effective date of the proposed transaction, such rights shall be exercised automatically in accordance with Article</w:t>
      </w: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20" w:right="1440" w:bottom="1440" w:gutter="0" w:footer="0" w:header="0"/>
        </w:sectPr>
      </w:pPr>
    </w:p>
    <w:bookmarkStart w:id="80" w:name="page81"/>
    <w:bookmarkEnd w:id="80"/>
    <w:p>
      <w:pPr>
        <w:ind w:right="2839"/>
        <w:spacing w:after="0" w:line="235" w:lineRule="auto"/>
        <w:rPr>
          <w:sz w:val="20"/>
          <w:szCs w:val="20"/>
          <w:color w:val="auto"/>
        </w:rPr>
      </w:pPr>
      <w:r>
        <w:rPr>
          <w:rFonts w:ascii="Courier New" w:cs="Courier New" w:eastAsia="Courier New" w:hAnsi="Courier New"/>
          <w:sz w:val="18"/>
          <w:szCs w:val="18"/>
          <w:color w:val="auto"/>
        </w:rPr>
        <w:t>VI as if such effective date were the end of a Payroll Period unless a Participant withdraws from the Plan as provided in Article VII.</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w:t>
      </w:r>
    </w:p>
    <w:p>
      <w:pPr>
        <w:ind w:left="3160"/>
        <w:spacing w:after="0" w:line="238" w:lineRule="auto"/>
        <w:rPr>
          <w:sz w:val="20"/>
          <w:szCs w:val="20"/>
          <w:color w:val="auto"/>
        </w:rPr>
      </w:pPr>
      <w:r>
        <w:rPr>
          <w:rFonts w:ascii="Courier New" w:cs="Courier New" w:eastAsia="Courier New" w:hAnsi="Courier New"/>
          <w:sz w:val="18"/>
          <w:szCs w:val="18"/>
          <w:color w:val="auto"/>
        </w:rPr>
        <w:t>MISCELLANEOUS MATTERS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10.1. AMENDMENT AND TERMINATION. Since future conditions affecting the Company cannot be anticipated or foreseen, the Board reserves the right to amend, modify, or terminate the Plan at any time. Upon termination of the Plan, all benefits shall become payable immediately. Notwithstanding the foregoing, no such amendment or termination shall affect rights previously granted, nor may an amendment make any change in any right previously granted which adversely affects the rights of any Participant. In addition, no amendment may be made without prior approval of the stockholders of the Company if such amendment would:</w:t>
      </w:r>
    </w:p>
    <w:p>
      <w:pPr>
        <w:spacing w:after="0" w:line="214" w:lineRule="exact"/>
        <w:rPr>
          <w:sz w:val="20"/>
          <w:szCs w:val="20"/>
          <w:color w:val="auto"/>
        </w:rPr>
      </w:pPr>
    </w:p>
    <w:p>
      <w:pPr>
        <w:ind w:left="2320" w:hanging="416"/>
        <w:spacing w:after="0"/>
        <w:tabs>
          <w:tab w:leader="none" w:pos="23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the number of shares of Company Stock that may be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issued under the Plan;</w:t>
      </w:r>
    </w:p>
    <w:p>
      <w:pPr>
        <w:spacing w:after="0" w:line="207" w:lineRule="exact"/>
        <w:rPr>
          <w:rFonts w:ascii="Courier New" w:cs="Courier New" w:eastAsia="Courier New" w:hAnsi="Courier New"/>
          <w:sz w:val="16"/>
          <w:szCs w:val="16"/>
          <w:color w:val="auto"/>
        </w:rPr>
      </w:pPr>
    </w:p>
    <w:p>
      <w:pPr>
        <w:ind w:right="1999" w:firstLine="1904"/>
        <w:spacing w:after="0" w:line="235" w:lineRule="auto"/>
        <w:tabs>
          <w:tab w:leader="none" w:pos="231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Materially modify the requirements as to eligibility for participation in the Plan; or</w:t>
      </w:r>
    </w:p>
    <w:p>
      <w:pPr>
        <w:spacing w:after="0" w:line="208" w:lineRule="exact"/>
        <w:rPr>
          <w:rFonts w:ascii="Courier New" w:cs="Courier New" w:eastAsia="Courier New" w:hAnsi="Courier New"/>
          <w:sz w:val="18"/>
          <w:szCs w:val="18"/>
          <w:color w:val="auto"/>
        </w:rPr>
      </w:pPr>
    </w:p>
    <w:p>
      <w:pPr>
        <w:ind w:right="2939" w:firstLine="1904"/>
        <w:spacing w:after="0" w:line="235" w:lineRule="auto"/>
        <w:tabs>
          <w:tab w:leader="none" w:pos="231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Materially increase the benefits that accrue to Participants under the Plan.</w:t>
      </w:r>
    </w:p>
    <w:p>
      <w:pPr>
        <w:spacing w:after="0" w:line="20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10.2. BENEFITS NOT ALIENABLE. Benefits under the Plan may not be assigned or alienated, whether voluntarily or involuntarily. Any attempt at assignment, transfer, pledge or other disposition shall be without effect, except that the Company may treat such act as an election to withdraw funds in accordance with Article VII.</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10.3. NO ENLARGEMENT OF EMPLOYEE RIGHTS. This Plan is strictly a voluntary undertaking on the part of the Employer and shall not be deemed to constitute a contract between the Employer and any Employee or to be consideration for, or an inducement to, or a condition of, the employment of any Employee. Nothing contained in the Plan shall be deemed to give the right to any Employee to be retained in the employ of the Employer or to interfere with the right of the Employer to discharge any Employee at any time.</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10.4. GOVERNING LAW. To the extent not preempted by Federal law, the Plan shall be construed in accordance with and governed by the laws of the State of Florida, excluding any conflicts or choice of law rule or principle that might otherwise refer construction or interpretation of this Plan to the substantive law of another jurisdiction.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10.5. NON-BUSINESS DAYS. When any act under the Plan is required to be performed on a day that falls on a Saturday, Sunday or legal holiday, that act shall be performed on the next succeeding day which is not a Saturday, Sunday or legal holiday. Notwithstanding the above, Fair Market Value shall be determined in accordance with Section 6.5.</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10.6. COMPLIANCE WITH SECURITIES LAWS. Notwithstanding any provision of the Plan, the Committee shall administer the Plan in such a way to insure that the Plan at all times complies with any requirements of Federal securities laws. For example, affiliates may be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20" w:right="1440" w:bottom="1440" w:gutter="0" w:footer="0" w:header="0"/>
        </w:sectPr>
      </w:pPr>
    </w:p>
    <w:bookmarkStart w:id="81" w:name="page82"/>
    <w:bookmarkEnd w:id="81"/>
    <w:p>
      <w:pPr>
        <w:ind w:right="2099"/>
        <w:spacing w:after="0" w:line="290" w:lineRule="auto"/>
        <w:rPr>
          <w:sz w:val="20"/>
          <w:szCs w:val="20"/>
          <w:color w:val="auto"/>
        </w:rPr>
      </w:pPr>
      <w:r>
        <w:rPr>
          <w:rFonts w:ascii="Courier New" w:cs="Courier New" w:eastAsia="Courier New" w:hAnsi="Courier New"/>
          <w:sz w:val="16"/>
          <w:szCs w:val="16"/>
          <w:color w:val="auto"/>
        </w:rPr>
        <w:t>required to make irrevocable elections in accordance with the rules set forth under Section 16b-3 of the Securities Exchange Act of 1934, as amended.</w:t>
      </w:r>
    </w:p>
    <w:p>
      <w:pPr>
        <w:spacing w:after="0" w:line="170"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FIDELITY NATIONAL TITLE GROUP, INC. has caused this instrument to become effective as of September 26, 2005.</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FIDELITY NATIONAL TITLE GROUP,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By: /s/ RAYMOND R. QUIRK</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Its: Chief Executive Officer</w:t>
      </w:r>
    </w:p>
    <w:p>
      <w:pPr>
        <w:ind w:left="422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20" w:right="1440"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117"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Title Group,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0" w:firstLine="8"/>
        <w:spacing w:after="0" w:line="277" w:lineRule="auto"/>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780" w:right="60" w:hanging="201"/>
        <w:spacing w:after="0" w:line="264" w:lineRule="auto"/>
        <w:tabs>
          <w:tab w:leader="none" w:pos="762"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Combined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780" w:right="920" w:hanging="201"/>
        <w:spacing w:after="0" w:line="342" w:lineRule="auto"/>
        <w:tabs>
          <w:tab w:leader="none" w:pos="772"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780" w:right="40" w:hanging="201"/>
        <w:spacing w:after="0" w:line="264" w:lineRule="auto"/>
        <w:tabs>
          <w:tab w:leader="none" w:pos="762"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780" w:right="400" w:hanging="201"/>
        <w:spacing w:after="0" w:line="308" w:lineRule="auto"/>
        <w:tabs>
          <w:tab w:leader="none" w:pos="762"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80" w:right="340" w:hanging="1"/>
        <w:spacing w:after="0" w:line="277" w:lineRule="auto"/>
        <w:tabs>
          <w:tab w:leader="none" w:pos="77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2005</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Raymond R. Quirk</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3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17"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Title Group,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0" w:firstLine="8"/>
        <w:spacing w:after="0" w:line="277" w:lineRule="auto"/>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780" w:right="60" w:hanging="201"/>
        <w:spacing w:after="0" w:line="264" w:lineRule="auto"/>
        <w:tabs>
          <w:tab w:leader="none" w:pos="762"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Combined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780" w:right="920" w:hanging="201"/>
        <w:spacing w:after="0" w:line="342" w:lineRule="auto"/>
        <w:tabs>
          <w:tab w:leader="none" w:pos="772"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780" w:right="40" w:hanging="201"/>
        <w:spacing w:after="0" w:line="264" w:lineRule="auto"/>
        <w:tabs>
          <w:tab w:leader="none" w:pos="762"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780" w:right="400" w:hanging="201"/>
        <w:spacing w:after="0" w:line="308" w:lineRule="auto"/>
        <w:tabs>
          <w:tab w:leader="none" w:pos="762"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780" w:right="340" w:hanging="201"/>
        <w:spacing w:after="0" w:line="277" w:lineRule="auto"/>
        <w:tabs>
          <w:tab w:leader="none" w:pos="772"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2005</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Anthony J. Park</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368"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Exhibit 32.1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CERTIFICATION OF PERIODIC FINANCIAL REPORTS PURSUANT TO 18 U.S.C. §1350</w:t>
      </w:r>
    </w:p>
    <w:p>
      <w:pPr>
        <w:spacing w:after="0" w:line="117"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Title Group, Inc., a Delaware corporation (the “Company”), and hereby further certifies as follows.</w:t>
      </w:r>
    </w:p>
    <w:p>
      <w:pPr>
        <w:spacing w:after="0" w:line="62" w:lineRule="exact"/>
        <w:rPr>
          <w:sz w:val="20"/>
          <w:szCs w:val="20"/>
          <w:color w:val="auto"/>
        </w:rPr>
      </w:pPr>
    </w:p>
    <w:p>
      <w:pPr>
        <w:ind w:left="660" w:right="200" w:hanging="436"/>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75" w:lineRule="exact"/>
        <w:rPr>
          <w:rFonts w:ascii="Arial" w:cs="Arial" w:eastAsia="Arial" w:hAnsi="Arial"/>
          <w:sz w:val="18"/>
          <w:szCs w:val="18"/>
          <w:color w:val="auto"/>
        </w:rPr>
      </w:pPr>
    </w:p>
    <w:p>
      <w:pPr>
        <w:ind w:left="660" w:hanging="436"/>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11/09/05</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R. Quirk</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Raymond R. Quirk</w:t>
            </w:r>
          </w:p>
        </w:tc>
      </w:tr>
      <w:tr>
        <w:trPr>
          <w:trHeight w:val="230"/>
        </w:trPr>
        <w:tc>
          <w:tcPr>
            <w:tcW w:w="5500" w:type="dxa"/>
            <w:vAlign w:val="bottom"/>
          </w:tcPr>
          <w:p>
            <w:pPr>
              <w:spacing w:after="0"/>
              <w:rPr>
                <w:sz w:val="20"/>
                <w:szCs w:val="20"/>
                <w:color w:val="auto"/>
              </w:rPr>
            </w:pPr>
          </w:p>
        </w:tc>
        <w:tc>
          <w:tcPr>
            <w:tcW w:w="422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300"/>
          </w:cols>
          <w:pgMar w:left="240" w:top="935"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Exhibit 32.2</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CERTIFICATION OF PERIODIC FINANCIAL REPORTS PURSUANT TO 18 U.S.C. §1350</w:t>
      </w:r>
    </w:p>
    <w:p>
      <w:pPr>
        <w:spacing w:after="0" w:line="117"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Title Group, Inc., a Delaware corporation (the “Company”), and hereby further certifies as follows.</w:t>
      </w:r>
    </w:p>
    <w:p>
      <w:pPr>
        <w:spacing w:after="0" w:line="62" w:lineRule="exact"/>
        <w:rPr>
          <w:sz w:val="20"/>
          <w:szCs w:val="20"/>
          <w:color w:val="auto"/>
        </w:rPr>
      </w:pPr>
    </w:p>
    <w:p>
      <w:pPr>
        <w:ind w:left="660" w:right="200" w:hanging="436"/>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75" w:lineRule="exact"/>
        <w:rPr>
          <w:rFonts w:ascii="Arial" w:cs="Arial" w:eastAsia="Arial" w:hAnsi="Arial"/>
          <w:sz w:val="18"/>
          <w:szCs w:val="18"/>
          <w:color w:val="auto"/>
        </w:rPr>
      </w:pPr>
    </w:p>
    <w:p>
      <w:pPr>
        <w:ind w:left="660" w:hanging="436"/>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11/09/05</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J. Park</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Anthony J. Park</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300"/>
      </w:cols>
      <w:pgMar w:left="240" w:top="93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lvl w:ilvl="1">
      <w:lvlJc w:val="left"/>
      <w:lvlText w:val="(%2)"/>
      <w:numFmt w:val="lowerLetter"/>
      <w:start w:val="2"/>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lowerLetter"/>
      <w:start w:val="2"/>
    </w:lvl>
  </w:abstractNum>
  <w:abstractNum w:abstractNumId="10">
    <w:nsid w:val="79838CB2"/>
    <w:multiLevelType w:val="hybridMultilevel"/>
    <w:lvl w:ilvl="0">
      <w:lvlJc w:val="left"/>
      <w:lvlText w:val="(%1)"/>
      <w:numFmt w:val="lowerLetter"/>
      <w:start w:val="3"/>
    </w:lvl>
  </w:abstractNum>
  <w:abstractNum w:abstractNumId="11">
    <w:nsid w:val="4353D0CD"/>
    <w:multiLevelType w:val="hybridMultilevel"/>
    <w:lvl w:ilvl="0">
      <w:lvlJc w:val="left"/>
      <w:lvlText w:val="(%1)"/>
      <w:numFmt w:val="lowerLetter"/>
      <w:start w:val="2"/>
    </w:lvl>
  </w:abstractNum>
  <w:abstractNum w:abstractNumId="12">
    <w:nsid w:val="B03E0C6"/>
    <w:multiLevelType w:val="hybridMultilevel"/>
    <w:lvl w:ilvl="0">
      <w:lvlJc w:val="left"/>
      <w:lvlText w:val="(%1)"/>
      <w:numFmt w:val="upperLetter"/>
      <w:start w:val="3"/>
    </w:lvl>
    <w:lvl w:ilvl="1">
      <w:lvlJc w:val="left"/>
      <w:lvlText w:val="(%2)"/>
      <w:numFmt w:val="lowerLetter"/>
      <w:start w:val="5"/>
    </w:lvl>
  </w:abstractNum>
  <w:abstractNum w:abstractNumId="13">
    <w:nsid w:val="189A769B"/>
    <w:multiLevelType w:val="hybridMultilevel"/>
    <w:lvl w:ilvl="0">
      <w:lvlJc w:val="left"/>
      <w:lvlText w:val="(%1)"/>
      <w:numFmt w:val="lowerLetter"/>
      <w:start w:val="1"/>
    </w:lvl>
  </w:abstractNum>
  <w:abstractNum w:abstractNumId="14">
    <w:nsid w:val="54E49EB4"/>
    <w:multiLevelType w:val="hybridMultilevel"/>
    <w:lvl w:ilvl="0">
      <w:lvlJc w:val="left"/>
      <w:lvlText w:val="(%1)"/>
      <w:numFmt w:val="lowerLetter"/>
      <w:start w:val="3"/>
    </w:lvl>
  </w:abstractNum>
  <w:abstractNum w:abstractNumId="15">
    <w:nsid w:val="71F32454"/>
    <w:multiLevelType w:val="hybridMultilevel"/>
    <w:lvl w:ilvl="0">
      <w:lvlJc w:val="left"/>
      <w:lvlText w:val="(%1)"/>
      <w:numFmt w:val="lowerLetter"/>
      <w:start w:val="7"/>
    </w:lvl>
  </w:abstractNum>
  <w:abstractNum w:abstractNumId="16">
    <w:nsid w:val="2CA88611"/>
    <w:multiLevelType w:val="hybridMultilevel"/>
    <w:lvl w:ilvl="0">
      <w:lvlJc w:val="left"/>
      <w:lvlText w:val="(%1)"/>
      <w:numFmt w:val="lowerLetter"/>
      <w:start w:val="11"/>
    </w:lvl>
  </w:abstractNum>
  <w:abstractNum w:abstractNumId="17">
    <w:nsid w:val="836C40E"/>
    <w:multiLevelType w:val="hybridMultilevel"/>
    <w:lvl w:ilvl="0">
      <w:lvlJc w:val="left"/>
      <w:lvlText w:val="(%1)"/>
      <w:numFmt w:val="lowerLetter"/>
      <w:start w:val="1"/>
    </w:lvl>
  </w:abstractNum>
  <w:abstractNum w:abstractNumId="18">
    <w:nsid w:val="2901D82"/>
    <w:multiLevelType w:val="hybridMultilevel"/>
    <w:lvl w:ilvl="0">
      <w:lvlJc w:val="left"/>
      <w:lvlText w:val="(%1)"/>
      <w:numFmt w:val="lowerRoman"/>
      <w:start w:val="1"/>
    </w:lvl>
    <w:lvl w:ilvl="1">
      <w:lvlJc w:val="left"/>
      <w:lvlText w:val="(%2)"/>
      <w:numFmt w:val="decimal"/>
      <w:start w:val="3"/>
    </w:lvl>
  </w:abstractNum>
  <w:abstractNum w:abstractNumId="19">
    <w:nsid w:val="3A95F874"/>
    <w:multiLevelType w:val="hybridMultilevel"/>
    <w:lvl w:ilvl="0">
      <w:lvlJc w:val="left"/>
      <w:lvlText w:val="(%1)"/>
      <w:numFmt w:val="lowerLetter"/>
      <w:start w:val="4"/>
    </w:lvl>
  </w:abstractNum>
  <w:abstractNum w:abstractNumId="20">
    <w:nsid w:val="8138641"/>
    <w:multiLevelType w:val="hybridMultilevel"/>
    <w:lvl w:ilvl="0">
      <w:lvlJc w:val="left"/>
      <w:lvlText w:val="(%1)"/>
      <w:numFmt w:val="lowerLetter"/>
      <w:start w:val="1"/>
    </w:lvl>
    <w:lvl w:ilvl="1">
      <w:lvlJc w:val="left"/>
      <w:lvlText w:val="(%2)"/>
      <w:numFmt w:val="lowerRoman"/>
      <w:start w:val="1"/>
    </w:lvl>
  </w:abstractNum>
  <w:abstractNum w:abstractNumId="21">
    <w:nsid w:val="1E7FF521"/>
    <w:multiLevelType w:val="hybridMultilevel"/>
    <w:lvl w:ilvl="0">
      <w:lvlJc w:val="left"/>
      <w:lvlText w:val="(%1)"/>
      <w:numFmt w:val="lowerLetter"/>
      <w:start w:val="2"/>
    </w:lvl>
  </w:abstractNum>
  <w:abstractNum w:abstractNumId="22">
    <w:nsid w:val="7C3DBD3D"/>
    <w:multiLevelType w:val="hybridMultilevel"/>
    <w:lvl w:ilvl="0">
      <w:lvlJc w:val="left"/>
      <w:lvlText w:val="(%1)"/>
      <w:numFmt w:val="lowerLetter"/>
      <w:start w:val="1"/>
    </w:lvl>
  </w:abstractNum>
  <w:abstractNum w:abstractNumId="23">
    <w:nsid w:val="737B8DDC"/>
    <w:multiLevelType w:val="hybridMultilevel"/>
    <w:lvl w:ilvl="0">
      <w:lvlJc w:val="left"/>
      <w:lvlText w:val="(%1)"/>
      <w:numFmt w:val="lowerLetter"/>
      <w:start w:val="5"/>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lowerLetter"/>
      <w:start w:val="1"/>
    </w:lvl>
    <w:lvl w:ilvl="1">
      <w:lvlJc w:val="left"/>
      <w:lvlText w:val="(%2)"/>
      <w:numFmt w:val="lowerRoman"/>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2019-12-15T12:59:14Z</dcterms:created>
  <dcterms:modified xsi:type="dcterms:W3CDTF">2019-12-15T12:59:14Z</dcterms:modified>
</cp:coreProperties>
</file>