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82" w:lineRule="exact"/>
        <w:rPr>
          <w:sz w:val="24"/>
          <w:szCs w:val="24"/>
          <w:color w:val="auto"/>
        </w:rPr>
      </w:pPr>
    </w:p>
    <w:p>
      <w:pPr>
        <w:ind w:left="2320" w:right="1080" w:hanging="1144"/>
        <w:spacing w:after="0" w:line="282" w:lineRule="auto"/>
        <w:tabs>
          <w:tab w:leader="none" w:pos="23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2320" w:right="1080" w:hanging="1108"/>
        <w:spacing w:after="0" w:line="282" w:lineRule="auto"/>
        <w:tabs>
          <w:tab w:leader="none" w:pos="23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1-32630</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FIDELITY NATIONAL FINANCIAL, INC.</w:t>
      </w:r>
    </w:p>
    <w:p>
      <w:pPr>
        <w:spacing w:after="0" w:line="45" w:lineRule="exact"/>
        <w:rPr>
          <w:sz w:val="24"/>
          <w:szCs w:val="24"/>
          <w:color w:val="auto"/>
        </w:rPr>
      </w:pPr>
    </w:p>
    <w:p>
      <w:pPr>
        <w:ind w:left="16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______________________________________________________________________________________________________________________________________________________</w:t>
      </w: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7800" w:type="dxa"/>
            <w:vAlign w:val="bottom"/>
            <w:gridSpan w:val="3"/>
          </w:tcPr>
          <w:p>
            <w:pPr>
              <w:jc w:val="center"/>
              <w:ind w:right="2520"/>
              <w:spacing w:after="0"/>
              <w:rPr>
                <w:sz w:val="20"/>
                <w:szCs w:val="20"/>
                <w:color w:val="auto"/>
              </w:rPr>
            </w:pPr>
            <w:r>
              <w:rPr>
                <w:rFonts w:ascii="Arial" w:cs="Arial" w:eastAsia="Arial" w:hAnsi="Arial"/>
                <w:sz w:val="18"/>
                <w:szCs w:val="18"/>
                <w:color w:val="auto"/>
                <w:w w:val="89"/>
              </w:rPr>
              <w:t>Delaware</w:t>
            </w:r>
          </w:p>
        </w:tc>
        <w:tc>
          <w:tcPr>
            <w:tcW w:w="3620" w:type="dxa"/>
            <w:vAlign w:val="bottom"/>
          </w:tcPr>
          <w:p>
            <w:pPr>
              <w:jc w:val="right"/>
              <w:ind w:right="2090"/>
              <w:spacing w:after="0"/>
              <w:rPr>
                <w:sz w:val="20"/>
                <w:szCs w:val="20"/>
                <w:color w:val="auto"/>
              </w:rPr>
            </w:pPr>
            <w:r>
              <w:rPr>
                <w:rFonts w:ascii="Arial" w:cs="Arial" w:eastAsia="Arial" w:hAnsi="Arial"/>
                <w:sz w:val="18"/>
                <w:szCs w:val="18"/>
                <w:color w:val="auto"/>
              </w:rPr>
              <w:t>16-1725106</w:t>
            </w:r>
          </w:p>
        </w:tc>
      </w:tr>
      <w:tr>
        <w:trPr>
          <w:trHeight w:val="27"/>
        </w:trPr>
        <w:tc>
          <w:tcPr>
            <w:tcW w:w="5260" w:type="dxa"/>
            <w:vAlign w:val="bottom"/>
            <w:tcBorders>
              <w:bottom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r>
        <w:trPr>
          <w:trHeight w:val="222"/>
        </w:trPr>
        <w:tc>
          <w:tcPr>
            <w:tcW w:w="7800" w:type="dxa"/>
            <w:vAlign w:val="bottom"/>
            <w:gridSpan w:val="3"/>
          </w:tcPr>
          <w:p>
            <w:pPr>
              <w:jc w:val="center"/>
              <w:ind w:right="2520"/>
              <w:spacing w:after="0"/>
              <w:rPr>
                <w:sz w:val="20"/>
                <w:szCs w:val="20"/>
                <w:color w:val="auto"/>
              </w:rPr>
            </w:pPr>
            <w:r>
              <w:rPr>
                <w:rFonts w:ascii="Arial" w:cs="Arial" w:eastAsia="Arial" w:hAnsi="Arial"/>
                <w:sz w:val="18"/>
                <w:szCs w:val="18"/>
                <w:color w:val="auto"/>
                <w:w w:val="92"/>
              </w:rPr>
              <w:t>(State or other jurisdiction of</w:t>
            </w:r>
          </w:p>
        </w:tc>
        <w:tc>
          <w:tcPr>
            <w:tcW w:w="3620" w:type="dxa"/>
            <w:vAlign w:val="bottom"/>
          </w:tcPr>
          <w:p>
            <w:pPr>
              <w:jc w:val="center"/>
              <w:ind w:right="1530"/>
              <w:spacing w:after="0"/>
              <w:rPr>
                <w:sz w:val="20"/>
                <w:szCs w:val="20"/>
                <w:color w:val="auto"/>
              </w:rPr>
            </w:pPr>
            <w:r>
              <w:rPr>
                <w:rFonts w:ascii="Arial" w:cs="Arial" w:eastAsia="Arial" w:hAnsi="Arial"/>
                <w:sz w:val="18"/>
                <w:szCs w:val="18"/>
                <w:color w:val="auto"/>
                <w:w w:val="93"/>
              </w:rPr>
              <w:t>(I.R.S. Employer</w:t>
            </w:r>
          </w:p>
        </w:tc>
      </w:tr>
      <w:tr>
        <w:trPr>
          <w:trHeight w:val="230"/>
        </w:trPr>
        <w:tc>
          <w:tcPr>
            <w:tcW w:w="7800" w:type="dxa"/>
            <w:vAlign w:val="bottom"/>
            <w:gridSpan w:val="3"/>
          </w:tcPr>
          <w:p>
            <w:pPr>
              <w:jc w:val="center"/>
              <w:ind w:right="2520"/>
              <w:spacing w:after="0"/>
              <w:rPr>
                <w:sz w:val="20"/>
                <w:szCs w:val="20"/>
                <w:color w:val="auto"/>
              </w:rPr>
            </w:pPr>
            <w:r>
              <w:rPr>
                <w:rFonts w:ascii="Arial" w:cs="Arial" w:eastAsia="Arial" w:hAnsi="Arial"/>
                <w:sz w:val="18"/>
                <w:szCs w:val="18"/>
                <w:color w:val="auto"/>
                <w:w w:val="92"/>
              </w:rPr>
              <w:t>incorporation or organization)</w:t>
            </w:r>
          </w:p>
        </w:tc>
        <w:tc>
          <w:tcPr>
            <w:tcW w:w="3620" w:type="dxa"/>
            <w:vAlign w:val="bottom"/>
          </w:tcPr>
          <w:p>
            <w:pPr>
              <w:jc w:val="center"/>
              <w:ind w:right="1530"/>
              <w:spacing w:after="0"/>
              <w:rPr>
                <w:sz w:val="20"/>
                <w:szCs w:val="20"/>
                <w:color w:val="auto"/>
              </w:rPr>
            </w:pPr>
            <w:r>
              <w:rPr>
                <w:rFonts w:ascii="Arial" w:cs="Arial" w:eastAsia="Arial" w:hAnsi="Arial"/>
                <w:sz w:val="18"/>
                <w:szCs w:val="18"/>
                <w:color w:val="auto"/>
                <w:w w:val="95"/>
              </w:rPr>
              <w:t>Identification Number)</w:t>
            </w:r>
          </w:p>
        </w:tc>
      </w:tr>
      <w:tr>
        <w:trPr>
          <w:trHeight w:val="540"/>
        </w:trPr>
        <w:tc>
          <w:tcPr>
            <w:tcW w:w="7800" w:type="dxa"/>
            <w:vAlign w:val="bottom"/>
            <w:gridSpan w:val="3"/>
          </w:tcPr>
          <w:p>
            <w:pPr>
              <w:jc w:val="center"/>
              <w:ind w:right="2540"/>
              <w:spacing w:after="0"/>
              <w:rPr>
                <w:sz w:val="20"/>
                <w:szCs w:val="20"/>
                <w:color w:val="auto"/>
              </w:rPr>
            </w:pPr>
            <w:r>
              <w:rPr>
                <w:rFonts w:ascii="Arial" w:cs="Arial" w:eastAsia="Arial" w:hAnsi="Arial"/>
                <w:sz w:val="18"/>
                <w:szCs w:val="18"/>
                <w:color w:val="auto"/>
                <w:w w:val="91"/>
              </w:rPr>
              <w:t>601 Riverside Avenue, Jacksonville, Florida</w:t>
            </w:r>
          </w:p>
        </w:tc>
        <w:tc>
          <w:tcPr>
            <w:tcW w:w="3620" w:type="dxa"/>
            <w:vAlign w:val="bottom"/>
          </w:tcPr>
          <w:p>
            <w:pPr>
              <w:jc w:val="right"/>
              <w:ind w:right="2310"/>
              <w:spacing w:after="0"/>
              <w:rPr>
                <w:sz w:val="20"/>
                <w:szCs w:val="20"/>
                <w:color w:val="auto"/>
              </w:rPr>
            </w:pPr>
            <w:r>
              <w:rPr>
                <w:rFonts w:ascii="Arial" w:cs="Arial" w:eastAsia="Arial" w:hAnsi="Arial"/>
                <w:sz w:val="18"/>
                <w:szCs w:val="18"/>
                <w:color w:val="auto"/>
              </w:rPr>
              <w:t>32204</w:t>
            </w:r>
          </w:p>
        </w:tc>
      </w:tr>
      <w:tr>
        <w:trPr>
          <w:trHeight w:val="27"/>
        </w:trPr>
        <w:tc>
          <w:tcPr>
            <w:tcW w:w="5260" w:type="dxa"/>
            <w:vAlign w:val="bottom"/>
            <w:tcBorders>
              <w:bottom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r>
        <w:trPr>
          <w:trHeight w:val="237"/>
        </w:trPr>
        <w:tc>
          <w:tcPr>
            <w:tcW w:w="7800" w:type="dxa"/>
            <w:vAlign w:val="bottom"/>
            <w:gridSpan w:val="3"/>
          </w:tcPr>
          <w:p>
            <w:pPr>
              <w:jc w:val="center"/>
              <w:ind w:right="2540"/>
              <w:spacing w:after="0"/>
              <w:rPr>
                <w:sz w:val="20"/>
                <w:szCs w:val="20"/>
                <w:color w:val="auto"/>
              </w:rPr>
            </w:pPr>
            <w:r>
              <w:rPr>
                <w:rFonts w:ascii="Arial" w:cs="Arial" w:eastAsia="Arial" w:hAnsi="Arial"/>
                <w:sz w:val="18"/>
                <w:szCs w:val="18"/>
                <w:color w:val="auto"/>
                <w:w w:val="92"/>
              </w:rPr>
              <w:t>(Address of principal executive offices)</w:t>
            </w:r>
          </w:p>
        </w:tc>
        <w:tc>
          <w:tcPr>
            <w:tcW w:w="3620" w:type="dxa"/>
            <w:vAlign w:val="bottom"/>
          </w:tcPr>
          <w:p>
            <w:pPr>
              <w:jc w:val="center"/>
              <w:ind w:right="1530"/>
              <w:spacing w:after="0"/>
              <w:rPr>
                <w:sz w:val="20"/>
                <w:szCs w:val="20"/>
                <w:color w:val="auto"/>
              </w:rPr>
            </w:pPr>
            <w:r>
              <w:rPr>
                <w:rFonts w:ascii="Arial" w:cs="Arial" w:eastAsia="Arial" w:hAnsi="Arial"/>
                <w:sz w:val="18"/>
                <w:szCs w:val="18"/>
                <w:color w:val="auto"/>
                <w:w w:val="94"/>
              </w:rPr>
              <w:t>(Zip Code)</w:t>
            </w:r>
          </w:p>
        </w:tc>
      </w:tr>
      <w:tr>
        <w:trPr>
          <w:trHeight w:val="257"/>
        </w:trPr>
        <w:tc>
          <w:tcPr>
            <w:tcW w:w="7800" w:type="dxa"/>
            <w:vAlign w:val="bottom"/>
            <w:gridSpan w:val="3"/>
          </w:tcPr>
          <w:p>
            <w:pPr>
              <w:jc w:val="right"/>
              <w:ind w:right="1520"/>
              <w:spacing w:after="0"/>
              <w:rPr>
                <w:sz w:val="20"/>
                <w:szCs w:val="20"/>
                <w:color w:val="auto"/>
              </w:rPr>
            </w:pPr>
            <w:r>
              <w:rPr>
                <w:rFonts w:ascii="Arial" w:cs="Arial" w:eastAsia="Arial" w:hAnsi="Arial"/>
                <w:sz w:val="18"/>
                <w:szCs w:val="18"/>
                <w:color w:val="auto"/>
              </w:rPr>
              <w:t>(904) 854-8100</w:t>
            </w:r>
          </w:p>
        </w:tc>
        <w:tc>
          <w:tcPr>
            <w:tcW w:w="3620" w:type="dxa"/>
            <w:vAlign w:val="bottom"/>
          </w:tcPr>
          <w:p>
            <w:pPr>
              <w:spacing w:after="0"/>
              <w:rPr>
                <w:sz w:val="22"/>
                <w:szCs w:val="22"/>
                <w:color w:val="auto"/>
              </w:rPr>
            </w:pPr>
          </w:p>
        </w:tc>
      </w:tr>
      <w:tr>
        <w:trPr>
          <w:trHeight w:val="134"/>
        </w:trPr>
        <w:tc>
          <w:tcPr>
            <w:tcW w:w="7800" w:type="dxa"/>
            <w:vAlign w:val="bottom"/>
            <w:gridSpan w:val="3"/>
          </w:tcPr>
          <w:p>
            <w:pPr>
              <w:jc w:val="right"/>
              <w:ind w:right="280"/>
              <w:spacing w:after="0"/>
              <w:rPr>
                <w:sz w:val="20"/>
                <w:szCs w:val="20"/>
                <w:color w:val="auto"/>
              </w:rPr>
            </w:pPr>
            <w:r>
              <w:rPr>
                <w:rFonts w:ascii="Arial" w:cs="Arial" w:eastAsia="Arial" w:hAnsi="Arial"/>
                <w:sz w:val="11"/>
                <w:szCs w:val="11"/>
                <w:color w:val="auto"/>
              </w:rPr>
              <w:t>___________________________________________________________________</w:t>
            </w:r>
          </w:p>
        </w:tc>
        <w:tc>
          <w:tcPr>
            <w:tcW w:w="3620" w:type="dxa"/>
            <w:vAlign w:val="bottom"/>
          </w:tcPr>
          <w:p>
            <w:pPr>
              <w:spacing w:after="0"/>
              <w:rPr>
                <w:sz w:val="11"/>
                <w:szCs w:val="11"/>
                <w:color w:val="auto"/>
              </w:rPr>
            </w:pPr>
          </w:p>
        </w:tc>
      </w:tr>
      <w:tr>
        <w:trPr>
          <w:trHeight w:val="230"/>
        </w:trPr>
        <w:tc>
          <w:tcPr>
            <w:tcW w:w="7800" w:type="dxa"/>
            <w:vAlign w:val="bottom"/>
            <w:gridSpan w:val="3"/>
          </w:tcPr>
          <w:p>
            <w:pPr>
              <w:ind w:left="3800"/>
              <w:spacing w:after="0"/>
              <w:rPr>
                <w:sz w:val="20"/>
                <w:szCs w:val="20"/>
                <w:color w:val="auto"/>
              </w:rPr>
            </w:pPr>
            <w:r>
              <w:rPr>
                <w:rFonts w:ascii="Arial" w:cs="Arial" w:eastAsia="Arial" w:hAnsi="Arial"/>
                <w:sz w:val="18"/>
                <w:szCs w:val="18"/>
                <w:color w:val="auto"/>
                <w:w w:val="94"/>
              </w:rPr>
              <w:t>(Registrant’s telephone number, including area code)</w:t>
            </w:r>
          </w:p>
        </w:tc>
        <w:tc>
          <w:tcPr>
            <w:tcW w:w="3620" w:type="dxa"/>
            <w:vAlign w:val="bottom"/>
          </w:tcPr>
          <w:p>
            <w:pPr>
              <w:spacing w:after="0"/>
              <w:rPr>
                <w:sz w:val="20"/>
                <w:szCs w:val="20"/>
                <w:color w:val="auto"/>
              </w:rPr>
            </w:pPr>
          </w:p>
        </w:tc>
      </w:tr>
    </w:tbl>
    <w:p>
      <w:pPr>
        <w:spacing w:after="0" w:line="94" w:lineRule="exact"/>
        <w:rPr>
          <w:sz w:val="24"/>
          <w:szCs w:val="24"/>
          <w:color w:val="auto"/>
        </w:rPr>
      </w:pPr>
    </w:p>
    <w:p>
      <w:pPr>
        <w:jc w:val="both"/>
        <w:ind w:firstLine="324"/>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08" w:lineRule="exact"/>
        <w:rPr>
          <w:sz w:val="24"/>
          <w:szCs w:val="24"/>
          <w:color w:val="auto"/>
        </w:rPr>
      </w:pPr>
    </w:p>
    <w:p>
      <w:pPr>
        <w:jc w:val="both"/>
        <w:ind w:firstLine="324"/>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08" w:lineRule="exact"/>
        <w:rPr>
          <w:sz w:val="24"/>
          <w:szCs w:val="24"/>
          <w:color w:val="auto"/>
        </w:rPr>
      </w:pPr>
    </w:p>
    <w:p>
      <w:pPr>
        <w:jc w:val="both"/>
        <w:ind w:firstLine="324"/>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37" w:lineRule="exact"/>
        <w:rPr>
          <w:sz w:val="24"/>
          <w:szCs w:val="24"/>
          <w:color w:val="auto"/>
        </w:rPr>
      </w:pPr>
    </w:p>
    <w:p>
      <w:pPr>
        <w:ind w:left="40"/>
        <w:spacing w:after="0" w:line="207" w:lineRule="exact"/>
        <w:tabs>
          <w:tab w:leader="none" w:pos="3280" w:val="left"/>
          <w:tab w:leader="none" w:pos="5900" w:val="left"/>
          <w:tab w:leader="none" w:pos="92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96" w:lineRule="exact"/>
        <w:rPr>
          <w:sz w:val="24"/>
          <w:szCs w:val="24"/>
          <w:color w:val="auto"/>
        </w:rPr>
      </w:pPr>
    </w:p>
    <w:p>
      <w:pPr>
        <w:jc w:val="center"/>
        <w:ind w:left="2080"/>
        <w:spacing w:after="0"/>
        <w:rPr>
          <w:sz w:val="20"/>
          <w:szCs w:val="20"/>
          <w:color w:val="auto"/>
        </w:rPr>
      </w:pPr>
      <w:r>
        <w:rPr>
          <w:rFonts w:ascii="Arial" w:cs="Arial" w:eastAsia="Arial" w:hAnsi="Arial"/>
          <w:sz w:val="18"/>
          <w:szCs w:val="18"/>
          <w:color w:val="auto"/>
        </w:rPr>
        <w:t>(Do not check if a smaller</w:t>
      </w:r>
    </w:p>
    <w:p>
      <w:pPr>
        <w:spacing w:after="0" w:line="23" w:lineRule="exact"/>
        <w:rPr>
          <w:sz w:val="24"/>
          <w:szCs w:val="24"/>
          <w:color w:val="auto"/>
        </w:rPr>
      </w:pPr>
    </w:p>
    <w:p>
      <w:pPr>
        <w:jc w:val="center"/>
        <w:ind w:left="2080"/>
        <w:spacing w:after="0"/>
        <w:rPr>
          <w:sz w:val="20"/>
          <w:szCs w:val="20"/>
          <w:color w:val="auto"/>
        </w:rPr>
      </w:pPr>
      <w:r>
        <w:rPr>
          <w:rFonts w:ascii="Arial" w:cs="Arial" w:eastAsia="Arial" w:hAnsi="Arial"/>
          <w:sz w:val="18"/>
          <w:szCs w:val="18"/>
          <w:color w:val="auto"/>
        </w:rPr>
        <w:t>reporting company)</w:t>
      </w:r>
    </w:p>
    <w:p>
      <w:pPr>
        <w:spacing w:after="0" w:line="22"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ind w:left="5240"/>
        <w:spacing w:after="0"/>
        <w:rPr>
          <w:sz w:val="20"/>
          <w:szCs w:val="20"/>
          <w:color w:val="auto"/>
        </w:rPr>
      </w:pPr>
      <w:r>
        <w:rPr>
          <w:rFonts w:ascii="Arial" w:cs="Arial" w:eastAsia="Arial" w:hAnsi="Arial"/>
          <w:sz w:val="18"/>
          <w:szCs w:val="18"/>
          <w:color w:val="auto"/>
        </w:rPr>
        <w:t>YES o NO R</w:t>
      </w:r>
    </w:p>
    <w:p>
      <w:pPr>
        <w:spacing w:after="0" w:line="103"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number of shares outstanding of the Registrant's common stock as of July 31, 2014 were:</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20"/>
                <w:szCs w:val="20"/>
                <w:color w:val="auto"/>
              </w:rPr>
            </w:pPr>
            <w:r>
              <w:rPr>
                <w:rFonts w:ascii="Arial" w:cs="Arial" w:eastAsia="Arial" w:hAnsi="Arial"/>
                <w:sz w:val="18"/>
                <w:szCs w:val="18"/>
                <w:color w:val="auto"/>
                <w:w w:val="98"/>
              </w:rPr>
              <w:t>FNF Group Common Stock</w:t>
            </w:r>
          </w:p>
        </w:tc>
        <w:tc>
          <w:tcPr>
            <w:tcW w:w="9260" w:type="dxa"/>
            <w:vAlign w:val="bottom"/>
          </w:tcPr>
          <w:p>
            <w:pPr>
              <w:jc w:val="right"/>
              <w:ind w:right="8230"/>
              <w:spacing w:after="0"/>
              <w:rPr>
                <w:sz w:val="20"/>
                <w:szCs w:val="20"/>
                <w:color w:val="auto"/>
              </w:rPr>
            </w:pPr>
            <w:r>
              <w:rPr>
                <w:rFonts w:ascii="Arial" w:cs="Arial" w:eastAsia="Arial" w:hAnsi="Arial"/>
                <w:sz w:val="18"/>
                <w:szCs w:val="18"/>
                <w:color w:val="auto"/>
                <w:w w:val="91"/>
              </w:rPr>
              <w:t>277,474,875</w:t>
            </w: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w w:val="92"/>
              </w:rPr>
              <w:t>FNFV Group Common Stock</w:t>
            </w:r>
          </w:p>
        </w:tc>
        <w:tc>
          <w:tcPr>
            <w:tcW w:w="9260" w:type="dxa"/>
            <w:vAlign w:val="bottom"/>
          </w:tcPr>
          <w:p>
            <w:pPr>
              <w:jc w:val="right"/>
              <w:ind w:right="8150"/>
              <w:spacing w:after="0"/>
              <w:rPr>
                <w:sz w:val="20"/>
                <w:szCs w:val="20"/>
                <w:color w:val="auto"/>
              </w:rPr>
            </w:pPr>
            <w:r>
              <w:rPr>
                <w:rFonts w:ascii="Arial" w:cs="Arial" w:eastAsia="Arial" w:hAnsi="Arial"/>
                <w:sz w:val="18"/>
                <w:szCs w:val="18"/>
                <w:color w:val="auto"/>
              </w:rPr>
              <w:t>91,711,237</w:t>
            </w:r>
          </w:p>
        </w:tc>
      </w:tr>
      <w:tr>
        <w:trPr>
          <w:trHeight w:val="372"/>
        </w:trPr>
        <w:tc>
          <w:tcPr>
            <w:tcW w:w="2160" w:type="dxa"/>
            <w:vAlign w:val="bottom"/>
            <w:tcBorders>
              <w:bottom w:val="single" w:sz="8" w:color="auto"/>
            </w:tcBorders>
          </w:tcPr>
          <w:p>
            <w:pPr>
              <w:spacing w:after="0"/>
              <w:rPr>
                <w:sz w:val="24"/>
                <w:szCs w:val="24"/>
                <w:color w:val="auto"/>
              </w:rPr>
            </w:pPr>
          </w:p>
        </w:tc>
        <w:tc>
          <w:tcPr>
            <w:tcW w:w="9260" w:type="dxa"/>
            <w:vAlign w:val="bottom"/>
            <w:tcBorders>
              <w:bottom w:val="single" w:sz="8" w:color="auto"/>
            </w:tcBorders>
          </w:tcPr>
          <w:p>
            <w:pPr>
              <w:spacing w:after="0"/>
              <w:rPr>
                <w:sz w:val="24"/>
                <w:szCs w:val="24"/>
                <w:color w:val="auto"/>
              </w:rPr>
            </w:pPr>
          </w:p>
        </w:tc>
      </w:tr>
      <w:tr>
        <w:trPr>
          <w:trHeight w:val="122"/>
        </w:trPr>
        <w:tc>
          <w:tcPr>
            <w:tcW w:w="2160" w:type="dxa"/>
            <w:vAlign w:val="bottom"/>
            <w:tcBorders>
              <w:bottom w:val="single" w:sz="8" w:color="auto"/>
            </w:tcBorders>
          </w:tcPr>
          <w:p>
            <w:pPr>
              <w:spacing w:after="0"/>
              <w:rPr>
                <w:sz w:val="10"/>
                <w:szCs w:val="10"/>
                <w:color w:val="auto"/>
              </w:rPr>
            </w:pPr>
          </w:p>
        </w:tc>
        <w:tc>
          <w:tcPr>
            <w:tcW w:w="926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229" w:right="2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QUARTERLY REPORT</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 Ended June 30, 2014</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Page</w:t>
            </w:r>
          </w:p>
        </w:tc>
      </w:tr>
      <w:tr>
        <w:trPr>
          <w:trHeight w:val="203"/>
        </w:trPr>
        <w:tc>
          <w:tcPr>
            <w:tcW w:w="2740" w:type="dxa"/>
            <w:vAlign w:val="bottom"/>
            <w:tcBorders>
              <w:bottom w:val="single" w:sz="8" w:color="0000FF"/>
            </w:tcBorders>
            <w:gridSpan w:val="9"/>
          </w:tcPr>
          <w:p>
            <w:pPr>
              <w:spacing w:after="0" w:line="202" w:lineRule="exact"/>
              <w:rPr>
                <w:rFonts w:ascii="Arial" w:cs="Arial" w:eastAsia="Arial" w:hAnsi="Arial"/>
                <w:sz w:val="18"/>
                <w:szCs w:val="18"/>
                <w:color w:val="0000FF"/>
                <w:w w:val="97"/>
              </w:rPr>
            </w:pPr>
            <w:hyperlink w:anchor="page2">
              <w:r>
                <w:rPr>
                  <w:rFonts w:ascii="Arial" w:cs="Arial" w:eastAsia="Arial" w:hAnsi="Arial"/>
                  <w:sz w:val="18"/>
                  <w:szCs w:val="18"/>
                  <w:color w:val="0000FF"/>
                  <w:w w:val="97"/>
                </w:rPr>
                <w:t>Part I: FINANCIAL INFORMATION</w:t>
              </w:r>
            </w:hyperlink>
          </w:p>
        </w:tc>
        <w:tc>
          <w:tcPr>
            <w:tcW w:w="7500" w:type="dxa"/>
            <w:vAlign w:val="bottom"/>
            <w:gridSpan w:val="12"/>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720" w:type="dxa"/>
            <w:vAlign w:val="bottom"/>
            <w:gridSpan w:val="19"/>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 Condensed Consolidated Financial Statements</w:t>
              </w:r>
            </w:hyperlink>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72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A. Condensed Consolidated Balance Sheets as of June 30, 2014 and December 31, 2013</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r>
      <w:tr>
        <w:trPr>
          <w:trHeight w:val="20"/>
        </w:trPr>
        <w:tc>
          <w:tcPr>
            <w:tcW w:w="24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720" w:type="dxa"/>
            <w:vAlign w:val="bottom"/>
            <w:gridSpan w:val="19"/>
          </w:tcPr>
          <w:p>
            <w:pPr>
              <w:spacing w:after="0"/>
              <w:rPr>
                <w:rFonts w:ascii="Arial" w:cs="Arial" w:eastAsia="Arial" w:hAnsi="Arial"/>
                <w:sz w:val="18"/>
                <w:szCs w:val="18"/>
                <w:color w:val="0000EE"/>
                <w:w w:val="95"/>
              </w:rPr>
            </w:pPr>
            <w:hyperlink w:anchor="page4">
              <w:r>
                <w:rPr>
                  <w:rFonts w:ascii="Arial" w:cs="Arial" w:eastAsia="Arial" w:hAnsi="Arial"/>
                  <w:sz w:val="18"/>
                  <w:szCs w:val="18"/>
                  <w:color w:val="0000EE"/>
                  <w:w w:val="95"/>
                </w:rPr>
                <w:t>B. Condensed Consolidated Statements of Earnings for the three-month and six-month periods ended June 30, 2014 and 2013</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2</w:t>
              </w:r>
            </w:hyperlink>
          </w:p>
        </w:tc>
      </w:tr>
      <w:tr>
        <w:trPr>
          <w:trHeight w:val="20"/>
        </w:trPr>
        <w:tc>
          <w:tcPr>
            <w:tcW w:w="24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720" w:type="dxa"/>
            <w:vAlign w:val="bottom"/>
            <w:gridSpan w:val="19"/>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C. Condensed Consolidated Statements of Comprehensive Earnings for the three-month and six-month periods ended June 30, 2014</w:t>
              </w:r>
            </w:hyperlink>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5"/>
              </w:rPr>
            </w:pPr>
            <w:hyperlink w:anchor="page4">
              <w:r>
                <w:rPr>
                  <w:rFonts w:ascii="Arial" w:cs="Arial" w:eastAsia="Arial" w:hAnsi="Arial"/>
                  <w:sz w:val="18"/>
                  <w:szCs w:val="18"/>
                  <w:color w:val="0000EE"/>
                  <w:w w:val="85"/>
                </w:rPr>
                <w:t>and 2013</w:t>
              </w:r>
            </w:hyperlink>
          </w:p>
        </w:tc>
        <w:tc>
          <w:tcPr>
            <w:tcW w:w="8840" w:type="dxa"/>
            <w:vAlign w:val="bottom"/>
            <w:tcBorders>
              <w:top w:val="single" w:sz="8" w:color="0000EE"/>
            </w:tcBorders>
            <w:gridSpan w:val="16"/>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196" w:lineRule="exact"/>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c>
          <w:tcPr>
            <w:tcW w:w="20" w:type="dxa"/>
            <w:vAlign w:val="bottom"/>
          </w:tcPr>
          <w:p>
            <w:pPr>
              <w:spacing w:after="0"/>
              <w:rPr>
                <w:sz w:val="17"/>
                <w:szCs w:val="17"/>
                <w:color w:val="auto"/>
              </w:rPr>
            </w:pPr>
          </w:p>
        </w:tc>
      </w:tr>
      <w:tr>
        <w:trPr>
          <w:trHeight w:val="250"/>
        </w:trPr>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2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D. Condensed Consolidated Statement of Equity for the six-month period ended June 30, 2014</w:t>
              </w:r>
            </w:hyperlink>
          </w:p>
        </w:tc>
        <w:tc>
          <w:tcPr>
            <w:tcW w:w="2900" w:type="dxa"/>
            <w:vAlign w:val="bottom"/>
            <w:gridSpan w:val="5"/>
          </w:tcPr>
          <w:p>
            <w:pPr>
              <w:spacing w:after="0"/>
              <w:rPr>
                <w:sz w:val="21"/>
                <w:szCs w:val="21"/>
                <w:color w:val="auto"/>
              </w:rPr>
            </w:pPr>
          </w:p>
        </w:tc>
        <w:tc>
          <w:tcPr>
            <w:tcW w:w="102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4</w:t>
              </w:r>
            </w:hyperlink>
          </w:p>
        </w:tc>
        <w:tc>
          <w:tcPr>
            <w:tcW w:w="20" w:type="dxa"/>
            <w:vAlign w:val="bottom"/>
          </w:tcPr>
          <w:p>
            <w:pPr>
              <w:spacing w:after="0"/>
              <w:rPr>
                <w:sz w:val="21"/>
                <w:szCs w:val="21"/>
                <w:color w:val="auto"/>
              </w:rPr>
            </w:pPr>
          </w:p>
        </w:tc>
      </w:tr>
      <w:tr>
        <w:trPr>
          <w:trHeight w:val="250"/>
        </w:trPr>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720" w:type="dxa"/>
            <w:vAlign w:val="bottom"/>
            <w:gridSpan w:val="1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E. Condensed Consolidated Statements of Cash Flows for the six-month periods ended June 30, 2014 and 2013</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5</w:t>
              </w:r>
            </w:hyperlink>
          </w:p>
        </w:tc>
      </w:tr>
      <w:tr>
        <w:trPr>
          <w:trHeight w:val="250"/>
        </w:trPr>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16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8"/>
              </w:rPr>
            </w:pPr>
            <w:hyperlink w:anchor="page9">
              <w:r>
                <w:rPr>
                  <w:rFonts w:ascii="Arial" w:cs="Arial" w:eastAsia="Arial" w:hAnsi="Arial"/>
                  <w:sz w:val="18"/>
                  <w:szCs w:val="18"/>
                  <w:color w:val="0000EE"/>
                  <w:w w:val="88"/>
                </w:rPr>
                <w:t>F. Notes to Condensed Consolidated Financial Statements</w:t>
              </w:r>
            </w:hyperlink>
          </w:p>
        </w:tc>
        <w:tc>
          <w:tcPr>
            <w:tcW w:w="3840" w:type="dxa"/>
            <w:vAlign w:val="bottom"/>
            <w:tcBorders>
              <w:top w:val="single" w:sz="8" w:color="0000EE"/>
            </w:tcBorders>
            <w:gridSpan w:val="6"/>
          </w:tcPr>
          <w:p>
            <w:pPr>
              <w:spacing w:after="0"/>
              <w:rPr>
                <w:sz w:val="21"/>
                <w:szCs w:val="21"/>
                <w:color w:val="auto"/>
              </w:rPr>
            </w:pPr>
          </w:p>
        </w:tc>
        <w:tc>
          <w:tcPr>
            <w:tcW w:w="1720" w:type="dxa"/>
            <w:vAlign w:val="bottom"/>
            <w:gridSpan w:val="3"/>
          </w:tcPr>
          <w:p>
            <w:pPr>
              <w:spacing w:after="0"/>
              <w:rPr>
                <w:sz w:val="21"/>
                <w:szCs w:val="21"/>
                <w:color w:val="auto"/>
              </w:rPr>
            </w:pPr>
          </w:p>
        </w:tc>
        <w:tc>
          <w:tcPr>
            <w:tcW w:w="1020" w:type="dxa"/>
            <w:vAlign w:val="bottom"/>
            <w:gridSpan w:val="2"/>
          </w:tcPr>
          <w:p>
            <w:pPr>
              <w:spacing w:after="0"/>
              <w:rPr>
                <w:sz w:val="21"/>
                <w:szCs w:val="21"/>
                <w:color w:val="auto"/>
              </w:rPr>
            </w:pPr>
          </w:p>
        </w:tc>
        <w:tc>
          <w:tcPr>
            <w:tcW w:w="10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6</w:t>
              </w:r>
            </w:hyperlink>
          </w:p>
        </w:tc>
        <w:tc>
          <w:tcPr>
            <w:tcW w:w="20" w:type="dxa"/>
            <w:vAlign w:val="bottom"/>
          </w:tcPr>
          <w:p>
            <w:pPr>
              <w:spacing w:after="0"/>
              <w:rPr>
                <w:sz w:val="21"/>
                <w:szCs w:val="21"/>
                <w:color w:val="auto"/>
              </w:rPr>
            </w:pPr>
          </w:p>
        </w:tc>
      </w:tr>
      <w:tr>
        <w:trPr>
          <w:trHeight w:val="250"/>
        </w:trPr>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720" w:type="dxa"/>
            <w:vAlign w:val="bottom"/>
            <w:gridSpan w:val="19"/>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Item 2. Management’s Discussion and Analysis of Financial Condition and Results of Operations</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36">
              <w:r>
                <w:rPr>
                  <w:rFonts w:ascii="Arial" w:cs="Arial" w:eastAsia="Arial" w:hAnsi="Arial"/>
                  <w:sz w:val="18"/>
                  <w:szCs w:val="18"/>
                  <w:color w:val="0000FF"/>
                </w:rPr>
                <w:t>34</w:t>
              </w:r>
            </w:hyperlink>
          </w:p>
        </w:tc>
      </w:tr>
      <w:tr>
        <w:trPr>
          <w:trHeight w:val="20"/>
        </w:trPr>
        <w:tc>
          <w:tcPr>
            <w:tcW w:w="2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40" w:type="dxa"/>
            <w:vAlign w:val="bottom"/>
            <w:gridSpan w:val="11"/>
          </w:tcPr>
          <w:p>
            <w:pPr>
              <w:spacing w:after="0"/>
              <w:rPr>
                <w:rFonts w:ascii="Arial" w:cs="Arial" w:eastAsia="Arial" w:hAnsi="Arial"/>
                <w:sz w:val="18"/>
                <w:szCs w:val="18"/>
                <w:color w:val="0000FF"/>
                <w:w w:val="92"/>
              </w:rPr>
            </w:pPr>
            <w:hyperlink w:anchor="page51">
              <w:r>
                <w:rPr>
                  <w:rFonts w:ascii="Arial" w:cs="Arial" w:eastAsia="Arial" w:hAnsi="Arial"/>
                  <w:sz w:val="18"/>
                  <w:szCs w:val="18"/>
                  <w:color w:val="0000FF"/>
                  <w:w w:val="92"/>
                </w:rPr>
                <w:t>Item 3. Quantitative and Qualitative Disclosure About Market Risk</w:t>
              </w:r>
            </w:hyperlink>
          </w:p>
        </w:tc>
        <w:tc>
          <w:tcPr>
            <w:tcW w:w="2160" w:type="dxa"/>
            <w:vAlign w:val="bottom"/>
            <w:gridSpan w:val="4"/>
          </w:tcPr>
          <w:p>
            <w:pPr>
              <w:spacing w:after="0"/>
              <w:rPr>
                <w:sz w:val="21"/>
                <w:szCs w:val="21"/>
                <w:color w:val="auto"/>
              </w:rPr>
            </w:pPr>
          </w:p>
        </w:tc>
        <w:tc>
          <w:tcPr>
            <w:tcW w:w="2720" w:type="dxa"/>
            <w:vAlign w:val="bottom"/>
            <w:gridSpan w:val="4"/>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51">
              <w:r>
                <w:rPr>
                  <w:rFonts w:ascii="Arial" w:cs="Arial" w:eastAsia="Arial" w:hAnsi="Arial"/>
                  <w:sz w:val="18"/>
                  <w:szCs w:val="18"/>
                  <w:color w:val="0000FF"/>
                </w:rPr>
                <w:t>47</w:t>
              </w:r>
            </w:hyperlink>
          </w:p>
        </w:tc>
      </w:tr>
      <w:tr>
        <w:trPr>
          <w:trHeight w:val="20"/>
        </w:trPr>
        <w:tc>
          <w:tcPr>
            <w:tcW w:w="2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2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FF"/>
                <w:w w:val="90"/>
              </w:rPr>
            </w:pPr>
            <w:hyperlink w:anchor="page51">
              <w:r>
                <w:rPr>
                  <w:rFonts w:ascii="Arial" w:cs="Arial" w:eastAsia="Arial" w:hAnsi="Arial"/>
                  <w:sz w:val="18"/>
                  <w:szCs w:val="18"/>
                  <w:color w:val="0000FF"/>
                  <w:w w:val="90"/>
                </w:rPr>
                <w:t>Item 4.</w:t>
              </w:r>
            </w:hyperlink>
          </w:p>
        </w:tc>
        <w:tc>
          <w:tcPr>
            <w:tcW w:w="4320" w:type="dxa"/>
            <w:vAlign w:val="bottom"/>
            <w:gridSpan w:val="10"/>
          </w:tcPr>
          <w:p>
            <w:pPr>
              <w:ind w:left="20"/>
              <w:spacing w:after="0"/>
              <w:rPr>
                <w:rFonts w:ascii="Arial" w:cs="Arial" w:eastAsia="Arial" w:hAnsi="Arial"/>
                <w:sz w:val="18"/>
                <w:szCs w:val="18"/>
                <w:color w:val="0000FF"/>
              </w:rPr>
            </w:pPr>
            <w:hyperlink w:anchor="page51">
              <w:r>
                <w:rPr>
                  <w:rFonts w:ascii="Arial" w:cs="Arial" w:eastAsia="Arial" w:hAnsi="Arial"/>
                  <w:sz w:val="18"/>
                  <w:szCs w:val="18"/>
                  <w:color w:val="0000FF"/>
                </w:rPr>
                <w:t>Controls and Procedures</w:t>
              </w:r>
            </w:hyperlink>
          </w:p>
        </w:tc>
        <w:tc>
          <w:tcPr>
            <w:tcW w:w="4880" w:type="dxa"/>
            <w:vAlign w:val="bottom"/>
            <w:gridSpan w:val="8"/>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51">
              <w:r>
                <w:rPr>
                  <w:rFonts w:ascii="Arial" w:cs="Arial" w:eastAsia="Arial" w:hAnsi="Arial"/>
                  <w:sz w:val="18"/>
                  <w:szCs w:val="18"/>
                  <w:color w:val="0000FF"/>
                </w:rPr>
                <w:t>47</w:t>
              </w:r>
            </w:hyperlink>
          </w:p>
        </w:tc>
      </w:tr>
      <w:tr>
        <w:trPr>
          <w:trHeight w:val="20"/>
        </w:trPr>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482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240" w:type="dxa"/>
            <w:vAlign w:val="bottom"/>
            <w:gridSpan w:val="21"/>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Part II: OTHER INFORMATION</w:t>
              </w:r>
            </w:hyperlink>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24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520" w:type="dxa"/>
            <w:vAlign w:val="bottom"/>
            <w:tcBorders>
              <w:top w:val="single" w:sz="8" w:color="0000FF"/>
            </w:tcBorders>
          </w:tcPr>
          <w:p>
            <w:pPr>
              <w:spacing w:after="0"/>
              <w:rPr>
                <w:rFonts w:ascii="Arial" w:cs="Arial" w:eastAsia="Arial" w:hAnsi="Arial"/>
                <w:sz w:val="18"/>
                <w:szCs w:val="18"/>
                <w:color w:val="0000FF"/>
                <w:w w:val="90"/>
              </w:rPr>
            </w:pPr>
            <w:hyperlink w:anchor="page52">
              <w:r>
                <w:rPr>
                  <w:rFonts w:ascii="Arial" w:cs="Arial" w:eastAsia="Arial" w:hAnsi="Arial"/>
                  <w:sz w:val="18"/>
                  <w:szCs w:val="18"/>
                  <w:color w:val="0000FF"/>
                  <w:w w:val="90"/>
                </w:rPr>
                <w:t>Item 1.</w:t>
              </w:r>
            </w:hyperlink>
          </w:p>
        </w:tc>
        <w:tc>
          <w:tcPr>
            <w:tcW w:w="1360" w:type="dxa"/>
            <w:vAlign w:val="bottom"/>
            <w:tcBorders>
              <w:top w:val="single" w:sz="8" w:color="0000FF"/>
            </w:tcBorders>
            <w:gridSpan w:val="4"/>
          </w:tcPr>
          <w:p>
            <w:pPr>
              <w:ind w:left="20"/>
              <w:spacing w:after="0"/>
              <w:rPr>
                <w:rFonts w:ascii="Arial" w:cs="Arial" w:eastAsia="Arial" w:hAnsi="Arial"/>
                <w:sz w:val="18"/>
                <w:szCs w:val="18"/>
                <w:color w:val="0000FF"/>
                <w:w w:val="88"/>
              </w:rPr>
            </w:pPr>
            <w:hyperlink w:anchor="page52">
              <w:r>
                <w:rPr>
                  <w:rFonts w:ascii="Arial" w:cs="Arial" w:eastAsia="Arial" w:hAnsi="Arial"/>
                  <w:sz w:val="18"/>
                  <w:szCs w:val="18"/>
                  <w:color w:val="0000FF"/>
                  <w:w w:val="88"/>
                </w:rPr>
                <w:t>Legal Proceedings</w:t>
              </w:r>
            </w:hyperlink>
          </w:p>
        </w:tc>
        <w:tc>
          <w:tcPr>
            <w:tcW w:w="20" w:type="dxa"/>
            <w:vAlign w:val="bottom"/>
            <w:tcBorders>
              <w:top w:val="single" w:sz="8" w:color="0000FF"/>
            </w:tcBorders>
          </w:tcPr>
          <w:p>
            <w:pPr>
              <w:spacing w:after="0"/>
              <w:rPr>
                <w:sz w:val="21"/>
                <w:szCs w:val="21"/>
                <w:color w:val="auto"/>
              </w:rPr>
            </w:pPr>
          </w:p>
        </w:tc>
        <w:tc>
          <w:tcPr>
            <w:tcW w:w="7820" w:type="dxa"/>
            <w:vAlign w:val="bottom"/>
            <w:gridSpan w:val="13"/>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52">
              <w:r>
                <w:rPr>
                  <w:rFonts w:ascii="Arial" w:cs="Arial" w:eastAsia="Arial" w:hAnsi="Arial"/>
                  <w:sz w:val="18"/>
                  <w:szCs w:val="18"/>
                  <w:color w:val="0000FF"/>
                </w:rPr>
                <w:t>48</w:t>
              </w:r>
            </w:hyperlink>
          </w:p>
        </w:tc>
      </w:tr>
      <w:tr>
        <w:trPr>
          <w:trHeight w:val="20"/>
        </w:trPr>
        <w:tc>
          <w:tcPr>
            <w:tcW w:w="2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020" w:type="dxa"/>
            <w:vAlign w:val="bottom"/>
            <w:gridSpan w:val="7"/>
          </w:tcPr>
          <w:p>
            <w:pPr>
              <w:spacing w:after="0" w:line="20" w:lineRule="exact"/>
              <w:rPr>
                <w:sz w:val="1"/>
                <w:szCs w:val="1"/>
                <w:color w:val="auto"/>
              </w:rPr>
            </w:pPr>
          </w:p>
        </w:tc>
        <w:tc>
          <w:tcPr>
            <w:tcW w:w="482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1540" w:type="dxa"/>
            <w:vAlign w:val="bottom"/>
            <w:gridSpan w:val="5"/>
          </w:tcPr>
          <w:p>
            <w:pPr>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Item 1a. Risk Factors</w:t>
              </w:r>
            </w:hyperlink>
          </w:p>
        </w:tc>
        <w:tc>
          <w:tcPr>
            <w:tcW w:w="8460" w:type="dxa"/>
            <w:vAlign w:val="bottom"/>
            <w:gridSpan w:val="15"/>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52">
              <w:r>
                <w:rPr>
                  <w:rFonts w:ascii="Arial" w:cs="Arial" w:eastAsia="Arial" w:hAnsi="Arial"/>
                  <w:sz w:val="18"/>
                  <w:szCs w:val="18"/>
                  <w:color w:val="0000EE"/>
                </w:rPr>
                <w:t>48</w:t>
              </w:r>
            </w:hyperlink>
          </w:p>
        </w:tc>
      </w:tr>
      <w:tr>
        <w:trPr>
          <w:trHeight w:val="20"/>
        </w:trPr>
        <w:tc>
          <w:tcPr>
            <w:tcW w:w="240" w:type="dxa"/>
            <w:vAlign w:val="bottom"/>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40" w:type="dxa"/>
            <w:vAlign w:val="bottom"/>
            <w:gridSpan w:val="8"/>
          </w:tcPr>
          <w:p>
            <w:pPr>
              <w:spacing w:after="0" w:line="20" w:lineRule="exact"/>
              <w:rPr>
                <w:sz w:val="1"/>
                <w:szCs w:val="1"/>
                <w:color w:val="auto"/>
              </w:rPr>
            </w:pPr>
          </w:p>
        </w:tc>
        <w:tc>
          <w:tcPr>
            <w:tcW w:w="482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FF"/>
                <w:w w:val="90"/>
              </w:rPr>
            </w:pPr>
            <w:hyperlink w:anchor="page56">
              <w:r>
                <w:rPr>
                  <w:rFonts w:ascii="Arial" w:cs="Arial" w:eastAsia="Arial" w:hAnsi="Arial"/>
                  <w:sz w:val="18"/>
                  <w:szCs w:val="18"/>
                  <w:color w:val="0000FF"/>
                  <w:w w:val="90"/>
                </w:rPr>
                <w:t>Item 2.</w:t>
              </w:r>
            </w:hyperlink>
          </w:p>
        </w:tc>
        <w:tc>
          <w:tcPr>
            <w:tcW w:w="4380" w:type="dxa"/>
            <w:vAlign w:val="bottom"/>
            <w:gridSpan w:val="11"/>
          </w:tcPr>
          <w:p>
            <w:pPr>
              <w:ind w:left="20"/>
              <w:spacing w:after="0"/>
              <w:rPr>
                <w:rFonts w:ascii="Arial" w:cs="Arial" w:eastAsia="Arial" w:hAnsi="Arial"/>
                <w:sz w:val="18"/>
                <w:szCs w:val="18"/>
                <w:color w:val="0000FF"/>
                <w:w w:val="89"/>
              </w:rPr>
            </w:pPr>
            <w:hyperlink w:anchor="page56">
              <w:r>
                <w:rPr>
                  <w:rFonts w:ascii="Arial" w:cs="Arial" w:eastAsia="Arial" w:hAnsi="Arial"/>
                  <w:sz w:val="18"/>
                  <w:szCs w:val="18"/>
                  <w:color w:val="0000FF"/>
                  <w:w w:val="89"/>
                </w:rPr>
                <w:t>Unregistered Sales of Equity Securities and Use of Proceeds</w:t>
              </w:r>
            </w:hyperlink>
          </w:p>
        </w:tc>
        <w:tc>
          <w:tcPr>
            <w:tcW w:w="4820" w:type="dxa"/>
            <w:vAlign w:val="bottom"/>
            <w:gridSpan w:val="7"/>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56">
              <w:r>
                <w:rPr>
                  <w:rFonts w:ascii="Arial" w:cs="Arial" w:eastAsia="Arial" w:hAnsi="Arial"/>
                  <w:sz w:val="18"/>
                  <w:szCs w:val="18"/>
                  <w:color w:val="0000FF"/>
                </w:rPr>
                <w:t>51</w:t>
              </w:r>
            </w:hyperlink>
          </w:p>
        </w:tc>
      </w:tr>
      <w:tr>
        <w:trPr>
          <w:trHeight w:val="20"/>
        </w:trPr>
        <w:tc>
          <w:tcPr>
            <w:tcW w:w="2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760" w:type="dxa"/>
            <w:vAlign w:val="bottom"/>
            <w:gridSpan w:val="9"/>
            <w:shd w:val="clear" w:color="auto" w:fill="0000FF"/>
          </w:tcPr>
          <w:p>
            <w:pPr>
              <w:spacing w:after="0" w:line="20" w:lineRule="exact"/>
              <w:rPr>
                <w:sz w:val="1"/>
                <w:szCs w:val="1"/>
                <w:color w:val="auto"/>
              </w:rPr>
            </w:pPr>
          </w:p>
        </w:tc>
        <w:tc>
          <w:tcPr>
            <w:tcW w:w="482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FF"/>
                <w:w w:val="90"/>
              </w:rPr>
            </w:pPr>
            <w:hyperlink w:anchor="page56">
              <w:r>
                <w:rPr>
                  <w:rFonts w:ascii="Arial" w:cs="Arial" w:eastAsia="Arial" w:hAnsi="Arial"/>
                  <w:sz w:val="18"/>
                  <w:szCs w:val="18"/>
                  <w:color w:val="0000FF"/>
                  <w:w w:val="90"/>
                </w:rPr>
                <w:t>Item 6.</w:t>
              </w:r>
            </w:hyperlink>
          </w:p>
        </w:tc>
        <w:tc>
          <w:tcPr>
            <w:tcW w:w="4380" w:type="dxa"/>
            <w:vAlign w:val="bottom"/>
            <w:gridSpan w:val="11"/>
          </w:tcPr>
          <w:p>
            <w:pPr>
              <w:ind w:left="20"/>
              <w:spacing w:after="0"/>
              <w:rPr>
                <w:rFonts w:ascii="Arial" w:cs="Arial" w:eastAsia="Arial" w:hAnsi="Arial"/>
                <w:sz w:val="18"/>
                <w:szCs w:val="18"/>
                <w:color w:val="0000FF"/>
              </w:rPr>
            </w:pPr>
            <w:hyperlink w:anchor="page56">
              <w:r>
                <w:rPr>
                  <w:rFonts w:ascii="Arial" w:cs="Arial" w:eastAsia="Arial" w:hAnsi="Arial"/>
                  <w:sz w:val="18"/>
                  <w:szCs w:val="18"/>
                  <w:color w:val="0000FF"/>
                </w:rPr>
                <w:t>Exhibits</w:t>
              </w:r>
            </w:hyperlink>
          </w:p>
        </w:tc>
        <w:tc>
          <w:tcPr>
            <w:tcW w:w="4820" w:type="dxa"/>
            <w:vAlign w:val="bottom"/>
            <w:gridSpan w:val="7"/>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56">
              <w:r>
                <w:rPr>
                  <w:rFonts w:ascii="Arial" w:cs="Arial" w:eastAsia="Arial" w:hAnsi="Arial"/>
                  <w:sz w:val="18"/>
                  <w:szCs w:val="18"/>
                  <w:color w:val="0000FF"/>
                </w:rPr>
                <w:t>52</w:t>
              </w:r>
            </w:hyperlink>
          </w:p>
        </w:tc>
      </w:tr>
      <w:tr>
        <w:trPr>
          <w:trHeight w:val="20"/>
        </w:trPr>
        <w:tc>
          <w:tcPr>
            <w:tcW w:w="2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80"/>
          </w:cols>
          <w:pgMar w:left="280" w:top="364"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8100" w:type="dxa"/>
            <w:vAlign w:val="bottom"/>
          </w:tcPr>
          <w:p>
            <w:pPr>
              <w:ind w:left="60"/>
              <w:spacing w:after="0"/>
              <w:rPr>
                <w:sz w:val="20"/>
                <w:szCs w:val="20"/>
                <w:color w:val="auto"/>
              </w:rPr>
            </w:pPr>
            <w:r>
              <w:rPr>
                <w:rFonts w:ascii="Arial" w:cs="Arial" w:eastAsia="Arial" w:hAnsi="Arial"/>
                <w:sz w:val="18"/>
                <w:szCs w:val="18"/>
                <w:b w:val="1"/>
                <w:bCs w:val="1"/>
                <w:color w:val="auto"/>
              </w:rPr>
              <w:t>Condensed Consolidated Financial Statements</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920" w:type="dxa"/>
            <w:vAlign w:val="bottom"/>
          </w:tcPr>
          <w:p>
            <w:pPr>
              <w:spacing w:after="0"/>
              <w:rPr>
                <w:sz w:val="24"/>
                <w:szCs w:val="24"/>
                <w:color w:val="auto"/>
              </w:rPr>
            </w:pPr>
          </w:p>
        </w:tc>
        <w:tc>
          <w:tcPr>
            <w:tcW w:w="8100" w:type="dxa"/>
            <w:vAlign w:val="bottom"/>
          </w:tcPr>
          <w:p>
            <w:pPr>
              <w:jc w:val="center"/>
              <w:ind w:left="1419"/>
              <w:spacing w:after="0"/>
              <w:rPr>
                <w:sz w:val="20"/>
                <w:szCs w:val="20"/>
                <w:color w:val="auto"/>
              </w:rPr>
            </w:pPr>
            <w:r>
              <w:rPr>
                <w:rFonts w:ascii="Arial" w:cs="Arial" w:eastAsia="Arial" w:hAnsi="Arial"/>
                <w:sz w:val="18"/>
                <w:szCs w:val="18"/>
                <w:b w:val="1"/>
                <w:bCs w:val="1"/>
                <w:color w:val="auto"/>
              </w:rPr>
              <w:t>FIDELITY NATIONAL FINANCIAL, INC. AND SUBSIDIARIES</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8100" w:type="dxa"/>
            <w:vAlign w:val="bottom"/>
          </w:tcPr>
          <w:p>
            <w:pPr>
              <w:jc w:val="center"/>
              <w:ind w:left="1399"/>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920" w:type="dxa"/>
            <w:vAlign w:val="bottom"/>
          </w:tcPr>
          <w:p>
            <w:pPr>
              <w:spacing w:after="0"/>
              <w:rPr>
                <w:sz w:val="16"/>
                <w:szCs w:val="16"/>
                <w:color w:val="auto"/>
              </w:rPr>
            </w:pPr>
          </w:p>
        </w:tc>
        <w:tc>
          <w:tcPr>
            <w:tcW w:w="8100" w:type="dxa"/>
            <w:vAlign w:val="bottom"/>
          </w:tcPr>
          <w:p>
            <w:pPr>
              <w:jc w:val="center"/>
              <w:ind w:left="1419"/>
              <w:spacing w:after="0"/>
              <w:rPr>
                <w:sz w:val="20"/>
                <w:szCs w:val="20"/>
                <w:color w:val="auto"/>
              </w:rPr>
            </w:pPr>
            <w:r>
              <w:rPr>
                <w:rFonts w:ascii="Arial" w:cs="Arial" w:eastAsia="Arial" w:hAnsi="Arial"/>
                <w:sz w:val="14"/>
                <w:szCs w:val="14"/>
                <w:color w:val="auto"/>
                <w:w w:val="94"/>
              </w:rPr>
              <w:t>(Dollars in millions, except share data)</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9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June 30,</w:t>
            </w:r>
          </w:p>
        </w:tc>
        <w:tc>
          <w:tcPr>
            <w:tcW w:w="120" w:type="dxa"/>
            <w:vAlign w:val="bottom"/>
          </w:tcPr>
          <w:p>
            <w:pPr>
              <w:spacing w:after="0"/>
              <w:rPr>
                <w:sz w:val="24"/>
                <w:szCs w:val="24"/>
                <w:color w:val="auto"/>
              </w:rPr>
            </w:pPr>
          </w:p>
        </w:tc>
        <w:tc>
          <w:tcPr>
            <w:tcW w:w="1000" w:type="dxa"/>
            <w:vAlign w:val="bottom"/>
          </w:tcPr>
          <w:p>
            <w:pPr>
              <w:jc w:val="right"/>
              <w:ind w:right="79"/>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92"/>
        </w:trPr>
        <w:tc>
          <w:tcPr>
            <w:tcW w:w="920" w:type="dxa"/>
            <w:vAlign w:val="bottom"/>
          </w:tcPr>
          <w:p>
            <w:pPr>
              <w:spacing w:after="0"/>
              <w:rPr>
                <w:sz w:val="16"/>
                <w:szCs w:val="16"/>
                <w:color w:val="auto"/>
              </w:rPr>
            </w:pPr>
          </w:p>
        </w:tc>
        <w:tc>
          <w:tcPr>
            <w:tcW w:w="8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48"/>
        </w:trPr>
        <w:tc>
          <w:tcPr>
            <w:tcW w:w="920" w:type="dxa"/>
            <w:vAlign w:val="bottom"/>
          </w:tcPr>
          <w:p>
            <w:pPr>
              <w:spacing w:after="0"/>
              <w:rPr>
                <w:sz w:val="21"/>
                <w:szCs w:val="21"/>
                <w:color w:val="auto"/>
              </w:rPr>
            </w:pPr>
          </w:p>
        </w:tc>
        <w:tc>
          <w:tcPr>
            <w:tcW w:w="8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1"/>
              </w:rPr>
              <w:t>(Unaudited)</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920" w:type="dxa"/>
            <w:vAlign w:val="bottom"/>
            <w:shd w:val="clear" w:color="auto" w:fill="CCEEFF"/>
          </w:tcPr>
          <w:p>
            <w:pPr>
              <w:spacing w:after="0"/>
              <w:rPr>
                <w:sz w:val="18"/>
                <w:szCs w:val="18"/>
                <w:color w:val="auto"/>
              </w:rPr>
            </w:pPr>
          </w:p>
        </w:tc>
        <w:tc>
          <w:tcPr>
            <w:tcW w:w="8100" w:type="dxa"/>
            <w:vAlign w:val="bottom"/>
            <w:shd w:val="clear" w:color="auto" w:fill="CCEEFF"/>
          </w:tcPr>
          <w:p>
            <w:pPr>
              <w:jc w:val="center"/>
              <w:ind w:left="1399"/>
              <w:spacing w:after="0"/>
              <w:rPr>
                <w:sz w:val="20"/>
                <w:szCs w:val="20"/>
                <w:color w:val="auto"/>
              </w:rPr>
            </w:pPr>
            <w:r>
              <w:rPr>
                <w:rFonts w:ascii="Arial" w:cs="Arial" w:eastAsia="Arial" w:hAnsi="Arial"/>
                <w:sz w:val="14"/>
                <w:szCs w:val="14"/>
                <w:b w:val="1"/>
                <w:bCs w:val="1"/>
                <w:color w:val="auto"/>
                <w:w w:val="96"/>
              </w:rPr>
              <w:t>ASSETS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20" w:type="dxa"/>
            <w:vAlign w:val="bottom"/>
          </w:tcPr>
          <w:p>
            <w:pPr>
              <w:ind w:left="40"/>
              <w:spacing w:after="0"/>
              <w:rPr>
                <w:sz w:val="20"/>
                <w:szCs w:val="20"/>
                <w:color w:val="auto"/>
              </w:rPr>
            </w:pPr>
            <w:r>
              <w:rPr>
                <w:rFonts w:ascii="Arial" w:cs="Arial" w:eastAsia="Arial" w:hAnsi="Arial"/>
                <w:sz w:val="16"/>
                <w:szCs w:val="16"/>
                <w:color w:val="auto"/>
                <w:w w:val="94"/>
              </w:rPr>
              <w:t>Investments:</w:t>
            </w:r>
          </w:p>
        </w:tc>
        <w:tc>
          <w:tcPr>
            <w:tcW w:w="8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90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90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w w:val="95"/>
              </w:rPr>
              <w:t>Fixed maturity securities available for sale, at fair value, at June 30, 2014 and December 31, 2013 includes pledged fixed maturity</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90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securities of $350 and $261, respectively, related to secured trust deposits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3,092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2,959</w:t>
            </w:r>
          </w:p>
        </w:tc>
        <w:tc>
          <w:tcPr>
            <w:tcW w:w="0" w:type="dxa"/>
            <w:vAlign w:val="bottom"/>
          </w:tcPr>
          <w:p>
            <w:pPr>
              <w:spacing w:after="0"/>
              <w:rPr>
                <w:sz w:val="1"/>
                <w:szCs w:val="1"/>
                <w:color w:val="auto"/>
              </w:rPr>
            </w:pPr>
          </w:p>
        </w:tc>
      </w:tr>
      <w:tr>
        <w:trPr>
          <w:trHeight w:val="237"/>
        </w:trPr>
        <w:tc>
          <w:tcPr>
            <w:tcW w:w="9020" w:type="dxa"/>
            <w:vAlign w:val="bottom"/>
            <w:gridSpan w:val="2"/>
          </w:tcPr>
          <w:p>
            <w:pPr>
              <w:ind w:left="280"/>
              <w:spacing w:after="0"/>
              <w:rPr>
                <w:sz w:val="20"/>
                <w:szCs w:val="20"/>
                <w:color w:val="auto"/>
              </w:rPr>
            </w:pPr>
            <w:r>
              <w:rPr>
                <w:rFonts w:ascii="Arial" w:cs="Arial" w:eastAsia="Arial" w:hAnsi="Arial"/>
                <w:sz w:val="16"/>
                <w:szCs w:val="16"/>
                <w:color w:val="auto"/>
              </w:rPr>
              <w:t>Preferred stock available for sale, at fair value</w:t>
            </w:r>
          </w:p>
        </w:tc>
        <w:tc>
          <w:tcPr>
            <w:tcW w:w="2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187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33"/>
        </w:trPr>
        <w:tc>
          <w:tcPr>
            <w:tcW w:w="90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Equity securities available for sale, at fair value</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37"/>
        </w:trPr>
        <w:tc>
          <w:tcPr>
            <w:tcW w:w="9020" w:type="dxa"/>
            <w:vAlign w:val="bottom"/>
            <w:gridSpan w:val="2"/>
          </w:tcPr>
          <w:p>
            <w:pPr>
              <w:ind w:left="280"/>
              <w:spacing w:after="0"/>
              <w:rPr>
                <w:sz w:val="20"/>
                <w:szCs w:val="20"/>
                <w:color w:val="auto"/>
              </w:rPr>
            </w:pPr>
            <w:r>
              <w:rPr>
                <w:rFonts w:ascii="Arial" w:cs="Arial" w:eastAsia="Arial" w:hAnsi="Arial"/>
                <w:sz w:val="16"/>
                <w:szCs w:val="16"/>
                <w:color w:val="auto"/>
              </w:rPr>
              <w:t>Investments in unconsolidated affiliates</w:t>
            </w:r>
          </w:p>
        </w:tc>
        <w:tc>
          <w:tcPr>
            <w:tcW w:w="2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316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357</w:t>
            </w:r>
          </w:p>
        </w:tc>
        <w:tc>
          <w:tcPr>
            <w:tcW w:w="0" w:type="dxa"/>
            <w:vAlign w:val="bottom"/>
          </w:tcPr>
          <w:p>
            <w:pPr>
              <w:spacing w:after="0"/>
              <w:rPr>
                <w:sz w:val="1"/>
                <w:szCs w:val="1"/>
                <w:color w:val="auto"/>
              </w:rPr>
            </w:pPr>
          </w:p>
        </w:tc>
      </w:tr>
      <w:tr>
        <w:trPr>
          <w:trHeight w:val="33"/>
        </w:trPr>
        <w:tc>
          <w:tcPr>
            <w:tcW w:w="90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Other long-term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37"/>
        </w:trPr>
        <w:tc>
          <w:tcPr>
            <w:tcW w:w="9020" w:type="dxa"/>
            <w:vAlign w:val="bottom"/>
            <w:gridSpan w:val="2"/>
          </w:tcPr>
          <w:p>
            <w:pPr>
              <w:ind w:left="280"/>
              <w:spacing w:after="0"/>
              <w:rPr>
                <w:sz w:val="20"/>
                <w:szCs w:val="20"/>
                <w:color w:val="auto"/>
              </w:rPr>
            </w:pPr>
            <w:r>
              <w:rPr>
                <w:rFonts w:ascii="Arial" w:cs="Arial" w:eastAsia="Arial" w:hAnsi="Arial"/>
                <w:sz w:val="16"/>
                <w:szCs w:val="16"/>
                <w:color w:val="auto"/>
              </w:rPr>
              <w:t>Short-term investments</w:t>
            </w:r>
          </w:p>
        </w:tc>
        <w:tc>
          <w:tcPr>
            <w:tcW w:w="2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33"/>
        </w:trPr>
        <w:tc>
          <w:tcPr>
            <w:tcW w:w="902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902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6"/>
                <w:szCs w:val="16"/>
                <w:color w:val="auto"/>
              </w:rPr>
              <w:t>Total investments</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3,970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3,791</w:t>
            </w:r>
          </w:p>
        </w:tc>
        <w:tc>
          <w:tcPr>
            <w:tcW w:w="0" w:type="dxa"/>
            <w:vAlign w:val="bottom"/>
          </w:tcPr>
          <w:p>
            <w:pPr>
              <w:spacing w:after="0"/>
              <w:rPr>
                <w:sz w:val="1"/>
                <w:szCs w:val="1"/>
                <w:color w:val="auto"/>
              </w:rPr>
            </w:pPr>
          </w:p>
        </w:tc>
      </w:tr>
      <w:tr>
        <w:trPr>
          <w:trHeight w:val="220"/>
        </w:trPr>
        <w:tc>
          <w:tcPr>
            <w:tcW w:w="9020" w:type="dxa"/>
            <w:vAlign w:val="bottom"/>
            <w:gridSpan w:val="2"/>
          </w:tcPr>
          <w:p>
            <w:pPr>
              <w:ind w:left="40"/>
              <w:spacing w:after="0"/>
              <w:rPr>
                <w:sz w:val="20"/>
                <w:szCs w:val="20"/>
                <w:color w:val="auto"/>
              </w:rPr>
            </w:pPr>
            <w:r>
              <w:rPr>
                <w:rFonts w:ascii="Arial" w:cs="Arial" w:eastAsia="Arial" w:hAnsi="Arial"/>
                <w:sz w:val="16"/>
                <w:szCs w:val="16"/>
                <w:color w:val="auto"/>
                <w:w w:val="93"/>
              </w:rPr>
              <w:t>Cash and cash equivalents, at June 30, 2014 and December 31, 2013 includes $365 and $339, respectively, of pledged cash related to</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9020" w:type="dxa"/>
            <w:vAlign w:val="bottom"/>
            <w:gridSpan w:val="2"/>
          </w:tcPr>
          <w:p>
            <w:pPr>
              <w:ind w:left="40"/>
              <w:spacing w:after="0"/>
              <w:rPr>
                <w:sz w:val="20"/>
                <w:szCs w:val="20"/>
                <w:color w:val="auto"/>
              </w:rPr>
            </w:pPr>
            <w:r>
              <w:rPr>
                <w:rFonts w:ascii="Arial" w:cs="Arial" w:eastAsia="Arial" w:hAnsi="Arial"/>
                <w:sz w:val="16"/>
                <w:szCs w:val="16"/>
                <w:color w:val="auto"/>
              </w:rPr>
              <w:t>secured trust deposits</w:t>
            </w:r>
          </w:p>
        </w:tc>
        <w:tc>
          <w:tcPr>
            <w:tcW w:w="200" w:type="dxa"/>
            <w:vAlign w:val="bottom"/>
          </w:tcPr>
          <w:p>
            <w:pPr>
              <w:spacing w:after="0"/>
              <w:rPr>
                <w:sz w:val="17"/>
                <w:szCs w:val="17"/>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1,126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1,969</w:t>
            </w:r>
          </w:p>
        </w:tc>
        <w:tc>
          <w:tcPr>
            <w:tcW w:w="0" w:type="dxa"/>
            <w:vAlign w:val="bottom"/>
          </w:tcPr>
          <w:p>
            <w:pPr>
              <w:spacing w:after="0"/>
              <w:rPr>
                <w:sz w:val="1"/>
                <w:szCs w:val="1"/>
                <w:color w:val="auto"/>
              </w:rPr>
            </w:pPr>
          </w:p>
        </w:tc>
      </w:tr>
      <w:tr>
        <w:trPr>
          <w:trHeight w:val="33"/>
        </w:trPr>
        <w:tc>
          <w:tcPr>
            <w:tcW w:w="90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Trade and notes receivables, net of allowance of $25 and $21, at June 30, 2014 and December 31, 2013, respectively</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482</w:t>
            </w:r>
          </w:p>
        </w:tc>
        <w:tc>
          <w:tcPr>
            <w:tcW w:w="0" w:type="dxa"/>
            <w:vAlign w:val="bottom"/>
          </w:tcPr>
          <w:p>
            <w:pPr>
              <w:spacing w:after="0"/>
              <w:rPr>
                <w:sz w:val="1"/>
                <w:szCs w:val="1"/>
                <w:color w:val="auto"/>
              </w:rPr>
            </w:pPr>
          </w:p>
        </w:tc>
      </w:tr>
      <w:tr>
        <w:trPr>
          <w:trHeight w:val="237"/>
        </w:trPr>
        <w:tc>
          <w:tcPr>
            <w:tcW w:w="920" w:type="dxa"/>
            <w:vAlign w:val="bottom"/>
          </w:tcPr>
          <w:p>
            <w:pPr>
              <w:ind w:left="40"/>
              <w:spacing w:after="0"/>
              <w:rPr>
                <w:sz w:val="20"/>
                <w:szCs w:val="20"/>
                <w:color w:val="auto"/>
              </w:rPr>
            </w:pPr>
            <w:r>
              <w:rPr>
                <w:rFonts w:ascii="Arial" w:cs="Arial" w:eastAsia="Arial" w:hAnsi="Arial"/>
                <w:sz w:val="16"/>
                <w:szCs w:val="16"/>
                <w:color w:val="auto"/>
              </w:rPr>
              <w:t>Goodwill</w:t>
            </w:r>
          </w:p>
        </w:tc>
        <w:tc>
          <w:tcPr>
            <w:tcW w:w="8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4,917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1,901</w:t>
            </w:r>
          </w:p>
        </w:tc>
        <w:tc>
          <w:tcPr>
            <w:tcW w:w="0" w:type="dxa"/>
            <w:vAlign w:val="bottom"/>
          </w:tcPr>
          <w:p>
            <w:pPr>
              <w:spacing w:after="0"/>
              <w:rPr>
                <w:sz w:val="1"/>
                <w:szCs w:val="1"/>
                <w:color w:val="auto"/>
              </w:rPr>
            </w:pPr>
          </w:p>
        </w:tc>
      </w:tr>
      <w:tr>
        <w:trPr>
          <w:trHeight w:val="33"/>
        </w:trPr>
        <w:tc>
          <w:tcPr>
            <w:tcW w:w="90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Prepaid expenses and other assets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682</w:t>
            </w:r>
          </w:p>
        </w:tc>
        <w:tc>
          <w:tcPr>
            <w:tcW w:w="0" w:type="dxa"/>
            <w:vAlign w:val="bottom"/>
          </w:tcPr>
          <w:p>
            <w:pPr>
              <w:spacing w:after="0"/>
              <w:rPr>
                <w:sz w:val="1"/>
                <w:szCs w:val="1"/>
                <w:color w:val="auto"/>
              </w:rPr>
            </w:pPr>
          </w:p>
        </w:tc>
      </w:tr>
      <w:tr>
        <w:trPr>
          <w:trHeight w:val="237"/>
        </w:trPr>
        <w:tc>
          <w:tcPr>
            <w:tcW w:w="9020" w:type="dxa"/>
            <w:vAlign w:val="bottom"/>
            <w:gridSpan w:val="2"/>
          </w:tcPr>
          <w:p>
            <w:pPr>
              <w:ind w:left="40"/>
              <w:spacing w:after="0"/>
              <w:rPr>
                <w:sz w:val="20"/>
                <w:szCs w:val="20"/>
                <w:color w:val="auto"/>
              </w:rPr>
            </w:pPr>
            <w:r>
              <w:rPr>
                <w:rFonts w:ascii="Arial" w:cs="Arial" w:eastAsia="Arial" w:hAnsi="Arial"/>
                <w:sz w:val="16"/>
                <w:szCs w:val="16"/>
                <w:color w:val="auto"/>
              </w:rPr>
              <w:t>Capitalized software, net</w:t>
            </w:r>
          </w:p>
        </w:tc>
        <w:tc>
          <w:tcPr>
            <w:tcW w:w="2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593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33"/>
        </w:trPr>
        <w:tc>
          <w:tcPr>
            <w:tcW w:w="90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1,517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619</w:t>
            </w:r>
          </w:p>
        </w:tc>
        <w:tc>
          <w:tcPr>
            <w:tcW w:w="0" w:type="dxa"/>
            <w:vAlign w:val="bottom"/>
          </w:tcPr>
          <w:p>
            <w:pPr>
              <w:spacing w:after="0"/>
              <w:rPr>
                <w:sz w:val="1"/>
                <w:szCs w:val="1"/>
                <w:color w:val="auto"/>
              </w:rPr>
            </w:pPr>
          </w:p>
        </w:tc>
      </w:tr>
      <w:tr>
        <w:trPr>
          <w:trHeight w:val="237"/>
        </w:trPr>
        <w:tc>
          <w:tcPr>
            <w:tcW w:w="920" w:type="dxa"/>
            <w:vAlign w:val="bottom"/>
          </w:tcPr>
          <w:p>
            <w:pPr>
              <w:ind w:left="40"/>
              <w:spacing w:after="0"/>
              <w:rPr>
                <w:sz w:val="20"/>
                <w:szCs w:val="20"/>
                <w:color w:val="auto"/>
              </w:rPr>
            </w:pPr>
            <w:r>
              <w:rPr>
                <w:rFonts w:ascii="Arial" w:cs="Arial" w:eastAsia="Arial" w:hAnsi="Arial"/>
                <w:sz w:val="16"/>
                <w:szCs w:val="16"/>
                <w:color w:val="auto"/>
              </w:rPr>
              <w:t>Title plants</w:t>
            </w:r>
          </w:p>
        </w:tc>
        <w:tc>
          <w:tcPr>
            <w:tcW w:w="8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395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370</w:t>
            </w:r>
          </w:p>
        </w:tc>
        <w:tc>
          <w:tcPr>
            <w:tcW w:w="0" w:type="dxa"/>
            <w:vAlign w:val="bottom"/>
          </w:tcPr>
          <w:p>
            <w:pPr>
              <w:spacing w:after="0"/>
              <w:rPr>
                <w:sz w:val="1"/>
                <w:szCs w:val="1"/>
                <w:color w:val="auto"/>
              </w:rPr>
            </w:pPr>
          </w:p>
        </w:tc>
      </w:tr>
      <w:tr>
        <w:trPr>
          <w:trHeight w:val="33"/>
        </w:trPr>
        <w:tc>
          <w:tcPr>
            <w:tcW w:w="90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Property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773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645</w:t>
            </w:r>
          </w:p>
        </w:tc>
        <w:tc>
          <w:tcPr>
            <w:tcW w:w="0" w:type="dxa"/>
            <w:vAlign w:val="bottom"/>
          </w:tcPr>
          <w:p>
            <w:pPr>
              <w:spacing w:after="0"/>
              <w:rPr>
                <w:sz w:val="1"/>
                <w:szCs w:val="1"/>
                <w:color w:val="auto"/>
              </w:rPr>
            </w:pPr>
          </w:p>
        </w:tc>
      </w:tr>
      <w:tr>
        <w:trPr>
          <w:trHeight w:val="237"/>
        </w:trPr>
        <w:tc>
          <w:tcPr>
            <w:tcW w:w="9020" w:type="dxa"/>
            <w:vAlign w:val="bottom"/>
            <w:gridSpan w:val="2"/>
          </w:tcPr>
          <w:p>
            <w:pPr>
              <w:ind w:left="40"/>
              <w:spacing w:after="0"/>
              <w:rPr>
                <w:sz w:val="20"/>
                <w:szCs w:val="20"/>
                <w:color w:val="auto"/>
              </w:rPr>
            </w:pPr>
            <w:r>
              <w:rPr>
                <w:rFonts w:ascii="Arial" w:cs="Arial" w:eastAsia="Arial" w:hAnsi="Arial"/>
                <w:sz w:val="16"/>
                <w:szCs w:val="16"/>
                <w:color w:val="auto"/>
              </w:rPr>
              <w:t>Income taxes receivable</w:t>
            </w:r>
          </w:p>
        </w:tc>
        <w:tc>
          <w:tcPr>
            <w:tcW w:w="2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33"/>
        </w:trPr>
        <w:tc>
          <w:tcPr>
            <w:tcW w:w="920" w:type="dxa"/>
            <w:vAlign w:val="bottom"/>
            <w:tcBorders>
              <w:bottom w:val="single" w:sz="8" w:color="CCEEFF"/>
            </w:tcBorders>
          </w:tcPr>
          <w:p>
            <w:pPr>
              <w:spacing w:after="0"/>
              <w:rPr>
                <w:sz w:val="2"/>
                <w:szCs w:val="2"/>
                <w:color w:val="auto"/>
              </w:rPr>
            </w:pPr>
          </w:p>
        </w:tc>
        <w:tc>
          <w:tcPr>
            <w:tcW w:w="8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920" w:type="dxa"/>
            <w:vAlign w:val="bottom"/>
            <w:tcBorders>
              <w:bottom w:val="single" w:sz="8" w:color="CCEEFF"/>
            </w:tcBorders>
            <w:shd w:val="clear" w:color="auto" w:fill="CCEEFF"/>
          </w:tcPr>
          <w:p>
            <w:pPr>
              <w:spacing w:after="0"/>
              <w:rPr>
                <w:sz w:val="21"/>
                <w:szCs w:val="21"/>
                <w:color w:val="auto"/>
              </w:rPr>
            </w:pPr>
          </w:p>
        </w:tc>
        <w:tc>
          <w:tcPr>
            <w:tcW w:w="8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14,843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10,524</w:t>
            </w:r>
          </w:p>
        </w:tc>
        <w:tc>
          <w:tcPr>
            <w:tcW w:w="0" w:type="dxa"/>
            <w:vAlign w:val="bottom"/>
          </w:tcPr>
          <w:p>
            <w:pPr>
              <w:spacing w:after="0"/>
              <w:rPr>
                <w:sz w:val="1"/>
                <w:szCs w:val="1"/>
                <w:color w:val="auto"/>
              </w:rPr>
            </w:pPr>
          </w:p>
        </w:tc>
      </w:tr>
      <w:tr>
        <w:trPr>
          <w:trHeight w:val="20"/>
        </w:trPr>
        <w:tc>
          <w:tcPr>
            <w:tcW w:w="920" w:type="dxa"/>
            <w:vAlign w:val="bottom"/>
            <w:tcBorders>
              <w:top w:val="single" w:sz="8" w:color="CCEEFF"/>
            </w:tcBorders>
          </w:tcPr>
          <w:p>
            <w:pPr>
              <w:spacing w:after="0" w:line="20" w:lineRule="exact"/>
              <w:rPr>
                <w:sz w:val="1"/>
                <w:szCs w:val="1"/>
                <w:color w:val="auto"/>
              </w:rPr>
            </w:pPr>
          </w:p>
        </w:tc>
        <w:tc>
          <w:tcPr>
            <w:tcW w:w="8100" w:type="dxa"/>
            <w:vAlign w:val="bottom"/>
            <w:tcBorders>
              <w:top w:val="single" w:sz="8" w:color="CCEEFF"/>
              <w:bottom w:val="single" w:sz="8" w:color="CCEEFF"/>
            </w:tcBorders>
            <w:vMerge w:val="restart"/>
          </w:tcPr>
          <w:p>
            <w:pPr>
              <w:jc w:val="center"/>
              <w:ind w:left="1419"/>
              <w:spacing w:after="0"/>
              <w:rPr>
                <w:sz w:val="20"/>
                <w:szCs w:val="20"/>
                <w:color w:val="auto"/>
              </w:rPr>
            </w:pPr>
            <w:r>
              <w:rPr>
                <w:rFonts w:ascii="Arial" w:cs="Arial" w:eastAsia="Arial" w:hAnsi="Arial"/>
                <w:sz w:val="14"/>
                <w:szCs w:val="14"/>
                <w:b w:val="1"/>
                <w:bCs w:val="1"/>
                <w:color w:val="auto"/>
              </w:rPr>
              <w:t>LIABILITIES AND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920" w:type="dxa"/>
            <w:vAlign w:val="bottom"/>
          </w:tcPr>
          <w:p>
            <w:pPr>
              <w:spacing w:after="0"/>
              <w:rPr>
                <w:sz w:val="13"/>
                <w:szCs w:val="13"/>
                <w:color w:val="auto"/>
              </w:rPr>
            </w:pPr>
          </w:p>
        </w:tc>
        <w:tc>
          <w:tcPr>
            <w:tcW w:w="81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8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9020" w:type="dxa"/>
            <w:vAlign w:val="bottom"/>
            <w:gridSpan w:val="2"/>
          </w:tcPr>
          <w:p>
            <w:pPr>
              <w:ind w:left="280"/>
              <w:spacing w:after="0"/>
              <w:rPr>
                <w:sz w:val="20"/>
                <w:szCs w:val="20"/>
                <w:color w:val="auto"/>
              </w:rPr>
            </w:pPr>
            <w:r>
              <w:rPr>
                <w:rFonts w:ascii="Arial" w:cs="Arial" w:eastAsia="Arial" w:hAnsi="Arial"/>
                <w:sz w:val="16"/>
                <w:szCs w:val="16"/>
                <w:color w:val="auto"/>
              </w:rPr>
              <w:t>Accounts payable and accrued liabilities, at December 31, 2013 includes accounts payable to related parties of $3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1,523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1,291</w:t>
            </w:r>
          </w:p>
        </w:tc>
        <w:tc>
          <w:tcPr>
            <w:tcW w:w="0" w:type="dxa"/>
            <w:vAlign w:val="bottom"/>
          </w:tcPr>
          <w:p>
            <w:pPr>
              <w:spacing w:after="0"/>
              <w:rPr>
                <w:sz w:val="1"/>
                <w:szCs w:val="1"/>
                <w:color w:val="auto"/>
              </w:rPr>
            </w:pPr>
          </w:p>
        </w:tc>
      </w:tr>
      <w:tr>
        <w:trPr>
          <w:trHeight w:val="33"/>
        </w:trPr>
        <w:tc>
          <w:tcPr>
            <w:tcW w:w="90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Notes payable</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3,343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1,323</w:t>
            </w:r>
          </w:p>
        </w:tc>
        <w:tc>
          <w:tcPr>
            <w:tcW w:w="0" w:type="dxa"/>
            <w:vAlign w:val="bottom"/>
          </w:tcPr>
          <w:p>
            <w:pPr>
              <w:spacing w:after="0"/>
              <w:rPr>
                <w:sz w:val="1"/>
                <w:szCs w:val="1"/>
                <w:color w:val="auto"/>
              </w:rPr>
            </w:pPr>
          </w:p>
        </w:tc>
      </w:tr>
      <w:tr>
        <w:trPr>
          <w:trHeight w:val="237"/>
        </w:trPr>
        <w:tc>
          <w:tcPr>
            <w:tcW w:w="9020" w:type="dxa"/>
            <w:vAlign w:val="bottom"/>
            <w:gridSpan w:val="2"/>
          </w:tcPr>
          <w:p>
            <w:pPr>
              <w:ind w:left="280"/>
              <w:spacing w:after="0"/>
              <w:rPr>
                <w:sz w:val="20"/>
                <w:szCs w:val="20"/>
                <w:color w:val="auto"/>
              </w:rPr>
            </w:pPr>
            <w:r>
              <w:rPr>
                <w:rFonts w:ascii="Arial" w:cs="Arial" w:eastAsia="Arial" w:hAnsi="Arial"/>
                <w:sz w:val="16"/>
                <w:szCs w:val="16"/>
                <w:color w:val="auto"/>
              </w:rPr>
              <w:t>Reserve for title claim losses</w:t>
            </w:r>
          </w:p>
        </w:tc>
        <w:tc>
          <w:tcPr>
            <w:tcW w:w="2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1,661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1,636</w:t>
            </w:r>
          </w:p>
        </w:tc>
        <w:tc>
          <w:tcPr>
            <w:tcW w:w="0" w:type="dxa"/>
            <w:vAlign w:val="bottom"/>
          </w:tcPr>
          <w:p>
            <w:pPr>
              <w:spacing w:after="0"/>
              <w:rPr>
                <w:sz w:val="1"/>
                <w:szCs w:val="1"/>
                <w:color w:val="auto"/>
              </w:rPr>
            </w:pPr>
          </w:p>
        </w:tc>
      </w:tr>
      <w:tr>
        <w:trPr>
          <w:trHeight w:val="33"/>
        </w:trPr>
        <w:tc>
          <w:tcPr>
            <w:tcW w:w="90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Secured trust deposits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588</w:t>
            </w:r>
          </w:p>
        </w:tc>
        <w:tc>
          <w:tcPr>
            <w:tcW w:w="0" w:type="dxa"/>
            <w:vAlign w:val="bottom"/>
          </w:tcPr>
          <w:p>
            <w:pPr>
              <w:spacing w:after="0"/>
              <w:rPr>
                <w:sz w:val="1"/>
                <w:szCs w:val="1"/>
                <w:color w:val="auto"/>
              </w:rPr>
            </w:pPr>
          </w:p>
        </w:tc>
      </w:tr>
      <w:tr>
        <w:trPr>
          <w:trHeight w:val="237"/>
        </w:trPr>
        <w:tc>
          <w:tcPr>
            <w:tcW w:w="9020" w:type="dxa"/>
            <w:vAlign w:val="bottom"/>
            <w:gridSpan w:val="2"/>
          </w:tcPr>
          <w:p>
            <w:pPr>
              <w:ind w:left="280"/>
              <w:spacing w:after="0"/>
              <w:rPr>
                <w:sz w:val="20"/>
                <w:szCs w:val="20"/>
                <w:color w:val="auto"/>
              </w:rPr>
            </w:pPr>
            <w:r>
              <w:rPr>
                <w:rFonts w:ascii="Arial" w:cs="Arial" w:eastAsia="Arial" w:hAnsi="Arial"/>
                <w:sz w:val="16"/>
                <w:szCs w:val="16"/>
                <w:color w:val="auto"/>
              </w:rPr>
              <w:t>Income taxes payable</w:t>
            </w:r>
          </w:p>
        </w:tc>
        <w:tc>
          <w:tcPr>
            <w:tcW w:w="2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90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Deferred tax liability</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541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17"/>
        </w:trPr>
        <w:tc>
          <w:tcPr>
            <w:tcW w:w="9020" w:type="dxa"/>
            <w:vAlign w:val="bottom"/>
            <w:gridSpan w:val="2"/>
          </w:tcPr>
          <w:p>
            <w:pPr>
              <w:ind w:left="540"/>
              <w:spacing w:after="0"/>
              <w:rPr>
                <w:sz w:val="20"/>
                <w:szCs w:val="20"/>
                <w:color w:val="auto"/>
              </w:rPr>
            </w:pPr>
            <w:r>
              <w:rPr>
                <w:rFonts w:ascii="Arial" w:cs="Arial" w:eastAsia="Arial" w:hAnsi="Arial"/>
                <w:sz w:val="16"/>
                <w:szCs w:val="16"/>
                <w:color w:val="auto"/>
              </w:rPr>
              <w:t>Total liabilities</w:t>
            </w: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7,787</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4,982</w:t>
            </w:r>
          </w:p>
        </w:tc>
        <w:tc>
          <w:tcPr>
            <w:tcW w:w="0" w:type="dxa"/>
            <w:vAlign w:val="bottom"/>
          </w:tcPr>
          <w:p>
            <w:pPr>
              <w:spacing w:after="0"/>
              <w:rPr>
                <w:sz w:val="1"/>
                <w:szCs w:val="1"/>
                <w:color w:val="auto"/>
              </w:rPr>
            </w:pPr>
          </w:p>
        </w:tc>
      </w:tr>
      <w:tr>
        <w:trPr>
          <w:trHeight w:val="33"/>
        </w:trPr>
        <w:tc>
          <w:tcPr>
            <w:tcW w:w="902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Commitments and Contingencies: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9020" w:type="dxa"/>
            <w:vAlign w:val="bottom"/>
            <w:gridSpan w:val="2"/>
          </w:tcPr>
          <w:p>
            <w:pPr>
              <w:ind w:left="280"/>
              <w:spacing w:after="0"/>
              <w:rPr>
                <w:sz w:val="20"/>
                <w:szCs w:val="20"/>
                <w:color w:val="auto"/>
              </w:rPr>
            </w:pPr>
            <w:r>
              <w:rPr>
                <w:rFonts w:ascii="Arial" w:cs="Arial" w:eastAsia="Arial" w:hAnsi="Arial"/>
                <w:sz w:val="16"/>
                <w:szCs w:val="16"/>
                <w:color w:val="auto"/>
                <w:w w:val="96"/>
              </w:rPr>
              <w:t>Redeemable non-controlling interest by 33% minority holder of Black Knight Financial Services, LLC and 35% minority holder of</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9020" w:type="dxa"/>
            <w:vAlign w:val="bottom"/>
            <w:gridSpan w:val="2"/>
          </w:tcPr>
          <w:p>
            <w:pPr>
              <w:ind w:left="280"/>
              <w:spacing w:after="0"/>
              <w:rPr>
                <w:sz w:val="20"/>
                <w:szCs w:val="20"/>
                <w:color w:val="auto"/>
              </w:rPr>
            </w:pPr>
            <w:r>
              <w:rPr>
                <w:rFonts w:ascii="Arial" w:cs="Arial" w:eastAsia="Arial" w:hAnsi="Arial"/>
                <w:sz w:val="16"/>
                <w:szCs w:val="16"/>
                <w:color w:val="auto"/>
              </w:rPr>
              <w:t>ServiceLink, LLC</w:t>
            </w:r>
          </w:p>
        </w:tc>
        <w:tc>
          <w:tcPr>
            <w:tcW w:w="200" w:type="dxa"/>
            <w:vAlign w:val="bottom"/>
          </w:tcPr>
          <w:p>
            <w:pPr>
              <w:spacing w:after="0"/>
              <w:rPr>
                <w:sz w:val="17"/>
                <w:szCs w:val="17"/>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687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9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w:t>
            </w:r>
          </w:p>
        </w:tc>
        <w:tc>
          <w:tcPr>
            <w:tcW w:w="8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9020" w:type="dxa"/>
            <w:vAlign w:val="bottom"/>
            <w:gridSpan w:val="2"/>
          </w:tcPr>
          <w:p>
            <w:pPr>
              <w:ind w:left="280"/>
              <w:spacing w:after="0"/>
              <w:rPr>
                <w:sz w:val="20"/>
                <w:szCs w:val="20"/>
                <w:color w:val="auto"/>
              </w:rPr>
            </w:pPr>
            <w:r>
              <w:rPr>
                <w:rFonts w:ascii="Arial" w:cs="Arial" w:eastAsia="Arial" w:hAnsi="Arial"/>
                <w:sz w:val="16"/>
                <w:szCs w:val="16"/>
                <w:color w:val="auto"/>
                <w:w w:val="98"/>
              </w:rPr>
              <w:t>FNF Class A common stock, $0.0001 par value: authorized 600,000,000 as of December 31, 2013; issued 292,289,166 as of</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9020" w:type="dxa"/>
            <w:vAlign w:val="bottom"/>
            <w:gridSpan w:val="2"/>
          </w:tcPr>
          <w:p>
            <w:pPr>
              <w:ind w:left="280"/>
              <w:spacing w:after="0"/>
              <w:rPr>
                <w:sz w:val="20"/>
                <w:szCs w:val="20"/>
                <w:color w:val="auto"/>
              </w:rPr>
            </w:pPr>
            <w:r>
              <w:rPr>
                <w:rFonts w:ascii="Arial" w:cs="Arial" w:eastAsia="Arial" w:hAnsi="Arial"/>
                <w:sz w:val="16"/>
                <w:szCs w:val="16"/>
                <w:color w:val="auto"/>
              </w:rPr>
              <w:t>December 31, 2013</w:t>
            </w:r>
          </w:p>
        </w:tc>
        <w:tc>
          <w:tcPr>
            <w:tcW w:w="20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90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90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w w:val="91"/>
              </w:rPr>
              <w:t>FNF Group common stock, $0.0001 par value; authorized 487,000,000 shares as of June 30, 2014; issued 277,462,875 as of June 30,</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2014</w:t>
            </w:r>
          </w:p>
        </w:tc>
        <w:tc>
          <w:tcPr>
            <w:tcW w:w="8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9020" w:type="dxa"/>
            <w:vAlign w:val="bottom"/>
            <w:gridSpan w:val="2"/>
          </w:tcPr>
          <w:p>
            <w:pPr>
              <w:ind w:left="280"/>
              <w:spacing w:after="0"/>
              <w:rPr>
                <w:sz w:val="20"/>
                <w:szCs w:val="20"/>
                <w:color w:val="auto"/>
              </w:rPr>
            </w:pPr>
            <w:r>
              <w:rPr>
                <w:rFonts w:ascii="Arial" w:cs="Arial" w:eastAsia="Arial" w:hAnsi="Arial"/>
                <w:sz w:val="16"/>
                <w:szCs w:val="16"/>
                <w:color w:val="auto"/>
                <w:w w:val="91"/>
              </w:rPr>
              <w:t>FNFV Group common stock, $0.0001 par value; authorized 113,000,000 shares as of June 30, 2014; issued 91,711,237 as of June 30,</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920" w:type="dxa"/>
            <w:vAlign w:val="bottom"/>
          </w:tcPr>
          <w:p>
            <w:pPr>
              <w:ind w:left="280"/>
              <w:spacing w:after="0"/>
              <w:rPr>
                <w:sz w:val="20"/>
                <w:szCs w:val="20"/>
                <w:color w:val="auto"/>
              </w:rPr>
            </w:pPr>
            <w:r>
              <w:rPr>
                <w:rFonts w:ascii="Arial" w:cs="Arial" w:eastAsia="Arial" w:hAnsi="Arial"/>
                <w:sz w:val="16"/>
                <w:szCs w:val="16"/>
                <w:color w:val="auto"/>
              </w:rPr>
              <w:t>2014</w:t>
            </w:r>
          </w:p>
        </w:tc>
        <w:tc>
          <w:tcPr>
            <w:tcW w:w="8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90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Preferred stock, $0.0001 par value; authorized 50,000,000 shares; issued and outstanding, none</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9020" w:type="dxa"/>
            <w:vAlign w:val="bottom"/>
            <w:gridSpan w:val="2"/>
          </w:tcPr>
          <w:p>
            <w:pPr>
              <w:ind w:left="280"/>
              <w:spacing w:after="0"/>
              <w:rPr>
                <w:sz w:val="20"/>
                <w:szCs w:val="20"/>
                <w:color w:val="auto"/>
              </w:rPr>
            </w:pPr>
            <w:r>
              <w:rPr>
                <w:rFonts w:ascii="Arial" w:cs="Arial" w:eastAsia="Arial" w:hAnsi="Arial"/>
                <w:sz w:val="16"/>
                <w:szCs w:val="16"/>
                <w:color w:val="auto"/>
              </w:rPr>
              <w:t>Additional paid-in capital</w:t>
            </w:r>
          </w:p>
        </w:tc>
        <w:tc>
          <w:tcPr>
            <w:tcW w:w="2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4,807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4,642</w:t>
            </w:r>
          </w:p>
        </w:tc>
        <w:tc>
          <w:tcPr>
            <w:tcW w:w="0" w:type="dxa"/>
            <w:vAlign w:val="bottom"/>
          </w:tcPr>
          <w:p>
            <w:pPr>
              <w:spacing w:after="0"/>
              <w:rPr>
                <w:sz w:val="1"/>
                <w:szCs w:val="1"/>
                <w:color w:val="auto"/>
              </w:rPr>
            </w:pPr>
          </w:p>
        </w:tc>
      </w:tr>
      <w:tr>
        <w:trPr>
          <w:trHeight w:val="33"/>
        </w:trPr>
        <w:tc>
          <w:tcPr>
            <w:tcW w:w="90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Retained earnings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1,096</w:t>
            </w:r>
          </w:p>
        </w:tc>
        <w:tc>
          <w:tcPr>
            <w:tcW w:w="0" w:type="dxa"/>
            <w:vAlign w:val="bottom"/>
          </w:tcPr>
          <w:p>
            <w:pPr>
              <w:spacing w:after="0"/>
              <w:rPr>
                <w:sz w:val="1"/>
                <w:szCs w:val="1"/>
                <w:color w:val="auto"/>
              </w:rPr>
            </w:pPr>
          </w:p>
        </w:tc>
      </w:tr>
      <w:tr>
        <w:trPr>
          <w:trHeight w:val="237"/>
        </w:trPr>
        <w:tc>
          <w:tcPr>
            <w:tcW w:w="9020" w:type="dxa"/>
            <w:vAlign w:val="bottom"/>
            <w:gridSpan w:val="2"/>
          </w:tcPr>
          <w:p>
            <w:pPr>
              <w:ind w:left="280"/>
              <w:spacing w:after="0"/>
              <w:rPr>
                <w:sz w:val="20"/>
                <w:szCs w:val="20"/>
                <w:color w:val="auto"/>
              </w:rPr>
            </w:pPr>
            <w:r>
              <w:rPr>
                <w:rFonts w:ascii="Arial" w:cs="Arial" w:eastAsia="Arial" w:hAnsi="Arial"/>
                <w:sz w:val="16"/>
                <w:szCs w:val="16"/>
                <w:color w:val="auto"/>
              </w:rPr>
              <w:t>Accumulated other comprehensive earnings</w:t>
            </w:r>
          </w:p>
        </w:tc>
        <w:tc>
          <w:tcPr>
            <w:tcW w:w="2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33"/>
        </w:trPr>
        <w:tc>
          <w:tcPr>
            <w:tcW w:w="90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Less: treasury stock, 5,925 shares as of June 30, 2014 and 41,948,518 shares as of and December 31, 2013, at cost</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(707)</w:t>
            </w:r>
          </w:p>
        </w:tc>
        <w:tc>
          <w:tcPr>
            <w:tcW w:w="0" w:type="dxa"/>
            <w:vAlign w:val="bottom"/>
          </w:tcPr>
          <w:p>
            <w:pPr>
              <w:spacing w:after="0"/>
              <w:rPr>
                <w:sz w:val="1"/>
                <w:szCs w:val="1"/>
                <w:color w:val="auto"/>
              </w:rPr>
            </w:pPr>
          </w:p>
        </w:tc>
      </w:tr>
      <w:tr>
        <w:trPr>
          <w:trHeight w:val="217"/>
        </w:trPr>
        <w:tc>
          <w:tcPr>
            <w:tcW w:w="9020" w:type="dxa"/>
            <w:vAlign w:val="bottom"/>
            <w:gridSpan w:val="2"/>
          </w:tcPr>
          <w:p>
            <w:pPr>
              <w:ind w:left="540"/>
              <w:spacing w:after="0"/>
              <w:rPr>
                <w:sz w:val="20"/>
                <w:szCs w:val="20"/>
                <w:color w:val="auto"/>
              </w:rPr>
            </w:pPr>
            <w:r>
              <w:rPr>
                <w:rFonts w:ascii="Arial" w:cs="Arial" w:eastAsia="Arial" w:hAnsi="Arial"/>
                <w:sz w:val="16"/>
                <w:szCs w:val="16"/>
                <w:color w:val="auto"/>
              </w:rPr>
              <w:t>Total Fidelity National Financial, Inc. shareholders’ equity</w:t>
            </w: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5,955</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5,068</w:t>
            </w:r>
          </w:p>
        </w:tc>
        <w:tc>
          <w:tcPr>
            <w:tcW w:w="0" w:type="dxa"/>
            <w:vAlign w:val="bottom"/>
          </w:tcPr>
          <w:p>
            <w:pPr>
              <w:spacing w:after="0"/>
              <w:rPr>
                <w:sz w:val="1"/>
                <w:szCs w:val="1"/>
                <w:color w:val="auto"/>
              </w:rPr>
            </w:pPr>
          </w:p>
        </w:tc>
      </w:tr>
      <w:tr>
        <w:trPr>
          <w:trHeight w:val="33"/>
        </w:trPr>
        <w:tc>
          <w:tcPr>
            <w:tcW w:w="90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Non-controlling interests</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414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474</w:t>
            </w:r>
          </w:p>
        </w:tc>
        <w:tc>
          <w:tcPr>
            <w:tcW w:w="0" w:type="dxa"/>
            <w:vAlign w:val="bottom"/>
          </w:tcPr>
          <w:p>
            <w:pPr>
              <w:spacing w:after="0"/>
              <w:rPr>
                <w:sz w:val="1"/>
                <w:szCs w:val="1"/>
                <w:color w:val="auto"/>
              </w:rPr>
            </w:pPr>
          </w:p>
        </w:tc>
      </w:tr>
      <w:tr>
        <w:trPr>
          <w:trHeight w:val="217"/>
        </w:trPr>
        <w:tc>
          <w:tcPr>
            <w:tcW w:w="9020" w:type="dxa"/>
            <w:vAlign w:val="bottom"/>
            <w:gridSpan w:val="2"/>
          </w:tcPr>
          <w:p>
            <w:pPr>
              <w:ind w:left="540"/>
              <w:spacing w:after="0"/>
              <w:rPr>
                <w:sz w:val="20"/>
                <w:szCs w:val="20"/>
                <w:color w:val="auto"/>
              </w:rPr>
            </w:pPr>
            <w:r>
              <w:rPr>
                <w:rFonts w:ascii="Arial" w:cs="Arial" w:eastAsia="Arial" w:hAnsi="Arial"/>
                <w:sz w:val="16"/>
                <w:szCs w:val="16"/>
                <w:color w:val="auto"/>
              </w:rPr>
              <w:t>Total equity</w:t>
            </w: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6,369</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5,542</w:t>
            </w:r>
          </w:p>
        </w:tc>
        <w:tc>
          <w:tcPr>
            <w:tcW w:w="0" w:type="dxa"/>
            <w:vAlign w:val="bottom"/>
          </w:tcPr>
          <w:p>
            <w:pPr>
              <w:spacing w:after="0"/>
              <w:rPr>
                <w:sz w:val="1"/>
                <w:szCs w:val="1"/>
                <w:color w:val="auto"/>
              </w:rPr>
            </w:pPr>
          </w:p>
        </w:tc>
      </w:tr>
      <w:tr>
        <w:trPr>
          <w:trHeight w:val="33"/>
        </w:trPr>
        <w:tc>
          <w:tcPr>
            <w:tcW w:w="920" w:type="dxa"/>
            <w:vAlign w:val="bottom"/>
            <w:tcBorders>
              <w:bottom w:val="single" w:sz="8" w:color="CCEEFF"/>
            </w:tcBorders>
          </w:tcPr>
          <w:p>
            <w:pPr>
              <w:spacing w:after="0"/>
              <w:rPr>
                <w:sz w:val="2"/>
                <w:szCs w:val="2"/>
                <w:color w:val="auto"/>
              </w:rPr>
            </w:pPr>
          </w:p>
        </w:tc>
        <w:tc>
          <w:tcPr>
            <w:tcW w:w="8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920" w:type="dxa"/>
            <w:vAlign w:val="bottom"/>
            <w:tcBorders>
              <w:bottom w:val="single" w:sz="8" w:color="CCEEFF"/>
            </w:tcBorders>
            <w:shd w:val="clear" w:color="auto" w:fill="CCEEFF"/>
          </w:tcPr>
          <w:p>
            <w:pPr>
              <w:spacing w:after="0"/>
              <w:rPr>
                <w:sz w:val="21"/>
                <w:szCs w:val="21"/>
                <w:color w:val="auto"/>
              </w:rPr>
            </w:pPr>
          </w:p>
        </w:tc>
        <w:tc>
          <w:tcPr>
            <w:tcW w:w="8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14,843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10,524</w:t>
            </w:r>
          </w:p>
        </w:tc>
        <w:tc>
          <w:tcPr>
            <w:tcW w:w="0" w:type="dxa"/>
            <w:vAlign w:val="bottom"/>
          </w:tcPr>
          <w:p>
            <w:pPr>
              <w:spacing w:after="0"/>
              <w:rPr>
                <w:sz w:val="1"/>
                <w:szCs w:val="1"/>
                <w:color w:val="auto"/>
              </w:rPr>
            </w:pPr>
          </w:p>
        </w:tc>
      </w:tr>
      <w:tr>
        <w:trPr>
          <w:trHeight w:val="20"/>
        </w:trPr>
        <w:tc>
          <w:tcPr>
            <w:tcW w:w="920" w:type="dxa"/>
            <w:vAlign w:val="bottom"/>
            <w:tcBorders>
              <w:top w:val="single" w:sz="8" w:color="CCEEFF"/>
            </w:tcBorders>
          </w:tcPr>
          <w:p>
            <w:pPr>
              <w:spacing w:after="0" w:line="20" w:lineRule="exact"/>
              <w:rPr>
                <w:sz w:val="1"/>
                <w:szCs w:val="1"/>
                <w:color w:val="auto"/>
              </w:rPr>
            </w:pPr>
          </w:p>
        </w:tc>
        <w:tc>
          <w:tcPr>
            <w:tcW w:w="8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Condensed Consolidated Financial Statements</w:t>
      </w:r>
    </w:p>
    <w:p>
      <w:pPr>
        <w:sectPr>
          <w:pgSz w:w="11900" w:h="16838" w:orient="portrait"/>
          <w:cols w:equalWidth="0" w:num="1">
            <w:col w:w="11420"/>
          </w:cols>
          <w:pgMar w:left="240" w:top="121" w:right="239" w:bottom="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1" w:right="239" w:bottom="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CONDENSED CONSOLIDATED STATEMENTS OF EARNINGS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8000" w:type="dxa"/>
            <w:vAlign w:val="bottom"/>
          </w:tcPr>
          <w:p>
            <w:pPr>
              <w:ind w:left="4640"/>
              <w:spacing w:after="0"/>
              <w:rPr>
                <w:sz w:val="20"/>
                <w:szCs w:val="20"/>
                <w:color w:val="auto"/>
              </w:rPr>
            </w:pPr>
            <w:r>
              <w:rPr>
                <w:rFonts w:ascii="Arial" w:cs="Arial" w:eastAsia="Arial" w:hAnsi="Arial"/>
                <w:sz w:val="13"/>
                <w:szCs w:val="13"/>
                <w:color w:val="auto"/>
              </w:rPr>
              <w:t>(Dollars in millions, except per share data)</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7"/>
        </w:trPr>
        <w:tc>
          <w:tcPr>
            <w:tcW w:w="8000" w:type="dxa"/>
            <w:vAlign w:val="bottom"/>
          </w:tcPr>
          <w:p>
            <w:pPr>
              <w:spacing w:after="0"/>
              <w:rPr>
                <w:sz w:val="24"/>
                <w:szCs w:val="24"/>
                <w:color w:val="auto"/>
              </w:rPr>
            </w:pPr>
          </w:p>
        </w:tc>
        <w:tc>
          <w:tcPr>
            <w:tcW w:w="1860" w:type="dxa"/>
            <w:vAlign w:val="bottom"/>
            <w:gridSpan w:val="7"/>
          </w:tcPr>
          <w:p>
            <w:pPr>
              <w:jc w:val="center"/>
              <w:ind w:right="60"/>
              <w:spacing w:after="0"/>
              <w:rPr>
                <w:sz w:val="20"/>
                <w:szCs w:val="20"/>
                <w:color w:val="auto"/>
              </w:rPr>
            </w:pPr>
            <w:r>
              <w:rPr>
                <w:rFonts w:ascii="Arial" w:cs="Arial" w:eastAsia="Arial" w:hAnsi="Arial"/>
                <w:sz w:val="14"/>
                <w:szCs w:val="14"/>
                <w:b w:val="1"/>
                <w:bCs w:val="1"/>
                <w:color w:val="auto"/>
                <w:w w:val="91"/>
              </w:rPr>
              <w:t>Three months ended June</w:t>
            </w:r>
          </w:p>
        </w:tc>
        <w:tc>
          <w:tcPr>
            <w:tcW w:w="1560" w:type="dxa"/>
            <w:vAlign w:val="bottom"/>
            <w:gridSpan w:val="5"/>
          </w:tcPr>
          <w:p>
            <w:pPr>
              <w:jc w:val="right"/>
              <w:spacing w:after="0"/>
              <w:rPr>
                <w:sz w:val="20"/>
                <w:szCs w:val="20"/>
                <w:color w:val="auto"/>
              </w:rPr>
            </w:pPr>
            <w:r>
              <w:rPr>
                <w:rFonts w:ascii="Arial" w:cs="Arial" w:eastAsia="Arial" w:hAnsi="Arial"/>
                <w:sz w:val="14"/>
                <w:szCs w:val="14"/>
                <w:b w:val="1"/>
                <w:bCs w:val="1"/>
                <w:color w:val="auto"/>
                <w:w w:val="94"/>
              </w:rPr>
              <w:t>Six months ended June</w:t>
            </w:r>
          </w:p>
        </w:tc>
        <w:tc>
          <w:tcPr>
            <w:tcW w:w="0" w:type="dxa"/>
            <w:vAlign w:val="bottom"/>
          </w:tcPr>
          <w:p>
            <w:pPr>
              <w:spacing w:after="0"/>
              <w:rPr>
                <w:sz w:val="1"/>
                <w:szCs w:val="1"/>
                <w:color w:val="auto"/>
              </w:rPr>
            </w:pPr>
          </w:p>
        </w:tc>
      </w:tr>
      <w:tr>
        <w:trPr>
          <w:trHeight w:val="192"/>
        </w:trPr>
        <w:tc>
          <w:tcPr>
            <w:tcW w:w="80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2"/>
              </w:rPr>
              <w:t>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30,</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0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8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5"/>
              </w:rPr>
              <w:t>(Unaudited)</w:t>
            </w:r>
          </w:p>
        </w:tc>
        <w:tc>
          <w:tcPr>
            <w:tcW w:w="140" w:type="dxa"/>
            <w:vAlign w:val="bottom"/>
          </w:tcPr>
          <w:p>
            <w:pPr>
              <w:spacing w:after="0"/>
              <w:rPr>
                <w:sz w:val="21"/>
                <w:szCs w:val="21"/>
                <w:color w:val="auto"/>
              </w:rPr>
            </w:pPr>
          </w:p>
        </w:tc>
        <w:tc>
          <w:tcPr>
            <w:tcW w:w="1420" w:type="dxa"/>
            <w:vAlign w:val="bottom"/>
            <w:gridSpan w:val="4"/>
          </w:tcPr>
          <w:p>
            <w:pPr>
              <w:jc w:val="right"/>
              <w:ind w:right="328"/>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76"/>
        </w:trPr>
        <w:tc>
          <w:tcPr>
            <w:tcW w:w="8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000" w:type="dxa"/>
            <w:vAlign w:val="bottom"/>
          </w:tcPr>
          <w:p>
            <w:pPr>
              <w:ind w:left="280"/>
              <w:spacing w:after="0"/>
              <w:rPr>
                <w:sz w:val="20"/>
                <w:szCs w:val="20"/>
                <w:color w:val="auto"/>
              </w:rPr>
            </w:pPr>
            <w:r>
              <w:rPr>
                <w:rFonts w:ascii="Arial" w:cs="Arial" w:eastAsia="Arial" w:hAnsi="Arial"/>
                <w:sz w:val="14"/>
                <w:szCs w:val="14"/>
                <w:color w:val="auto"/>
              </w:rPr>
              <w:t>Direct title insurance premiums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433</w:t>
            </w:r>
          </w:p>
        </w:tc>
        <w:tc>
          <w:tcPr>
            <w:tcW w:w="34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492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784</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905</w:t>
            </w:r>
          </w:p>
        </w:tc>
        <w:tc>
          <w:tcPr>
            <w:tcW w:w="0" w:type="dxa"/>
            <w:vAlign w:val="bottom"/>
          </w:tcPr>
          <w:p>
            <w:pPr>
              <w:spacing w:after="0"/>
              <w:rPr>
                <w:sz w:val="1"/>
                <w:szCs w:val="1"/>
                <w:color w:val="auto"/>
              </w:rPr>
            </w:pPr>
          </w:p>
        </w:tc>
      </w:tr>
      <w:tr>
        <w:trPr>
          <w:trHeight w:val="276"/>
        </w:trPr>
        <w:tc>
          <w:tcPr>
            <w:tcW w:w="8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Agency title insurance premiums</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518</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1,149</w:t>
            </w:r>
          </w:p>
        </w:tc>
        <w:tc>
          <w:tcPr>
            <w:tcW w:w="0" w:type="dxa"/>
            <w:vAlign w:val="bottom"/>
          </w:tcPr>
          <w:p>
            <w:pPr>
              <w:spacing w:after="0"/>
              <w:rPr>
                <w:sz w:val="1"/>
                <w:szCs w:val="1"/>
                <w:color w:val="auto"/>
              </w:rPr>
            </w:pPr>
          </w:p>
        </w:tc>
      </w:tr>
      <w:tr>
        <w:trPr>
          <w:trHeight w:val="264"/>
        </w:trPr>
        <w:tc>
          <w:tcPr>
            <w:tcW w:w="8000" w:type="dxa"/>
            <w:vAlign w:val="bottom"/>
          </w:tcPr>
          <w:p>
            <w:pPr>
              <w:ind w:left="280"/>
              <w:spacing w:after="0"/>
              <w:rPr>
                <w:sz w:val="20"/>
                <w:szCs w:val="20"/>
                <w:color w:val="auto"/>
              </w:rPr>
            </w:pPr>
            <w:r>
              <w:rPr>
                <w:rFonts w:ascii="Arial" w:cs="Arial" w:eastAsia="Arial" w:hAnsi="Arial"/>
                <w:sz w:val="14"/>
                <w:szCs w:val="14"/>
                <w:color w:val="auto"/>
              </w:rPr>
              <w:t>Escrow, title related and other fees</w:t>
            </w:r>
          </w:p>
        </w:tc>
        <w:tc>
          <w:tcPr>
            <w:tcW w:w="180" w:type="dxa"/>
            <w:vAlign w:val="bottom"/>
          </w:tcPr>
          <w:p>
            <w:pPr>
              <w:spacing w:after="0"/>
              <w:rPr>
                <w:sz w:val="22"/>
                <w:szCs w:val="22"/>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716</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489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1,362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924</w:t>
            </w:r>
          </w:p>
        </w:tc>
        <w:tc>
          <w:tcPr>
            <w:tcW w:w="0" w:type="dxa"/>
            <w:vAlign w:val="bottom"/>
          </w:tcPr>
          <w:p>
            <w:pPr>
              <w:spacing w:after="0"/>
              <w:rPr>
                <w:sz w:val="1"/>
                <w:szCs w:val="1"/>
                <w:color w:val="auto"/>
              </w:rPr>
            </w:pPr>
          </w:p>
        </w:tc>
      </w:tr>
      <w:tr>
        <w:trPr>
          <w:trHeight w:val="276"/>
        </w:trPr>
        <w:tc>
          <w:tcPr>
            <w:tcW w:w="8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Restaurant revenue</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358</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701</w:t>
            </w:r>
          </w:p>
        </w:tc>
        <w:tc>
          <w:tcPr>
            <w:tcW w:w="0" w:type="dxa"/>
            <w:vAlign w:val="bottom"/>
          </w:tcPr>
          <w:p>
            <w:pPr>
              <w:spacing w:after="0"/>
              <w:rPr>
                <w:sz w:val="1"/>
                <w:szCs w:val="1"/>
                <w:color w:val="auto"/>
              </w:rPr>
            </w:pPr>
          </w:p>
        </w:tc>
      </w:tr>
      <w:tr>
        <w:trPr>
          <w:trHeight w:val="264"/>
        </w:trPr>
        <w:tc>
          <w:tcPr>
            <w:tcW w:w="8000" w:type="dxa"/>
            <w:vAlign w:val="bottom"/>
          </w:tcPr>
          <w:p>
            <w:pPr>
              <w:ind w:left="280"/>
              <w:spacing w:after="0"/>
              <w:rPr>
                <w:sz w:val="20"/>
                <w:szCs w:val="20"/>
                <w:color w:val="auto"/>
              </w:rPr>
            </w:pPr>
            <w:r>
              <w:rPr>
                <w:rFonts w:ascii="Arial" w:cs="Arial" w:eastAsia="Arial" w:hAnsi="Arial"/>
                <w:sz w:val="14"/>
                <w:szCs w:val="14"/>
                <w:color w:val="auto"/>
              </w:rPr>
              <w:t>Auto parts revenue</w:t>
            </w:r>
          </w:p>
        </w:tc>
        <w:tc>
          <w:tcPr>
            <w:tcW w:w="180" w:type="dxa"/>
            <w:vAlign w:val="bottom"/>
          </w:tcPr>
          <w:p>
            <w:pPr>
              <w:spacing w:after="0"/>
              <w:rPr>
                <w:sz w:val="22"/>
                <w:szCs w:val="22"/>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300</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284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602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568</w:t>
            </w:r>
          </w:p>
        </w:tc>
        <w:tc>
          <w:tcPr>
            <w:tcW w:w="0" w:type="dxa"/>
            <w:vAlign w:val="bottom"/>
          </w:tcPr>
          <w:p>
            <w:pPr>
              <w:spacing w:after="0"/>
              <w:rPr>
                <w:sz w:val="1"/>
                <w:szCs w:val="1"/>
                <w:color w:val="auto"/>
              </w:rPr>
            </w:pPr>
          </w:p>
        </w:tc>
      </w:tr>
      <w:tr>
        <w:trPr>
          <w:trHeight w:val="276"/>
        </w:trPr>
        <w:tc>
          <w:tcPr>
            <w:tcW w:w="8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Interest and investment income</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64"/>
        </w:trPr>
        <w:tc>
          <w:tcPr>
            <w:tcW w:w="80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Realized gains and losses, net</w:t>
            </w: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56"/>
        </w:trPr>
        <w:tc>
          <w:tcPr>
            <w:tcW w:w="8000" w:type="dxa"/>
            <w:vAlign w:val="bottom"/>
            <w:shd w:val="clear" w:color="auto" w:fill="CCEEFF"/>
          </w:tcPr>
          <w:p>
            <w:pPr>
              <w:ind w:left="820"/>
              <w:spacing w:after="0"/>
              <w:rPr>
                <w:sz w:val="20"/>
                <w:szCs w:val="20"/>
                <w:color w:val="auto"/>
              </w:rPr>
            </w:pPr>
            <w:r>
              <w:rPr>
                <w:rFonts w:ascii="Arial" w:cs="Arial" w:eastAsia="Arial" w:hAnsi="Arial"/>
                <w:sz w:val="14"/>
                <w:szCs w:val="14"/>
                <w:color w:val="auto"/>
              </w:rPr>
              <w:t>Total revenues</w:t>
            </w: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2,359</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2,279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4,448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4,320</w:t>
            </w:r>
          </w:p>
        </w:tc>
        <w:tc>
          <w:tcPr>
            <w:tcW w:w="0" w:type="dxa"/>
            <w:vAlign w:val="bottom"/>
          </w:tcPr>
          <w:p>
            <w:pPr>
              <w:spacing w:after="0"/>
              <w:rPr>
                <w:sz w:val="1"/>
                <w:szCs w:val="1"/>
                <w:color w:val="auto"/>
              </w:rPr>
            </w:pPr>
          </w:p>
        </w:tc>
      </w:tr>
      <w:tr>
        <w:trPr>
          <w:trHeight w:val="264"/>
        </w:trPr>
        <w:tc>
          <w:tcPr>
            <w:tcW w:w="8000" w:type="dxa"/>
            <w:vAlign w:val="bottom"/>
          </w:tcPr>
          <w:p>
            <w:pPr>
              <w:ind w:left="40"/>
              <w:spacing w:after="0"/>
              <w:rPr>
                <w:sz w:val="20"/>
                <w:szCs w:val="20"/>
                <w:color w:val="auto"/>
              </w:rPr>
            </w:pPr>
            <w:r>
              <w:rPr>
                <w:rFonts w:ascii="Arial" w:cs="Arial" w:eastAsia="Arial" w:hAnsi="Arial"/>
                <w:sz w:val="14"/>
                <w:szCs w:val="14"/>
                <w:color w:val="auto"/>
              </w:rPr>
              <w:t>Expenses:</w:t>
            </w: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Personnel costs</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645</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1,065</w:t>
            </w:r>
          </w:p>
        </w:tc>
        <w:tc>
          <w:tcPr>
            <w:tcW w:w="0" w:type="dxa"/>
            <w:vAlign w:val="bottom"/>
          </w:tcPr>
          <w:p>
            <w:pPr>
              <w:spacing w:after="0"/>
              <w:rPr>
                <w:sz w:val="1"/>
                <w:szCs w:val="1"/>
                <w:color w:val="auto"/>
              </w:rPr>
            </w:pPr>
          </w:p>
        </w:tc>
      </w:tr>
      <w:tr>
        <w:trPr>
          <w:trHeight w:val="264"/>
        </w:trPr>
        <w:tc>
          <w:tcPr>
            <w:tcW w:w="8000" w:type="dxa"/>
            <w:vAlign w:val="bottom"/>
          </w:tcPr>
          <w:p>
            <w:pPr>
              <w:ind w:left="280"/>
              <w:spacing w:after="0"/>
              <w:rPr>
                <w:sz w:val="20"/>
                <w:szCs w:val="20"/>
                <w:color w:val="auto"/>
              </w:rPr>
            </w:pPr>
            <w:r>
              <w:rPr>
                <w:rFonts w:ascii="Arial" w:cs="Arial" w:eastAsia="Arial" w:hAnsi="Arial"/>
                <w:sz w:val="14"/>
                <w:szCs w:val="14"/>
                <w:color w:val="auto"/>
              </w:rPr>
              <w:t>Agent commissions</w:t>
            </w:r>
          </w:p>
        </w:tc>
        <w:tc>
          <w:tcPr>
            <w:tcW w:w="180" w:type="dxa"/>
            <w:vAlign w:val="bottom"/>
          </w:tcPr>
          <w:p>
            <w:pPr>
              <w:spacing w:after="0"/>
              <w:rPr>
                <w:sz w:val="22"/>
                <w:szCs w:val="22"/>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395</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473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702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870</w:t>
            </w:r>
          </w:p>
        </w:tc>
        <w:tc>
          <w:tcPr>
            <w:tcW w:w="0" w:type="dxa"/>
            <w:vAlign w:val="bottom"/>
          </w:tcPr>
          <w:p>
            <w:pPr>
              <w:spacing w:after="0"/>
              <w:rPr>
                <w:sz w:val="1"/>
                <w:szCs w:val="1"/>
                <w:color w:val="auto"/>
              </w:rPr>
            </w:pPr>
          </w:p>
        </w:tc>
      </w:tr>
      <w:tr>
        <w:trPr>
          <w:trHeight w:val="276"/>
        </w:trPr>
        <w:tc>
          <w:tcPr>
            <w:tcW w:w="8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operating expenses</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417</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691</w:t>
            </w:r>
          </w:p>
        </w:tc>
        <w:tc>
          <w:tcPr>
            <w:tcW w:w="0" w:type="dxa"/>
            <w:vAlign w:val="bottom"/>
          </w:tcPr>
          <w:p>
            <w:pPr>
              <w:spacing w:after="0"/>
              <w:rPr>
                <w:sz w:val="1"/>
                <w:szCs w:val="1"/>
                <w:color w:val="auto"/>
              </w:rPr>
            </w:pPr>
          </w:p>
        </w:tc>
      </w:tr>
      <w:tr>
        <w:trPr>
          <w:trHeight w:val="157"/>
        </w:trPr>
        <w:tc>
          <w:tcPr>
            <w:tcW w:w="8000" w:type="dxa"/>
            <w:vAlign w:val="bottom"/>
          </w:tcPr>
          <w:p>
            <w:pPr>
              <w:ind w:left="280"/>
              <w:spacing w:after="0" w:line="157" w:lineRule="exact"/>
              <w:rPr>
                <w:sz w:val="20"/>
                <w:szCs w:val="20"/>
                <w:color w:val="auto"/>
              </w:rPr>
            </w:pPr>
            <w:r>
              <w:rPr>
                <w:rFonts w:ascii="Arial" w:cs="Arial" w:eastAsia="Arial" w:hAnsi="Arial"/>
                <w:sz w:val="14"/>
                <w:szCs w:val="14"/>
                <w:color w:val="auto"/>
                <w:w w:val="98"/>
              </w:rPr>
              <w:t>Cost of auto parts revenue, includes $18 of depreciation and amortization for the three months ended June 30, 2014 and 2013,</w:t>
            </w:r>
          </w:p>
        </w:tc>
        <w:tc>
          <w:tcPr>
            <w:tcW w:w="180" w:type="dxa"/>
            <w:vAlign w:val="bottom"/>
          </w:tcPr>
          <w:p>
            <w:pPr>
              <w:spacing w:after="0"/>
              <w:rPr>
                <w:sz w:val="13"/>
                <w:szCs w:val="13"/>
                <w:color w:val="auto"/>
              </w:rPr>
            </w:pPr>
          </w:p>
        </w:tc>
        <w:tc>
          <w:tcPr>
            <w:tcW w:w="600" w:type="dxa"/>
            <w:vAlign w:val="bottom"/>
          </w:tcPr>
          <w:p>
            <w:pPr>
              <w:jc w:val="right"/>
              <w:ind w:right="8"/>
              <w:spacing w:after="0" w:line="157" w:lineRule="exact"/>
              <w:rPr>
                <w:sz w:val="20"/>
                <w:szCs w:val="20"/>
                <w:color w:val="auto"/>
              </w:rPr>
            </w:pPr>
            <w:r>
              <w:rPr>
                <w:rFonts w:ascii="Arial" w:cs="Arial" w:eastAsia="Arial" w:hAnsi="Arial"/>
                <w:sz w:val="14"/>
                <w:szCs w:val="14"/>
                <w:color w:val="auto"/>
              </w:rPr>
              <w:t>251</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28"/>
              <w:spacing w:after="0" w:line="157" w:lineRule="exact"/>
              <w:rPr>
                <w:sz w:val="20"/>
                <w:szCs w:val="20"/>
                <w:color w:val="auto"/>
              </w:rPr>
            </w:pPr>
            <w:r>
              <w:rPr>
                <w:rFonts w:ascii="Arial" w:cs="Arial" w:eastAsia="Arial" w:hAnsi="Arial"/>
                <w:sz w:val="14"/>
                <w:szCs w:val="14"/>
                <w:color w:val="auto"/>
              </w:rPr>
              <w:t>241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28"/>
              <w:spacing w:after="0" w:line="157" w:lineRule="exact"/>
              <w:rPr>
                <w:sz w:val="20"/>
                <w:szCs w:val="20"/>
                <w:color w:val="auto"/>
              </w:rPr>
            </w:pPr>
            <w:r>
              <w:rPr>
                <w:rFonts w:ascii="Arial" w:cs="Arial" w:eastAsia="Arial" w:hAnsi="Arial"/>
                <w:sz w:val="14"/>
                <w:szCs w:val="14"/>
                <w:color w:val="auto"/>
              </w:rPr>
              <w:t>505</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ind w:right="28"/>
              <w:spacing w:after="0" w:line="157" w:lineRule="exact"/>
              <w:rPr>
                <w:sz w:val="20"/>
                <w:szCs w:val="20"/>
                <w:color w:val="auto"/>
              </w:rPr>
            </w:pPr>
            <w:r>
              <w:rPr>
                <w:rFonts w:ascii="Arial" w:cs="Arial" w:eastAsia="Arial" w:hAnsi="Arial"/>
                <w:sz w:val="14"/>
                <w:szCs w:val="14"/>
                <w:color w:val="auto"/>
              </w:rPr>
              <w:t>481</w:t>
            </w:r>
          </w:p>
        </w:tc>
        <w:tc>
          <w:tcPr>
            <w:tcW w:w="0" w:type="dxa"/>
            <w:vAlign w:val="bottom"/>
          </w:tcPr>
          <w:p>
            <w:pPr>
              <w:spacing w:after="0"/>
              <w:rPr>
                <w:sz w:val="1"/>
                <w:szCs w:val="1"/>
                <w:color w:val="auto"/>
              </w:rPr>
            </w:pPr>
          </w:p>
        </w:tc>
      </w:tr>
      <w:tr>
        <w:trPr>
          <w:trHeight w:val="188"/>
        </w:trPr>
        <w:tc>
          <w:tcPr>
            <w:tcW w:w="8000" w:type="dxa"/>
            <w:vAlign w:val="bottom"/>
          </w:tcPr>
          <w:p>
            <w:pPr>
              <w:ind w:left="280"/>
              <w:spacing w:after="0"/>
              <w:rPr>
                <w:sz w:val="20"/>
                <w:szCs w:val="20"/>
                <w:color w:val="auto"/>
              </w:rPr>
            </w:pPr>
            <w:r>
              <w:rPr>
                <w:rFonts w:ascii="Arial" w:cs="Arial" w:eastAsia="Arial" w:hAnsi="Arial"/>
                <w:sz w:val="14"/>
                <w:szCs w:val="14"/>
                <w:color w:val="auto"/>
              </w:rPr>
              <w:t>respectively, and $32 and $36 for the six months ended June 30, 2014 and 2013, respectively</w:t>
            </w: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8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Cost of restaurant revenue</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303</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597</w:t>
            </w:r>
          </w:p>
        </w:tc>
        <w:tc>
          <w:tcPr>
            <w:tcW w:w="0" w:type="dxa"/>
            <w:vAlign w:val="bottom"/>
          </w:tcPr>
          <w:p>
            <w:pPr>
              <w:spacing w:after="0"/>
              <w:rPr>
                <w:sz w:val="1"/>
                <w:szCs w:val="1"/>
                <w:color w:val="auto"/>
              </w:rPr>
            </w:pPr>
          </w:p>
        </w:tc>
      </w:tr>
      <w:tr>
        <w:trPr>
          <w:trHeight w:val="264"/>
        </w:trPr>
        <w:tc>
          <w:tcPr>
            <w:tcW w:w="8000" w:type="dxa"/>
            <w:vAlign w:val="bottom"/>
          </w:tcPr>
          <w:p>
            <w:pPr>
              <w:ind w:left="280"/>
              <w:spacing w:after="0"/>
              <w:rPr>
                <w:sz w:val="20"/>
                <w:szCs w:val="20"/>
                <w:color w:val="auto"/>
              </w:rPr>
            </w:pPr>
            <w:r>
              <w:rPr>
                <w:rFonts w:ascii="Arial" w:cs="Arial" w:eastAsia="Arial" w:hAnsi="Arial"/>
                <w:sz w:val="14"/>
                <w:szCs w:val="14"/>
                <w:color w:val="auto"/>
              </w:rPr>
              <w:t>Depreciation and amortization</w:t>
            </w:r>
          </w:p>
        </w:tc>
        <w:tc>
          <w:tcPr>
            <w:tcW w:w="180" w:type="dxa"/>
            <w:vAlign w:val="bottom"/>
          </w:tcPr>
          <w:p>
            <w:pPr>
              <w:spacing w:after="0"/>
              <w:rPr>
                <w:sz w:val="22"/>
                <w:szCs w:val="22"/>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85</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203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276"/>
        </w:trPr>
        <w:tc>
          <w:tcPr>
            <w:tcW w:w="8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Provision for title claim losses</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264"/>
        </w:trPr>
        <w:tc>
          <w:tcPr>
            <w:tcW w:w="80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Interest expense</w:t>
            </w: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50"/>
        </w:trPr>
        <w:tc>
          <w:tcPr>
            <w:tcW w:w="8000" w:type="dxa"/>
            <w:vAlign w:val="bottom"/>
            <w:shd w:val="clear" w:color="auto" w:fill="CCEEFF"/>
          </w:tcPr>
          <w:p>
            <w:pPr>
              <w:ind w:left="820"/>
              <w:spacing w:after="0"/>
              <w:rPr>
                <w:sz w:val="20"/>
                <w:szCs w:val="20"/>
                <w:color w:val="auto"/>
              </w:rPr>
            </w:pPr>
            <w:r>
              <w:rPr>
                <w:rFonts w:ascii="Arial" w:cs="Arial" w:eastAsia="Arial" w:hAnsi="Arial"/>
                <w:sz w:val="14"/>
                <w:szCs w:val="14"/>
                <w:color w:val="auto"/>
              </w:rPr>
              <w:t>Total expenses</w:t>
            </w:r>
          </w:p>
        </w:tc>
        <w:tc>
          <w:tcPr>
            <w:tcW w:w="1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2,191</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2,056</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4,359</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3,960</w:t>
            </w:r>
          </w:p>
        </w:tc>
        <w:tc>
          <w:tcPr>
            <w:tcW w:w="0" w:type="dxa"/>
            <w:vAlign w:val="bottom"/>
          </w:tcPr>
          <w:p>
            <w:pPr>
              <w:spacing w:after="0"/>
              <w:rPr>
                <w:sz w:val="1"/>
                <w:szCs w:val="1"/>
                <w:color w:val="auto"/>
              </w:rPr>
            </w:pPr>
          </w:p>
        </w:tc>
      </w:tr>
      <w:tr>
        <w:trPr>
          <w:trHeight w:val="250"/>
        </w:trPr>
        <w:tc>
          <w:tcPr>
            <w:tcW w:w="8000" w:type="dxa"/>
            <w:vAlign w:val="bottom"/>
          </w:tcPr>
          <w:p>
            <w:pPr>
              <w:ind w:left="40"/>
              <w:spacing w:after="0"/>
              <w:rPr>
                <w:sz w:val="20"/>
                <w:szCs w:val="20"/>
                <w:color w:val="auto"/>
              </w:rPr>
            </w:pPr>
            <w:r>
              <w:rPr>
                <w:rFonts w:ascii="Arial" w:cs="Arial" w:eastAsia="Arial" w:hAnsi="Arial"/>
                <w:sz w:val="14"/>
                <w:szCs w:val="14"/>
                <w:color w:val="auto"/>
              </w:rPr>
              <w:t>Earnings from continuing operations before income taxes and equity in losses of unconsolidated affiliates</w:t>
            </w:r>
          </w:p>
        </w:tc>
        <w:tc>
          <w:tcPr>
            <w:tcW w:w="180" w:type="dxa"/>
            <w:vAlign w:val="bottom"/>
          </w:tcPr>
          <w:p>
            <w:pPr>
              <w:spacing w:after="0"/>
              <w:rPr>
                <w:sz w:val="21"/>
                <w:szCs w:val="21"/>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168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360</w:t>
            </w:r>
          </w:p>
        </w:tc>
        <w:tc>
          <w:tcPr>
            <w:tcW w:w="0" w:type="dxa"/>
            <w:vAlign w:val="bottom"/>
          </w:tcPr>
          <w:p>
            <w:pPr>
              <w:spacing w:after="0"/>
              <w:rPr>
                <w:sz w:val="1"/>
                <w:szCs w:val="1"/>
                <w:color w:val="auto"/>
              </w:rPr>
            </w:pPr>
          </w:p>
        </w:tc>
      </w:tr>
      <w:tr>
        <w:trPr>
          <w:trHeight w:val="270"/>
        </w:trPr>
        <w:tc>
          <w:tcPr>
            <w:tcW w:w="8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expense</w:t>
            </w: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57</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250"/>
        </w:trPr>
        <w:tc>
          <w:tcPr>
            <w:tcW w:w="8000" w:type="dxa"/>
            <w:vAlign w:val="bottom"/>
          </w:tcPr>
          <w:p>
            <w:pPr>
              <w:ind w:left="40"/>
              <w:spacing w:after="0"/>
              <w:rPr>
                <w:sz w:val="20"/>
                <w:szCs w:val="20"/>
                <w:color w:val="auto"/>
              </w:rPr>
            </w:pPr>
            <w:r>
              <w:rPr>
                <w:rFonts w:ascii="Arial" w:cs="Arial" w:eastAsia="Arial" w:hAnsi="Arial"/>
                <w:sz w:val="14"/>
                <w:szCs w:val="14"/>
                <w:color w:val="auto"/>
              </w:rPr>
              <w:t>Earnings from continuing operations before equity in losses of unconsolidated affiliates</w:t>
            </w:r>
          </w:p>
        </w:tc>
        <w:tc>
          <w:tcPr>
            <w:tcW w:w="180" w:type="dxa"/>
            <w:vAlign w:val="bottom"/>
          </w:tcPr>
          <w:p>
            <w:pPr>
              <w:spacing w:after="0"/>
              <w:rPr>
                <w:sz w:val="21"/>
                <w:szCs w:val="21"/>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111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270"/>
        </w:trPr>
        <w:tc>
          <w:tcPr>
            <w:tcW w:w="8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losses of unconsolidated affiliates</w:t>
            </w: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50"/>
        </w:trPr>
        <w:tc>
          <w:tcPr>
            <w:tcW w:w="8000" w:type="dxa"/>
            <w:vAlign w:val="bottom"/>
          </w:tcPr>
          <w:p>
            <w:pPr>
              <w:ind w:left="40"/>
              <w:spacing w:after="0"/>
              <w:rPr>
                <w:sz w:val="20"/>
                <w:szCs w:val="20"/>
                <w:color w:val="auto"/>
              </w:rPr>
            </w:pPr>
            <w:r>
              <w:rPr>
                <w:rFonts w:ascii="Arial" w:cs="Arial" w:eastAsia="Arial" w:hAnsi="Arial"/>
                <w:sz w:val="14"/>
                <w:szCs w:val="14"/>
                <w:color w:val="auto"/>
              </w:rPr>
              <w:t>Net earnings from continuing operations</w:t>
            </w:r>
          </w:p>
        </w:tc>
        <w:tc>
          <w:tcPr>
            <w:tcW w:w="180" w:type="dxa"/>
            <w:vAlign w:val="bottom"/>
          </w:tcPr>
          <w:p>
            <w:pPr>
              <w:spacing w:after="0"/>
              <w:rPr>
                <w:sz w:val="21"/>
                <w:szCs w:val="21"/>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106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236</w:t>
            </w:r>
          </w:p>
        </w:tc>
        <w:tc>
          <w:tcPr>
            <w:tcW w:w="0" w:type="dxa"/>
            <w:vAlign w:val="bottom"/>
          </w:tcPr>
          <w:p>
            <w:pPr>
              <w:spacing w:after="0"/>
              <w:rPr>
                <w:sz w:val="1"/>
                <w:szCs w:val="1"/>
                <w:color w:val="auto"/>
              </w:rPr>
            </w:pPr>
          </w:p>
        </w:tc>
      </w:tr>
      <w:tr>
        <w:trPr>
          <w:trHeight w:val="270"/>
        </w:trPr>
        <w:tc>
          <w:tcPr>
            <w:tcW w:w="8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from discontinued operations, net of tax</w:t>
            </w: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50"/>
        </w:trPr>
        <w:tc>
          <w:tcPr>
            <w:tcW w:w="8000" w:type="dxa"/>
            <w:vAlign w:val="bottom"/>
          </w:tcPr>
          <w:p>
            <w:pPr>
              <w:ind w:left="40"/>
              <w:spacing w:after="0"/>
              <w:rPr>
                <w:sz w:val="20"/>
                <w:szCs w:val="20"/>
                <w:color w:val="auto"/>
              </w:rPr>
            </w:pPr>
            <w:r>
              <w:rPr>
                <w:rFonts w:ascii="Arial" w:cs="Arial" w:eastAsia="Arial" w:hAnsi="Arial"/>
                <w:sz w:val="14"/>
                <w:szCs w:val="14"/>
                <w:color w:val="auto"/>
              </w:rPr>
              <w:t>Net earnings</w:t>
            </w:r>
          </w:p>
        </w:tc>
        <w:tc>
          <w:tcPr>
            <w:tcW w:w="180" w:type="dxa"/>
            <w:vAlign w:val="bottom"/>
          </w:tcPr>
          <w:p>
            <w:pPr>
              <w:spacing w:after="0"/>
              <w:rPr>
                <w:sz w:val="21"/>
                <w:szCs w:val="21"/>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105</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270"/>
        </w:trPr>
        <w:tc>
          <w:tcPr>
            <w:tcW w:w="8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Net (loss) earnings attributable to non-controlling interests</w:t>
            </w: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43"/>
        </w:trPr>
        <w:tc>
          <w:tcPr>
            <w:tcW w:w="8000" w:type="dxa"/>
            <w:vAlign w:val="bottom"/>
          </w:tcPr>
          <w:p>
            <w:pPr>
              <w:ind w:left="440"/>
              <w:spacing w:after="0"/>
              <w:rPr>
                <w:sz w:val="20"/>
                <w:szCs w:val="20"/>
                <w:color w:val="auto"/>
              </w:rPr>
            </w:pPr>
            <w:r>
              <w:rPr>
                <w:rFonts w:ascii="Arial" w:cs="Arial" w:eastAsia="Arial" w:hAnsi="Arial"/>
                <w:sz w:val="14"/>
                <w:szCs w:val="14"/>
                <w:color w:val="auto"/>
              </w:rPr>
              <w:t>Net earnings attributable to Fidelity National Financial, Inc. common shareholders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115</w:t>
            </w:r>
          </w:p>
        </w:tc>
        <w:tc>
          <w:tcPr>
            <w:tcW w:w="34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93</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Earnings per share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0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800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Basic</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000" w:type="dxa"/>
            <w:vAlign w:val="bottom"/>
          </w:tcPr>
          <w:p>
            <w:pPr>
              <w:ind w:left="40"/>
              <w:spacing w:after="0"/>
              <w:rPr>
                <w:sz w:val="20"/>
                <w:szCs w:val="20"/>
                <w:color w:val="auto"/>
              </w:rPr>
            </w:pPr>
            <w:r>
              <w:rPr>
                <w:rFonts w:ascii="Arial" w:cs="Arial" w:eastAsia="Arial" w:hAnsi="Arial"/>
                <w:sz w:val="14"/>
                <w:szCs w:val="14"/>
                <w:color w:val="auto"/>
              </w:rPr>
              <w:t>Net earnings from continuing operations attributable to Fidelity National Financial, Inc. common shareholders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0.42</w:t>
            </w:r>
          </w:p>
        </w:tc>
        <w:tc>
          <w:tcPr>
            <w:tcW w:w="34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0.62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0.34</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270"/>
        </w:trPr>
        <w:tc>
          <w:tcPr>
            <w:tcW w:w="8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from discontinued operations attributable to Fidelity National Financial, Inc. common shareholders</w:t>
            </w: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83"/>
        </w:trPr>
        <w:tc>
          <w:tcPr>
            <w:tcW w:w="8000" w:type="dxa"/>
            <w:vAlign w:val="bottom"/>
          </w:tcPr>
          <w:p>
            <w:pPr>
              <w:ind w:left="40"/>
              <w:spacing w:after="0"/>
              <w:rPr>
                <w:sz w:val="20"/>
                <w:szCs w:val="20"/>
                <w:color w:val="auto"/>
              </w:rPr>
            </w:pPr>
            <w:r>
              <w:rPr>
                <w:rFonts w:ascii="Arial" w:cs="Arial" w:eastAsia="Arial" w:hAnsi="Arial"/>
                <w:sz w:val="14"/>
                <w:szCs w:val="14"/>
                <w:color w:val="auto"/>
              </w:rPr>
              <w:t>Net earnings attributable to Fidelity National Financial, Inc. common shareholders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0.42</w:t>
            </w:r>
          </w:p>
        </w:tc>
        <w:tc>
          <w:tcPr>
            <w:tcW w:w="34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0.61</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0.34</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251"/>
        </w:trPr>
        <w:tc>
          <w:tcPr>
            <w:tcW w:w="8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i w:val="1"/>
                <w:iCs w:val="1"/>
                <w:color w:val="auto"/>
              </w:rPr>
              <w:t>Diluted</w:t>
            </w:r>
          </w:p>
        </w:tc>
        <w:tc>
          <w:tcPr>
            <w:tcW w:w="180" w:type="dxa"/>
            <w:vAlign w:val="bottom"/>
            <w:tcBorders>
              <w:top w:val="single" w:sz="8" w:color="auto"/>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6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8000" w:type="dxa"/>
            <w:vAlign w:val="bottom"/>
          </w:tcPr>
          <w:p>
            <w:pPr>
              <w:ind w:left="40"/>
              <w:spacing w:after="0"/>
              <w:rPr>
                <w:sz w:val="20"/>
                <w:szCs w:val="20"/>
                <w:color w:val="auto"/>
              </w:rPr>
            </w:pPr>
            <w:r>
              <w:rPr>
                <w:rFonts w:ascii="Arial" w:cs="Arial" w:eastAsia="Arial" w:hAnsi="Arial"/>
                <w:sz w:val="14"/>
                <w:szCs w:val="14"/>
                <w:color w:val="auto"/>
              </w:rPr>
              <w:t>Net earnings from continuing operations attributable to Fidelity National Financial, Inc. common shareholders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0.41</w:t>
            </w:r>
          </w:p>
        </w:tc>
        <w:tc>
          <w:tcPr>
            <w:tcW w:w="34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0.61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0.33</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70"/>
        </w:trPr>
        <w:tc>
          <w:tcPr>
            <w:tcW w:w="8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from discontinued operations attributable to Fidelity National Financial, Inc. common shareholders</w:t>
            </w: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83"/>
        </w:trPr>
        <w:tc>
          <w:tcPr>
            <w:tcW w:w="8000" w:type="dxa"/>
            <w:vAlign w:val="bottom"/>
          </w:tcPr>
          <w:p>
            <w:pPr>
              <w:ind w:left="40"/>
              <w:spacing w:after="0"/>
              <w:rPr>
                <w:sz w:val="20"/>
                <w:szCs w:val="20"/>
                <w:color w:val="auto"/>
              </w:rPr>
            </w:pPr>
            <w:r>
              <w:rPr>
                <w:rFonts w:ascii="Arial" w:cs="Arial" w:eastAsia="Arial" w:hAnsi="Arial"/>
                <w:sz w:val="14"/>
                <w:szCs w:val="14"/>
                <w:color w:val="auto"/>
              </w:rPr>
              <w:t>Net earnings attributable to Fidelity National Financial, Inc. common shareholders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0.41</w:t>
            </w:r>
          </w:p>
        </w:tc>
        <w:tc>
          <w:tcPr>
            <w:tcW w:w="34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0.60</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0.33</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0.99</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Weighted average shares outstanding, basic basis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275</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Weighted average shares outstanding, diluted basis</w:t>
            </w: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283</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229</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282</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230</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dividends paid per share</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0.18</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0.36</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0.32</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8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80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Amounts attributable to Fidelity National Financial, Inc. common shareholders</w:t>
            </w: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000" w:type="dxa"/>
            <w:vAlign w:val="bottom"/>
          </w:tcPr>
          <w:p>
            <w:pPr>
              <w:ind w:left="40"/>
              <w:spacing w:after="0"/>
              <w:rPr>
                <w:sz w:val="20"/>
                <w:szCs w:val="20"/>
                <w:color w:val="auto"/>
              </w:rPr>
            </w:pPr>
            <w:r>
              <w:rPr>
                <w:rFonts w:ascii="Arial" w:cs="Arial" w:eastAsia="Arial" w:hAnsi="Arial"/>
                <w:sz w:val="14"/>
                <w:szCs w:val="14"/>
                <w:color w:val="auto"/>
              </w:rPr>
              <w:t>Basic and diluted net earnings from continuing operations attributable to Fidelity National Financial, Inc. common shareholders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116</w:t>
            </w:r>
          </w:p>
        </w:tc>
        <w:tc>
          <w:tcPr>
            <w:tcW w:w="34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141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94</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231</w:t>
            </w:r>
          </w:p>
        </w:tc>
        <w:tc>
          <w:tcPr>
            <w:tcW w:w="0" w:type="dxa"/>
            <w:vAlign w:val="bottom"/>
          </w:tcPr>
          <w:p>
            <w:pPr>
              <w:spacing w:after="0"/>
              <w:rPr>
                <w:sz w:val="1"/>
                <w:szCs w:val="1"/>
                <w:color w:val="auto"/>
              </w:rPr>
            </w:pPr>
          </w:p>
        </w:tc>
      </w:tr>
      <w:tr>
        <w:trPr>
          <w:trHeight w:val="270"/>
        </w:trPr>
        <w:tc>
          <w:tcPr>
            <w:tcW w:w="8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Basic and diluted net loss from discontinued operations attributable to Fidelity National Financial, Inc. common shareholders</w:t>
            </w: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4"/>
                <w:szCs w:val="14"/>
                <w:color w:val="auto"/>
              </w:rPr>
              <w:t>Basic and diluted net earnings attributable to Fidelity National Financial, Inc. common shareholders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115</w:t>
            </w:r>
          </w:p>
        </w:tc>
        <w:tc>
          <w:tcPr>
            <w:tcW w:w="34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93</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4200"/>
              <w:spacing w:after="0"/>
              <w:rPr>
                <w:sz w:val="20"/>
                <w:szCs w:val="20"/>
                <w:color w:val="auto"/>
              </w:rPr>
            </w:pPr>
            <w:r>
              <w:rPr>
                <w:rFonts w:ascii="Arial" w:cs="Arial" w:eastAsia="Arial" w:hAnsi="Arial"/>
                <w:sz w:val="13"/>
                <w:szCs w:val="13"/>
                <w:color w:val="auto"/>
              </w:rPr>
              <w:t>See Notes to Condensed Consolidated Financial Statements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80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962" w:gutter="0" w:footer="0" w:header="0"/>
        </w:sectPr>
      </w:pPr>
    </w:p>
    <w:p>
      <w:pPr>
        <w:spacing w:after="0" w:line="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1" w:right="239" w:bottom="962"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FIDELITY NATIONAL FINANCIAL, INC. AND SUBSIDIARIES CONDENSED CONSOLIDATED STATEMENTS OF COMPREHENSIVE EARNINGS </w:t>
      </w:r>
      <w:r>
        <w:rPr>
          <w:rFonts w:ascii="Arial" w:cs="Arial" w:eastAsia="Arial" w:hAnsi="Arial"/>
          <w:sz w:val="18"/>
          <w:szCs w:val="18"/>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06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2"/>
              </w:rPr>
              <w:t>Three months ended June 30,</w:t>
            </w:r>
          </w:p>
        </w:tc>
        <w:tc>
          <w:tcPr>
            <w:tcW w:w="140" w:type="dxa"/>
            <w:vAlign w:val="bottom"/>
          </w:tcPr>
          <w:p>
            <w:pPr>
              <w:spacing w:after="0"/>
              <w:rPr>
                <w:sz w:val="16"/>
                <w:szCs w:val="16"/>
                <w:color w:val="auto"/>
              </w:rPr>
            </w:pPr>
          </w:p>
        </w:tc>
        <w:tc>
          <w:tcPr>
            <w:tcW w:w="1780" w:type="dxa"/>
            <w:vAlign w:val="bottom"/>
            <w:gridSpan w:val="4"/>
          </w:tcPr>
          <w:p>
            <w:pPr>
              <w:jc w:val="right"/>
              <w:ind w:right="32"/>
              <w:spacing w:after="0"/>
              <w:rPr>
                <w:sz w:val="20"/>
                <w:szCs w:val="20"/>
                <w:color w:val="auto"/>
              </w:rPr>
            </w:pPr>
            <w:r>
              <w:rPr>
                <w:rFonts w:ascii="Arial" w:cs="Arial" w:eastAsia="Arial" w:hAnsi="Arial"/>
                <w:sz w:val="14"/>
                <w:szCs w:val="14"/>
                <w:b w:val="1"/>
                <w:bCs w:val="1"/>
                <w:color w:val="auto"/>
                <w:w w:val="90"/>
              </w:rPr>
              <w:t>Six months ended June 30,</w:t>
            </w:r>
          </w:p>
        </w:tc>
        <w:tc>
          <w:tcPr>
            <w:tcW w:w="0" w:type="dxa"/>
            <w:vAlign w:val="bottom"/>
          </w:tcPr>
          <w:p>
            <w:pPr>
              <w:spacing w:after="0"/>
              <w:rPr>
                <w:sz w:val="1"/>
                <w:szCs w:val="1"/>
                <w:color w:val="auto"/>
              </w:rPr>
            </w:pPr>
          </w:p>
        </w:tc>
      </w:tr>
      <w:tr>
        <w:trPr>
          <w:trHeight w:val="264"/>
        </w:trPr>
        <w:tc>
          <w:tcPr>
            <w:tcW w:w="744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7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5"/>
              </w:rPr>
              <w:t>(Unaudited)</w:t>
            </w:r>
          </w:p>
        </w:tc>
        <w:tc>
          <w:tcPr>
            <w:tcW w:w="140" w:type="dxa"/>
            <w:vAlign w:val="bottom"/>
          </w:tcPr>
          <w:p>
            <w:pPr>
              <w:spacing w:after="0"/>
              <w:rPr>
                <w:sz w:val="21"/>
                <w:szCs w:val="21"/>
                <w:color w:val="auto"/>
              </w:rPr>
            </w:pPr>
          </w:p>
        </w:tc>
        <w:tc>
          <w:tcPr>
            <w:tcW w:w="1780" w:type="dxa"/>
            <w:vAlign w:val="bottom"/>
            <w:gridSpan w:val="4"/>
          </w:tcPr>
          <w:p>
            <w:pPr>
              <w:jc w:val="right"/>
              <w:ind w:right="492"/>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 comprehensive earnings (loss):</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4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Unrealized gain (loss) on investments and other financial instruments, net (excluding investments</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 unconsolidated affiliates) (1)</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Unrealized gain (loss) on investments in unconsolidated affiliates (2)</w:t>
            </w:r>
          </w:p>
        </w:tc>
        <w:tc>
          <w:tcPr>
            <w:tcW w:w="2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Unrealized gain (loss) on foreign currency translation and cash flow hedging (3)</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w w:val="90"/>
              </w:rPr>
              <w:t>Reclassification adjustments for change in unrealized gains and losses included in net earnings (4)</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Minimum pension liability adjustment (5)</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Other comprehensive earnings (loss)</w:t>
            </w: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earnings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Less: Comprehensive (loss) earnings attributable to non-controlling interests</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Comprehensive earnings attributable to Fidelity National Financial, Inc. common shareholders</w:t>
            </w: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980" w:hanging="972"/>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expense (benefit) of $7 million and $(22) million for the three-month periods ended June 30, 2014 and 2013, respectively, and $12 million and $(14) million for the six-month periods ended June 30, 2014 and 2013, respectively.</w:t>
      </w:r>
    </w:p>
    <w:p>
      <w:pPr>
        <w:spacing w:after="0" w:line="116" w:lineRule="exact"/>
        <w:rPr>
          <w:rFonts w:ascii="Arial" w:cs="Arial" w:eastAsia="Arial" w:hAnsi="Arial"/>
          <w:sz w:val="18"/>
          <w:szCs w:val="18"/>
          <w:color w:val="auto"/>
        </w:rPr>
      </w:pPr>
    </w:p>
    <w:p>
      <w:pPr>
        <w:ind w:left="980" w:right="20" w:hanging="972"/>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expense (benefit) of $3 million and $(2) million for the three-month periods ended June 30, 2014 and 2013, respectively, and $(1) million and $(7) million for the six-month periods ended June 30, 2014 and 2013, respectively.</w:t>
      </w:r>
    </w:p>
    <w:p>
      <w:pPr>
        <w:spacing w:after="0" w:line="116" w:lineRule="exact"/>
        <w:rPr>
          <w:rFonts w:ascii="Arial" w:cs="Arial" w:eastAsia="Arial" w:hAnsi="Arial"/>
          <w:sz w:val="18"/>
          <w:szCs w:val="18"/>
          <w:color w:val="auto"/>
        </w:rPr>
      </w:pPr>
    </w:p>
    <w:p>
      <w:pPr>
        <w:ind w:left="980" w:right="20" w:hanging="972"/>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expense (benefit) of $4 million and $(4) million for the three-month periods ended June 30, 2014 and 2013, respectively, and $2 million and $(6) million for the six-month periods ended June 30, 2014 and 2013, respectively.</w:t>
      </w:r>
    </w:p>
    <w:p>
      <w:pPr>
        <w:spacing w:after="0" w:line="116" w:lineRule="exact"/>
        <w:rPr>
          <w:rFonts w:ascii="Arial" w:cs="Arial" w:eastAsia="Arial" w:hAnsi="Arial"/>
          <w:sz w:val="18"/>
          <w:szCs w:val="18"/>
          <w:color w:val="auto"/>
        </w:rPr>
      </w:pPr>
    </w:p>
    <w:p>
      <w:pPr>
        <w:ind w:left="980" w:right="20" w:hanging="972"/>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expense of $2 million for the three-month period ended June 30, 2013, and less than $1 million and $3 million for the six-month periods ended June 30, 2014 and 2013, respectively.</w:t>
      </w:r>
    </w:p>
    <w:p>
      <w:pPr>
        <w:spacing w:after="0" w:line="116" w:lineRule="exact"/>
        <w:rPr>
          <w:rFonts w:ascii="Arial" w:cs="Arial" w:eastAsia="Arial" w:hAnsi="Arial"/>
          <w:sz w:val="18"/>
          <w:szCs w:val="18"/>
          <w:color w:val="auto"/>
        </w:rPr>
      </w:pPr>
    </w:p>
    <w:p>
      <w:pPr>
        <w:ind w:left="980" w:hanging="972"/>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benefit of less than $1 million for the six-month period ended June 30, 2013.</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 OF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14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960" w:type="dxa"/>
            <w:vAlign w:val="bottom"/>
            <w:tcBorders>
              <w:bottom w:val="single" w:sz="8" w:color="auto"/>
            </w:tcBorders>
            <w:gridSpan w:val="13"/>
          </w:tcPr>
          <w:p>
            <w:pPr>
              <w:ind w:left="320"/>
              <w:spacing w:after="0"/>
              <w:rPr>
                <w:sz w:val="20"/>
                <w:szCs w:val="20"/>
                <w:color w:val="auto"/>
              </w:rPr>
            </w:pPr>
            <w:r>
              <w:rPr>
                <w:rFonts w:ascii="Arial" w:cs="Arial" w:eastAsia="Arial" w:hAnsi="Arial"/>
                <w:sz w:val="14"/>
                <w:szCs w:val="14"/>
                <w:b w:val="1"/>
                <w:bCs w:val="1"/>
                <w:color w:val="auto"/>
                <w:w w:val="99"/>
              </w:rPr>
              <w:t>Fidelity National Financial, Inc. Common Shareholders</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58"/>
        </w:trPr>
        <w:tc>
          <w:tcPr>
            <w:tcW w:w="1420" w:type="dxa"/>
            <w:vAlign w:val="bottom"/>
          </w:tcPr>
          <w:p>
            <w:pPr>
              <w:spacing w:after="0"/>
              <w:rPr>
                <w:sz w:val="22"/>
                <w:szCs w:val="22"/>
                <w:color w:val="auto"/>
              </w:rPr>
            </w:pPr>
          </w:p>
        </w:tc>
        <w:tc>
          <w:tcPr>
            <w:tcW w:w="680" w:type="dxa"/>
            <w:vAlign w:val="bottom"/>
            <w:gridSpan w:val="3"/>
          </w:tcPr>
          <w:p>
            <w:pPr>
              <w:jc w:val="center"/>
              <w:ind w:left="288"/>
              <w:spacing w:after="0"/>
              <w:rPr>
                <w:sz w:val="20"/>
                <w:szCs w:val="20"/>
                <w:color w:val="auto"/>
              </w:rPr>
            </w:pPr>
            <w:r>
              <w:rPr>
                <w:rFonts w:ascii="Arial" w:cs="Arial" w:eastAsia="Arial" w:hAnsi="Arial"/>
                <w:sz w:val="14"/>
                <w:szCs w:val="14"/>
                <w:b w:val="1"/>
                <w:bCs w:val="1"/>
                <w:color w:val="auto"/>
              </w:rPr>
              <w:t>FNF</w:t>
            </w: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gridSpan w:val="3"/>
          </w:tcPr>
          <w:p>
            <w:pPr>
              <w:jc w:val="center"/>
              <w:ind w:left="268"/>
              <w:spacing w:after="0"/>
              <w:rPr>
                <w:sz w:val="20"/>
                <w:szCs w:val="20"/>
                <w:color w:val="auto"/>
              </w:rPr>
            </w:pPr>
            <w:r>
              <w:rPr>
                <w:rFonts w:ascii="Arial" w:cs="Arial" w:eastAsia="Arial" w:hAnsi="Arial"/>
                <w:sz w:val="14"/>
                <w:szCs w:val="14"/>
                <w:b w:val="1"/>
                <w:bCs w:val="1"/>
                <w:color w:val="auto"/>
              </w:rPr>
              <w:t>FNF</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4"/>
          </w:tcPr>
          <w:p>
            <w:pPr>
              <w:ind w:left="320"/>
              <w:spacing w:after="0"/>
              <w:rPr>
                <w:sz w:val="20"/>
                <w:szCs w:val="20"/>
                <w:color w:val="auto"/>
              </w:rPr>
            </w:pPr>
            <w:r>
              <w:rPr>
                <w:rFonts w:ascii="Arial" w:cs="Arial" w:eastAsia="Arial" w:hAnsi="Arial"/>
                <w:sz w:val="14"/>
                <w:szCs w:val="14"/>
                <w:b w:val="1"/>
                <w:bCs w:val="1"/>
                <w:color w:val="auto"/>
              </w:rPr>
              <w:t>FNFV</w:t>
            </w: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70"/>
        </w:trPr>
        <w:tc>
          <w:tcPr>
            <w:tcW w:w="1420" w:type="dxa"/>
            <w:vAlign w:val="bottom"/>
          </w:tcPr>
          <w:p>
            <w:pPr>
              <w:spacing w:after="0"/>
              <w:rPr>
                <w:sz w:val="23"/>
                <w:szCs w:val="23"/>
                <w:color w:val="auto"/>
              </w:rPr>
            </w:pPr>
          </w:p>
        </w:tc>
        <w:tc>
          <w:tcPr>
            <w:tcW w:w="112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3"/>
              </w:rPr>
              <w:t>Class A</w:t>
            </w:r>
          </w:p>
        </w:tc>
        <w:tc>
          <w:tcPr>
            <w:tcW w:w="11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9"/>
              </w:rPr>
              <w:t>Group</w:t>
            </w:r>
          </w:p>
        </w:tc>
        <w:tc>
          <w:tcPr>
            <w:tcW w:w="1100" w:type="dxa"/>
            <w:vAlign w:val="bottom"/>
            <w:gridSpan w:val="4"/>
          </w:tcPr>
          <w:p>
            <w:pPr>
              <w:ind w:left="320"/>
              <w:spacing w:after="0"/>
              <w:rPr>
                <w:sz w:val="20"/>
                <w:szCs w:val="20"/>
                <w:color w:val="auto"/>
              </w:rPr>
            </w:pPr>
            <w:r>
              <w:rPr>
                <w:rFonts w:ascii="Arial" w:cs="Arial" w:eastAsia="Arial" w:hAnsi="Arial"/>
                <w:sz w:val="14"/>
                <w:szCs w:val="14"/>
                <w:b w:val="1"/>
                <w:bCs w:val="1"/>
                <w:color w:val="auto"/>
              </w:rPr>
              <w:t>Group</w:t>
            </w: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w w:val="89"/>
              </w:rPr>
              <w:t>Redeemable</w:t>
            </w:r>
          </w:p>
        </w:tc>
      </w:tr>
      <w:tr>
        <w:trPr>
          <w:trHeight w:val="270"/>
        </w:trPr>
        <w:tc>
          <w:tcPr>
            <w:tcW w:w="1420" w:type="dxa"/>
            <w:vAlign w:val="bottom"/>
          </w:tcPr>
          <w:p>
            <w:pPr>
              <w:spacing w:after="0"/>
              <w:rPr>
                <w:sz w:val="23"/>
                <w:szCs w:val="23"/>
                <w:color w:val="auto"/>
              </w:rPr>
            </w:pPr>
          </w:p>
        </w:tc>
        <w:tc>
          <w:tcPr>
            <w:tcW w:w="112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2"/>
              </w:rPr>
              <w:t>Common</w:t>
            </w:r>
          </w:p>
        </w:tc>
        <w:tc>
          <w:tcPr>
            <w:tcW w:w="11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5"/>
              </w:rPr>
              <w:t>Common</w:t>
            </w:r>
          </w:p>
        </w:tc>
        <w:tc>
          <w:tcPr>
            <w:tcW w:w="1100" w:type="dxa"/>
            <w:vAlign w:val="bottom"/>
            <w:gridSpan w:val="4"/>
          </w:tcPr>
          <w:p>
            <w:pPr>
              <w:ind w:left="240"/>
              <w:spacing w:after="0"/>
              <w:rPr>
                <w:sz w:val="20"/>
                <w:szCs w:val="20"/>
                <w:color w:val="auto"/>
              </w:rPr>
            </w:pPr>
            <w:r>
              <w:rPr>
                <w:rFonts w:ascii="Arial" w:cs="Arial" w:eastAsia="Arial" w:hAnsi="Arial"/>
                <w:sz w:val="14"/>
                <w:szCs w:val="14"/>
                <w:b w:val="1"/>
                <w:bCs w:val="1"/>
                <w:color w:val="auto"/>
              </w:rPr>
              <w:t>Common</w:t>
            </w:r>
          </w:p>
        </w:tc>
        <w:tc>
          <w:tcPr>
            <w:tcW w:w="880" w:type="dxa"/>
            <w:vAlign w:val="bottom"/>
            <w:gridSpan w:val="3"/>
          </w:tcPr>
          <w:p>
            <w:pPr>
              <w:ind w:left="6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Comprehensive</w:t>
            </w:r>
          </w:p>
        </w:tc>
        <w:tc>
          <w:tcPr>
            <w:tcW w:w="12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4"/>
              </w:rPr>
              <w:t>Treasury</w:t>
            </w:r>
          </w:p>
        </w:tc>
        <w:tc>
          <w:tcPr>
            <w:tcW w:w="100" w:type="dxa"/>
            <w:vAlign w:val="bottom"/>
          </w:tcPr>
          <w:p>
            <w:pPr>
              <w:spacing w:after="0"/>
              <w:rPr>
                <w:sz w:val="23"/>
                <w:szCs w:val="23"/>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right"/>
              <w:ind w:right="168"/>
              <w:spacing w:after="0"/>
              <w:rPr>
                <w:sz w:val="20"/>
                <w:szCs w:val="20"/>
                <w:color w:val="auto"/>
              </w:rPr>
            </w:pPr>
            <w:r>
              <w:rPr>
                <w:rFonts w:ascii="Arial" w:cs="Arial" w:eastAsia="Arial" w:hAnsi="Arial"/>
                <w:sz w:val="14"/>
                <w:szCs w:val="14"/>
                <w:b w:val="1"/>
                <w:bCs w:val="1"/>
                <w:color w:val="auto"/>
              </w:rPr>
              <w:t>Non-</w:t>
            </w:r>
          </w:p>
        </w:tc>
      </w:tr>
      <w:tr>
        <w:trPr>
          <w:trHeight w:val="276"/>
        </w:trPr>
        <w:tc>
          <w:tcPr>
            <w:tcW w:w="1420" w:type="dxa"/>
            <w:vAlign w:val="bottom"/>
          </w:tcPr>
          <w:p>
            <w:pPr>
              <w:spacing w:after="0"/>
              <w:rPr>
                <w:sz w:val="24"/>
                <w:szCs w:val="24"/>
                <w:color w:val="auto"/>
              </w:rPr>
            </w:pPr>
          </w:p>
        </w:tc>
        <w:tc>
          <w:tcPr>
            <w:tcW w:w="112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4"/>
              </w:rPr>
              <w:t>Stock</w:t>
            </w:r>
          </w:p>
        </w:tc>
        <w:tc>
          <w:tcPr>
            <w:tcW w:w="11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9"/>
              </w:rPr>
              <w:t>Stock</w:t>
            </w:r>
          </w:p>
        </w:tc>
        <w:tc>
          <w:tcPr>
            <w:tcW w:w="1100" w:type="dxa"/>
            <w:vAlign w:val="bottom"/>
            <w:gridSpan w:val="4"/>
          </w:tcPr>
          <w:p>
            <w:pPr>
              <w:ind w:left="34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24"/>
                <w:szCs w:val="24"/>
                <w:color w:val="auto"/>
              </w:rPr>
            </w:pPr>
          </w:p>
        </w:tc>
        <w:tc>
          <w:tcPr>
            <w:tcW w:w="740" w:type="dxa"/>
            <w:vAlign w:val="bottom"/>
            <w:gridSpan w:val="2"/>
          </w:tcPr>
          <w:p>
            <w:pPr>
              <w:ind w:left="40"/>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24"/>
                <w:szCs w:val="2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Earnings</w:t>
            </w:r>
          </w:p>
        </w:tc>
        <w:tc>
          <w:tcPr>
            <w:tcW w:w="12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9"/>
              </w:rPr>
              <w:t>Stock</w:t>
            </w:r>
          </w:p>
        </w:tc>
        <w:tc>
          <w:tcPr>
            <w:tcW w:w="880" w:type="dxa"/>
            <w:vAlign w:val="bottom"/>
            <w:gridSpan w:val="3"/>
          </w:tcPr>
          <w:p>
            <w:pPr>
              <w:ind w:left="40"/>
              <w:spacing w:after="0"/>
              <w:rPr>
                <w:sz w:val="20"/>
                <w:szCs w:val="20"/>
                <w:color w:val="auto"/>
              </w:rPr>
            </w:pPr>
            <w:r>
              <w:rPr>
                <w:rFonts w:ascii="Arial" w:cs="Arial" w:eastAsia="Arial" w:hAnsi="Arial"/>
                <w:sz w:val="14"/>
                <w:szCs w:val="14"/>
                <w:b w:val="1"/>
                <w:bCs w:val="1"/>
                <w:color w:val="auto"/>
              </w:rPr>
              <w:t>controlling</w:t>
            </w:r>
          </w:p>
        </w:tc>
        <w:tc>
          <w:tcPr>
            <w:tcW w:w="100" w:type="dxa"/>
            <w:vAlign w:val="bottom"/>
          </w:tcPr>
          <w:p>
            <w:pPr>
              <w:spacing w:after="0"/>
              <w:rPr>
                <w:sz w:val="24"/>
                <w:szCs w:val="24"/>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w w:val="99"/>
              </w:rPr>
              <w:t>controlling</w:t>
            </w:r>
          </w:p>
        </w:tc>
      </w:tr>
      <w:tr>
        <w:trPr>
          <w:trHeight w:val="263"/>
        </w:trPr>
        <w:tc>
          <w:tcPr>
            <w:tcW w:w="1420" w:type="dxa"/>
            <w:vAlign w:val="bottom"/>
          </w:tcPr>
          <w:p>
            <w:pPr>
              <w:spacing w:after="0"/>
              <w:rPr>
                <w:sz w:val="22"/>
                <w:szCs w:val="22"/>
                <w:color w:val="auto"/>
              </w:rPr>
            </w:pPr>
          </w:p>
        </w:tc>
        <w:tc>
          <w:tcPr>
            <w:tcW w:w="68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Shares</w:t>
            </w:r>
          </w:p>
        </w:tc>
        <w:tc>
          <w:tcPr>
            <w:tcW w:w="3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66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Shares</w:t>
            </w:r>
          </w:p>
        </w:tc>
        <w:tc>
          <w:tcPr>
            <w:tcW w:w="3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66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Shares</w:t>
            </w:r>
          </w:p>
        </w:tc>
        <w:tc>
          <w:tcPr>
            <w:tcW w:w="3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22"/>
                <w:szCs w:val="22"/>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22"/>
                <w:szCs w:val="22"/>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(Loss)</w:t>
            </w:r>
          </w:p>
        </w:tc>
        <w:tc>
          <w:tcPr>
            <w:tcW w:w="66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Shares</w:t>
            </w:r>
          </w:p>
        </w:tc>
        <w:tc>
          <w:tcPr>
            <w:tcW w:w="48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Interests</w:t>
            </w:r>
          </w:p>
        </w:tc>
        <w:tc>
          <w:tcPr>
            <w:tcW w:w="100" w:type="dxa"/>
            <w:vAlign w:val="bottom"/>
          </w:tcPr>
          <w:p>
            <w:pPr>
              <w:spacing w:after="0"/>
              <w:rPr>
                <w:sz w:val="22"/>
                <w:szCs w:val="22"/>
                <w:color w:val="auto"/>
              </w:rPr>
            </w:pPr>
          </w:p>
        </w:tc>
        <w:tc>
          <w:tcPr>
            <w:tcW w:w="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Pr>
          <w:p>
            <w:pPr>
              <w:spacing w:after="0"/>
              <w:rPr>
                <w:sz w:val="22"/>
                <w:szCs w:val="22"/>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b w:val="1"/>
                <w:bCs w:val="1"/>
                <w:color w:val="auto"/>
                <w:w w:val="89"/>
              </w:rPr>
              <w:t>Interests</w:t>
            </w:r>
          </w:p>
        </w:tc>
      </w:tr>
      <w:tr>
        <w:trPr>
          <w:trHeight w:val="143"/>
        </w:trPr>
        <w:tc>
          <w:tcPr>
            <w:tcW w:w="1420" w:type="dxa"/>
            <w:vAlign w:val="bottom"/>
          </w:tcPr>
          <w:p>
            <w:pPr>
              <w:ind w:left="20"/>
              <w:spacing w:after="0" w:line="143" w:lineRule="exact"/>
              <w:rPr>
                <w:sz w:val="20"/>
                <w:szCs w:val="20"/>
                <w:color w:val="auto"/>
              </w:rPr>
            </w:pPr>
            <w:r>
              <w:rPr>
                <w:rFonts w:ascii="Arial" w:cs="Arial" w:eastAsia="Arial" w:hAnsi="Arial"/>
                <w:sz w:val="14"/>
                <w:szCs w:val="14"/>
                <w:color w:val="auto"/>
                <w:w w:val="94"/>
              </w:rPr>
              <w:t>Balance, December 31,</w:t>
            </w: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r>
      <w:tr>
        <w:trPr>
          <w:trHeight w:val="188"/>
        </w:trPr>
        <w:tc>
          <w:tcPr>
            <w:tcW w:w="1420" w:type="dxa"/>
            <w:vAlign w:val="bottom"/>
          </w:tcPr>
          <w:p>
            <w:pPr>
              <w:ind w:left="20"/>
              <w:spacing w:after="0"/>
              <w:rPr>
                <w:sz w:val="20"/>
                <w:szCs w:val="20"/>
                <w:color w:val="auto"/>
              </w:rPr>
            </w:pPr>
            <w:r>
              <w:rPr>
                <w:rFonts w:ascii="Arial" w:cs="Arial" w:eastAsia="Arial" w:hAnsi="Arial"/>
                <w:sz w:val="14"/>
                <w:szCs w:val="14"/>
                <w:color w:val="auto"/>
              </w:rPr>
              <w:t>2013</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292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4,642</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1,096</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0"/>
              </w:rPr>
              <w:t>$ (707)</w:t>
            </w:r>
          </w:p>
        </w:tc>
        <w:tc>
          <w:tcPr>
            <w:tcW w:w="12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474</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5,542</w:t>
            </w:r>
          </w:p>
        </w:tc>
        <w:tc>
          <w:tcPr>
            <w:tcW w:w="100" w:type="dxa"/>
            <w:vAlign w:val="bottom"/>
          </w:tcPr>
          <w:p>
            <w:pPr>
              <w:spacing w:after="0"/>
              <w:rPr>
                <w:sz w:val="16"/>
                <w:szCs w:val="16"/>
                <w:color w:val="auto"/>
              </w:rPr>
            </w:pP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63"/>
        </w:trPr>
        <w:tc>
          <w:tcPr>
            <w:tcW w:w="1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of Lender</w:t>
            </w: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49"/>
        </w:trPr>
        <w:tc>
          <w:tcPr>
            <w:tcW w:w="14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Processing Services,</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r>
      <w:tr>
        <w:trPr>
          <w:trHeight w:val="194"/>
        </w:trPr>
        <w:tc>
          <w:tcPr>
            <w:tcW w:w="1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w:t>
            </w: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157"/>
        </w:trPr>
        <w:tc>
          <w:tcPr>
            <w:tcW w:w="1420" w:type="dxa"/>
            <w:vAlign w:val="bottom"/>
          </w:tcPr>
          <w:p>
            <w:pPr>
              <w:ind w:left="20"/>
              <w:spacing w:after="0" w:line="157" w:lineRule="exact"/>
              <w:rPr>
                <w:sz w:val="20"/>
                <w:szCs w:val="20"/>
                <w:color w:val="auto"/>
              </w:rPr>
            </w:pPr>
            <w:r>
              <w:rPr>
                <w:rFonts w:ascii="Arial" w:cs="Arial" w:eastAsia="Arial" w:hAnsi="Arial"/>
                <w:sz w:val="14"/>
                <w:szCs w:val="14"/>
                <w:color w:val="auto"/>
              </w:rPr>
              <w:t>Exercise of stock</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88"/>
        </w:trPr>
        <w:tc>
          <w:tcPr>
            <w:tcW w:w="1420" w:type="dxa"/>
            <w:vAlign w:val="bottom"/>
          </w:tcPr>
          <w:p>
            <w:pPr>
              <w:ind w:left="20"/>
              <w:spacing w:after="0"/>
              <w:rPr>
                <w:sz w:val="20"/>
                <w:szCs w:val="20"/>
                <w:color w:val="auto"/>
              </w:rPr>
            </w:pPr>
            <w:r>
              <w:rPr>
                <w:rFonts w:ascii="Arial" w:cs="Arial" w:eastAsia="Arial" w:hAnsi="Arial"/>
                <w:sz w:val="14"/>
                <w:szCs w:val="14"/>
                <w:color w:val="auto"/>
              </w:rPr>
              <w:t>options</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63"/>
        </w:trPr>
        <w:tc>
          <w:tcPr>
            <w:tcW w:w="1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Recapitalization of</w:t>
            </w: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94"/>
        </w:trPr>
        <w:tc>
          <w:tcPr>
            <w:tcW w:w="1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FNF stock</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277</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92</w:t>
            </w:r>
          </w:p>
        </w:tc>
        <w:tc>
          <w:tcPr>
            <w:tcW w:w="12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157"/>
        </w:trPr>
        <w:tc>
          <w:tcPr>
            <w:tcW w:w="1420" w:type="dxa"/>
            <w:vAlign w:val="bottom"/>
          </w:tcPr>
          <w:p>
            <w:pPr>
              <w:ind w:left="20"/>
              <w:spacing w:after="0" w:line="157" w:lineRule="exact"/>
              <w:rPr>
                <w:sz w:val="20"/>
                <w:szCs w:val="20"/>
                <w:color w:val="auto"/>
              </w:rPr>
            </w:pPr>
            <w:r>
              <w:rPr>
                <w:rFonts w:ascii="Arial" w:cs="Arial" w:eastAsia="Arial" w:hAnsi="Arial"/>
                <w:sz w:val="14"/>
                <w:szCs w:val="14"/>
                <w:color w:val="auto"/>
                <w:w w:val="98"/>
              </w:rPr>
              <w:t>Tax benefit associated</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49"/>
        </w:trPr>
        <w:tc>
          <w:tcPr>
            <w:tcW w:w="1420" w:type="dxa"/>
            <w:vAlign w:val="bottom"/>
          </w:tcPr>
          <w:p>
            <w:pPr>
              <w:ind w:left="20"/>
              <w:spacing w:after="0" w:line="149" w:lineRule="exact"/>
              <w:rPr>
                <w:sz w:val="20"/>
                <w:szCs w:val="20"/>
                <w:color w:val="auto"/>
              </w:rPr>
            </w:pPr>
            <w:r>
              <w:rPr>
                <w:rFonts w:ascii="Arial" w:cs="Arial" w:eastAsia="Arial" w:hAnsi="Arial"/>
                <w:sz w:val="14"/>
                <w:szCs w:val="14"/>
                <w:color w:val="auto"/>
              </w:rPr>
              <w:t>with the exercise of</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88"/>
        </w:trPr>
        <w:tc>
          <w:tcPr>
            <w:tcW w:w="1420" w:type="dxa"/>
            <w:vAlign w:val="bottom"/>
          </w:tcPr>
          <w:p>
            <w:pPr>
              <w:ind w:left="20"/>
              <w:spacing w:after="0"/>
              <w:rPr>
                <w:sz w:val="20"/>
                <w:szCs w:val="20"/>
                <w:color w:val="auto"/>
              </w:rPr>
            </w:pPr>
            <w:r>
              <w:rPr>
                <w:rFonts w:ascii="Arial" w:cs="Arial" w:eastAsia="Arial" w:hAnsi="Arial"/>
                <w:sz w:val="14"/>
                <w:szCs w:val="14"/>
                <w:color w:val="auto"/>
              </w:rPr>
              <w:t>stock options</w:t>
            </w:r>
          </w:p>
        </w:tc>
        <w:tc>
          <w:tcPr>
            <w:tcW w:w="6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63"/>
        </w:trPr>
        <w:tc>
          <w:tcPr>
            <w:tcW w:w="1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w:t>
            </w: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49"/>
        </w:trPr>
        <w:tc>
          <w:tcPr>
            <w:tcW w:w="14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8"/>
              </w:rPr>
              <w:t>earnings — unrealized</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r>
      <w:tr>
        <w:trPr>
          <w:trHeight w:val="149"/>
        </w:trPr>
        <w:tc>
          <w:tcPr>
            <w:tcW w:w="14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gain on investments</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r>
      <w:tr>
        <w:trPr>
          <w:trHeight w:val="149"/>
        </w:trPr>
        <w:tc>
          <w:tcPr>
            <w:tcW w:w="14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and other financial</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r>
      <w:tr>
        <w:trPr>
          <w:trHeight w:val="149"/>
        </w:trPr>
        <w:tc>
          <w:tcPr>
            <w:tcW w:w="14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8"/>
              </w:rPr>
              <w:t>instruments (excluding</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r>
      <w:tr>
        <w:trPr>
          <w:trHeight w:val="149"/>
        </w:trPr>
        <w:tc>
          <w:tcPr>
            <w:tcW w:w="14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investments in</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r>
      <w:tr>
        <w:trPr>
          <w:trHeight w:val="149"/>
        </w:trPr>
        <w:tc>
          <w:tcPr>
            <w:tcW w:w="14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unconsolidated</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r>
      <w:tr>
        <w:trPr>
          <w:trHeight w:val="194"/>
        </w:trPr>
        <w:tc>
          <w:tcPr>
            <w:tcW w:w="1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affiliates)</w:t>
            </w:r>
          </w:p>
        </w:tc>
        <w:tc>
          <w:tcPr>
            <w:tcW w:w="68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157"/>
        </w:trPr>
        <w:tc>
          <w:tcPr>
            <w:tcW w:w="1420" w:type="dxa"/>
            <w:vAlign w:val="bottom"/>
          </w:tcPr>
          <w:p>
            <w:pPr>
              <w:ind w:left="20"/>
              <w:spacing w:after="0" w:line="157" w:lineRule="exact"/>
              <w:rPr>
                <w:sz w:val="20"/>
                <w:szCs w:val="20"/>
                <w:color w:val="auto"/>
              </w:rPr>
            </w:pPr>
            <w:r>
              <w:rPr>
                <w:rFonts w:ascii="Arial" w:cs="Arial" w:eastAsia="Arial" w:hAnsi="Arial"/>
                <w:sz w:val="14"/>
                <w:szCs w:val="14"/>
                <w:color w:val="auto"/>
              </w:rPr>
              <w:t>Other comprehensive</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49"/>
        </w:trPr>
        <w:tc>
          <w:tcPr>
            <w:tcW w:w="1420" w:type="dxa"/>
            <w:vAlign w:val="bottom"/>
          </w:tcPr>
          <w:p>
            <w:pPr>
              <w:ind w:left="20"/>
              <w:spacing w:after="0" w:line="149" w:lineRule="exact"/>
              <w:rPr>
                <w:sz w:val="20"/>
                <w:szCs w:val="20"/>
                <w:color w:val="auto"/>
              </w:rPr>
            </w:pPr>
            <w:r>
              <w:rPr>
                <w:rFonts w:ascii="Arial" w:cs="Arial" w:eastAsia="Arial" w:hAnsi="Arial"/>
                <w:sz w:val="14"/>
                <w:szCs w:val="14"/>
                <w:color w:val="auto"/>
                <w:w w:val="98"/>
              </w:rPr>
              <w:t>earnings — unrealized</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9"/>
        </w:trPr>
        <w:tc>
          <w:tcPr>
            <w:tcW w:w="1420" w:type="dxa"/>
            <w:vAlign w:val="bottom"/>
          </w:tcPr>
          <w:p>
            <w:pPr>
              <w:ind w:left="20"/>
              <w:spacing w:after="0" w:line="149" w:lineRule="exact"/>
              <w:rPr>
                <w:sz w:val="20"/>
                <w:szCs w:val="20"/>
                <w:color w:val="auto"/>
              </w:rPr>
            </w:pPr>
            <w:r>
              <w:rPr>
                <w:rFonts w:ascii="Arial" w:cs="Arial" w:eastAsia="Arial" w:hAnsi="Arial"/>
                <w:sz w:val="14"/>
                <w:szCs w:val="14"/>
                <w:color w:val="auto"/>
              </w:rPr>
              <w:t>loss on investments in</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9"/>
        </w:trPr>
        <w:tc>
          <w:tcPr>
            <w:tcW w:w="1420" w:type="dxa"/>
            <w:vAlign w:val="bottom"/>
          </w:tcPr>
          <w:p>
            <w:pPr>
              <w:ind w:left="20"/>
              <w:spacing w:after="0" w:line="149" w:lineRule="exact"/>
              <w:rPr>
                <w:sz w:val="20"/>
                <w:szCs w:val="20"/>
                <w:color w:val="auto"/>
              </w:rPr>
            </w:pPr>
            <w:r>
              <w:rPr>
                <w:rFonts w:ascii="Arial" w:cs="Arial" w:eastAsia="Arial" w:hAnsi="Arial"/>
                <w:sz w:val="14"/>
                <w:szCs w:val="14"/>
                <w:color w:val="auto"/>
              </w:rPr>
              <w:t>unconsolidated</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88"/>
        </w:trPr>
        <w:tc>
          <w:tcPr>
            <w:tcW w:w="1420" w:type="dxa"/>
            <w:vAlign w:val="bottom"/>
          </w:tcPr>
          <w:p>
            <w:pPr>
              <w:ind w:left="20"/>
              <w:spacing w:after="0"/>
              <w:rPr>
                <w:sz w:val="20"/>
                <w:szCs w:val="20"/>
                <w:color w:val="auto"/>
              </w:rPr>
            </w:pPr>
            <w:r>
              <w:rPr>
                <w:rFonts w:ascii="Arial" w:cs="Arial" w:eastAsia="Arial" w:hAnsi="Arial"/>
                <w:sz w:val="14"/>
                <w:szCs w:val="14"/>
                <w:color w:val="auto"/>
              </w:rPr>
              <w:t>affiliates</w:t>
            </w:r>
          </w:p>
        </w:tc>
        <w:tc>
          <w:tcPr>
            <w:tcW w:w="6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63"/>
        </w:trPr>
        <w:tc>
          <w:tcPr>
            <w:tcW w:w="1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w:t>
            </w: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49"/>
        </w:trPr>
        <w:tc>
          <w:tcPr>
            <w:tcW w:w="14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8"/>
              </w:rPr>
              <w:t>earnings — unrealized</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r>
      <w:tr>
        <w:trPr>
          <w:trHeight w:val="149"/>
        </w:trPr>
        <w:tc>
          <w:tcPr>
            <w:tcW w:w="14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gain on foreign</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r>
      <w:tr>
        <w:trPr>
          <w:trHeight w:val="149"/>
        </w:trPr>
        <w:tc>
          <w:tcPr>
            <w:tcW w:w="14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currency translation</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r>
      <w:tr>
        <w:trPr>
          <w:trHeight w:val="194"/>
        </w:trPr>
        <w:tc>
          <w:tcPr>
            <w:tcW w:w="14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9"/>
              </w:rPr>
              <w:t>and cash flow hedging</w:t>
            </w:r>
          </w:p>
        </w:tc>
        <w:tc>
          <w:tcPr>
            <w:tcW w:w="68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157"/>
        </w:trPr>
        <w:tc>
          <w:tcPr>
            <w:tcW w:w="1420" w:type="dxa"/>
            <w:vAlign w:val="bottom"/>
          </w:tcPr>
          <w:p>
            <w:pPr>
              <w:ind w:left="20"/>
              <w:spacing w:after="0" w:line="157" w:lineRule="exact"/>
              <w:rPr>
                <w:sz w:val="20"/>
                <w:szCs w:val="20"/>
                <w:color w:val="auto"/>
              </w:rPr>
            </w:pPr>
            <w:r>
              <w:rPr>
                <w:rFonts w:ascii="Arial" w:cs="Arial" w:eastAsia="Arial" w:hAnsi="Arial"/>
                <w:sz w:val="14"/>
                <w:szCs w:val="14"/>
                <w:color w:val="auto"/>
              </w:rPr>
              <w:t>Stock-based</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88"/>
        </w:trPr>
        <w:tc>
          <w:tcPr>
            <w:tcW w:w="1420" w:type="dxa"/>
            <w:vAlign w:val="bottom"/>
          </w:tcPr>
          <w:p>
            <w:pPr>
              <w:ind w:left="20"/>
              <w:spacing w:after="0"/>
              <w:rPr>
                <w:sz w:val="20"/>
                <w:szCs w:val="20"/>
                <w:color w:val="auto"/>
              </w:rPr>
            </w:pPr>
            <w:r>
              <w:rPr>
                <w:rFonts w:ascii="Arial" w:cs="Arial" w:eastAsia="Arial" w:hAnsi="Arial"/>
                <w:sz w:val="14"/>
                <w:szCs w:val="14"/>
                <w:color w:val="auto"/>
              </w:rPr>
              <w:t>compensation</w:t>
            </w:r>
          </w:p>
        </w:tc>
        <w:tc>
          <w:tcPr>
            <w:tcW w:w="6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63"/>
        </w:trPr>
        <w:tc>
          <w:tcPr>
            <w:tcW w:w="14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9"/>
              </w:rPr>
              <w:t>Retirement of treasury</w:t>
            </w: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94"/>
        </w:trPr>
        <w:tc>
          <w:tcPr>
            <w:tcW w:w="1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r>
      <w:tr>
        <w:trPr>
          <w:trHeight w:val="264"/>
        </w:trPr>
        <w:tc>
          <w:tcPr>
            <w:tcW w:w="1420" w:type="dxa"/>
            <w:vAlign w:val="bottom"/>
          </w:tcPr>
          <w:p>
            <w:pPr>
              <w:ind w:left="20"/>
              <w:spacing w:after="0"/>
              <w:rPr>
                <w:sz w:val="20"/>
                <w:szCs w:val="20"/>
                <w:color w:val="auto"/>
              </w:rPr>
            </w:pPr>
            <w:r>
              <w:rPr>
                <w:rFonts w:ascii="Arial" w:cs="Arial" w:eastAsia="Arial" w:hAnsi="Arial"/>
                <w:sz w:val="14"/>
                <w:szCs w:val="14"/>
                <w:color w:val="auto"/>
              </w:rPr>
              <w:t>Dividends declared</w:t>
            </w:r>
          </w:p>
        </w:tc>
        <w:tc>
          <w:tcPr>
            <w:tcW w:w="6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63"/>
        </w:trPr>
        <w:tc>
          <w:tcPr>
            <w:tcW w:w="1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Contribution by</w:t>
            </w: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49"/>
        </w:trPr>
        <w:tc>
          <w:tcPr>
            <w:tcW w:w="14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minority owner to</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r>
      <w:tr>
        <w:trPr>
          <w:trHeight w:val="149"/>
        </w:trPr>
        <w:tc>
          <w:tcPr>
            <w:tcW w:w="14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acquire minority</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r>
      <w:tr>
        <w:trPr>
          <w:trHeight w:val="149"/>
        </w:trPr>
        <w:tc>
          <w:tcPr>
            <w:tcW w:w="14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interest in Black</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r>
      <w:tr>
        <w:trPr>
          <w:trHeight w:val="149"/>
        </w:trPr>
        <w:tc>
          <w:tcPr>
            <w:tcW w:w="14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Knight Financial</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r>
      <w:tr>
        <w:trPr>
          <w:trHeight w:val="149"/>
        </w:trPr>
        <w:tc>
          <w:tcPr>
            <w:tcW w:w="14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Services, LLC and</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r>
      <w:tr>
        <w:trPr>
          <w:trHeight w:val="194"/>
        </w:trPr>
        <w:tc>
          <w:tcPr>
            <w:tcW w:w="1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ServiceLink, LLC</w:t>
            </w:r>
          </w:p>
        </w:tc>
        <w:tc>
          <w:tcPr>
            <w:tcW w:w="68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687</w:t>
            </w:r>
          </w:p>
        </w:tc>
      </w:tr>
      <w:tr>
        <w:trPr>
          <w:trHeight w:val="157"/>
        </w:trPr>
        <w:tc>
          <w:tcPr>
            <w:tcW w:w="1420" w:type="dxa"/>
            <w:vAlign w:val="bottom"/>
          </w:tcPr>
          <w:p>
            <w:pPr>
              <w:ind w:left="20"/>
              <w:spacing w:after="0" w:line="157" w:lineRule="exact"/>
              <w:rPr>
                <w:sz w:val="20"/>
                <w:szCs w:val="20"/>
                <w:color w:val="auto"/>
              </w:rPr>
            </w:pPr>
            <w:r>
              <w:rPr>
                <w:rFonts w:ascii="Arial" w:cs="Arial" w:eastAsia="Arial" w:hAnsi="Arial"/>
                <w:sz w:val="14"/>
                <w:szCs w:val="14"/>
                <w:color w:val="auto"/>
              </w:rPr>
              <w:t>Subsidiary dividends</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49"/>
        </w:trPr>
        <w:tc>
          <w:tcPr>
            <w:tcW w:w="1420" w:type="dxa"/>
            <w:vAlign w:val="bottom"/>
          </w:tcPr>
          <w:p>
            <w:pPr>
              <w:ind w:left="20"/>
              <w:spacing w:after="0" w:line="149" w:lineRule="exact"/>
              <w:rPr>
                <w:sz w:val="20"/>
                <w:szCs w:val="20"/>
                <w:color w:val="auto"/>
              </w:rPr>
            </w:pPr>
            <w:r>
              <w:rPr>
                <w:rFonts w:ascii="Arial" w:cs="Arial" w:eastAsia="Arial" w:hAnsi="Arial"/>
                <w:sz w:val="14"/>
                <w:szCs w:val="14"/>
                <w:color w:val="auto"/>
              </w:rPr>
              <w:t>declared to non-</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88"/>
        </w:trPr>
        <w:tc>
          <w:tcPr>
            <w:tcW w:w="1420" w:type="dxa"/>
            <w:vAlign w:val="bottom"/>
          </w:tcPr>
          <w:p>
            <w:pPr>
              <w:ind w:left="20"/>
              <w:spacing w:after="0"/>
              <w:rPr>
                <w:sz w:val="20"/>
                <w:szCs w:val="20"/>
                <w:color w:val="auto"/>
              </w:rPr>
            </w:pPr>
            <w:r>
              <w:rPr>
                <w:rFonts w:ascii="Arial" w:cs="Arial" w:eastAsia="Arial" w:hAnsi="Arial"/>
                <w:sz w:val="14"/>
                <w:szCs w:val="14"/>
                <w:color w:val="auto"/>
              </w:rPr>
              <w:t>controlling interests</w:t>
            </w:r>
          </w:p>
        </w:tc>
        <w:tc>
          <w:tcPr>
            <w:tcW w:w="6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0"/>
        </w:trPr>
        <w:tc>
          <w:tcPr>
            <w:tcW w:w="1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earnings</w:t>
            </w:r>
          </w:p>
        </w:tc>
        <w:tc>
          <w:tcPr>
            <w:tcW w:w="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93</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43"/>
        </w:trPr>
        <w:tc>
          <w:tcPr>
            <w:tcW w:w="1420" w:type="dxa"/>
            <w:vAlign w:val="bottom"/>
          </w:tcPr>
          <w:p>
            <w:pPr>
              <w:ind w:left="20"/>
              <w:spacing w:after="0"/>
              <w:rPr>
                <w:sz w:val="20"/>
                <w:szCs w:val="20"/>
                <w:color w:val="auto"/>
              </w:rPr>
            </w:pPr>
            <w:r>
              <w:rPr>
                <w:rFonts w:ascii="Arial" w:cs="Arial" w:eastAsia="Arial" w:hAnsi="Arial"/>
                <w:sz w:val="14"/>
                <w:szCs w:val="14"/>
                <w:color w:val="auto"/>
                <w:w w:val="93"/>
              </w:rPr>
              <w:t>Balance, June 30, 2014</w:t>
            </w:r>
          </w:p>
        </w:tc>
        <w:tc>
          <w:tcPr>
            <w:tcW w:w="6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277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tcPr>
          <w:p>
            <w:pPr>
              <w:ind w:left="300"/>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21"/>
                <w:szCs w:val="21"/>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4,807</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1,089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  —</w:t>
            </w: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414</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6,369</w:t>
            </w:r>
          </w:p>
        </w:tc>
        <w:tc>
          <w:tcPr>
            <w:tcW w:w="100" w:type="dxa"/>
            <w:vAlign w:val="bottom"/>
          </w:tcPr>
          <w:p>
            <w:pPr>
              <w:spacing w:after="0"/>
              <w:rPr>
                <w:sz w:val="21"/>
                <w:szCs w:val="21"/>
                <w:color w:val="auto"/>
              </w:rPr>
            </w:pP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687</w:t>
            </w:r>
          </w:p>
        </w:tc>
      </w:tr>
      <w:tr>
        <w:trPr>
          <w:trHeight w:val="20"/>
        </w:trPr>
        <w:tc>
          <w:tcPr>
            <w:tcW w:w="1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121" w:right="2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11" w:lineRule="exact"/>
        <w:rPr>
          <w:sz w:val="20"/>
          <w:szCs w:val="20"/>
          <w:color w:val="auto"/>
        </w:rPr>
      </w:pPr>
    </w:p>
    <w:p>
      <w:pPr>
        <w:jc w:val="center"/>
        <w:ind w:left="9520"/>
        <w:spacing w:after="0"/>
        <w:rPr>
          <w:sz w:val="20"/>
          <w:szCs w:val="20"/>
          <w:color w:val="auto"/>
        </w:rPr>
      </w:pPr>
      <w:r>
        <w:rPr>
          <w:rFonts w:ascii="Arial" w:cs="Arial" w:eastAsia="Arial" w:hAnsi="Arial"/>
          <w:sz w:val="15"/>
          <w:szCs w:val="15"/>
          <w:b w:val="1"/>
          <w:bCs w:val="1"/>
          <w:color w:val="auto"/>
        </w:rPr>
        <w:t>For the Six Months Ended</w:t>
      </w:r>
    </w:p>
    <w:p>
      <w:pPr>
        <w:spacing w:after="0" w:line="38" w:lineRule="exact"/>
        <w:rPr>
          <w:sz w:val="20"/>
          <w:szCs w:val="20"/>
          <w:color w:val="auto"/>
        </w:rPr>
      </w:pPr>
    </w:p>
    <w:p>
      <w:pPr>
        <w:jc w:val="center"/>
        <w:ind w:left="9520"/>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6025515</wp:posOffset>
            </wp:positionH>
            <wp:positionV relativeFrom="paragraph">
              <wp:posOffset>33020</wp:posOffset>
            </wp:positionV>
            <wp:extent cx="12261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ind w:right="21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2013</w:t>
            </w:r>
          </w:p>
        </w:tc>
      </w:tr>
      <w:tr>
        <w:trPr>
          <w:trHeight w:val="33"/>
        </w:trPr>
        <w:tc>
          <w:tcPr>
            <w:tcW w:w="9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4"/>
          </w:tcPr>
          <w:p>
            <w:pPr>
              <w:spacing w:after="0"/>
              <w:rPr>
                <w:sz w:val="2"/>
                <w:szCs w:val="2"/>
                <w:color w:val="auto"/>
              </w:rPr>
            </w:pPr>
          </w:p>
        </w:tc>
      </w:tr>
      <w:tr>
        <w:trPr>
          <w:trHeight w:val="217"/>
        </w:trPr>
        <w:tc>
          <w:tcPr>
            <w:tcW w:w="9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auto"/>
              </w:rPr>
              <w:t>(Unaudited)</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Net earnings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234</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Adjustments to reconcile net earnings to net cash used in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37"/>
        </w:trPr>
        <w:tc>
          <w:tcPr>
            <w:tcW w:w="9480" w:type="dxa"/>
            <w:vAlign w:val="bottom"/>
          </w:tcPr>
          <w:p>
            <w:pPr>
              <w:ind w:left="52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104</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Equity in losses of unconsolidated affiliates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r>
      <w:tr>
        <w:trPr>
          <w:trHeight w:val="237"/>
        </w:trPr>
        <w:tc>
          <w:tcPr>
            <w:tcW w:w="9480" w:type="dxa"/>
            <w:vAlign w:val="bottom"/>
          </w:tcPr>
          <w:p>
            <w:pPr>
              <w:ind w:left="540"/>
              <w:spacing w:after="0"/>
              <w:rPr>
                <w:sz w:val="20"/>
                <w:szCs w:val="20"/>
                <w:color w:val="auto"/>
              </w:rPr>
            </w:pPr>
            <w:r>
              <w:rPr>
                <w:rFonts w:ascii="Arial" w:cs="Arial" w:eastAsia="Arial" w:hAnsi="Arial"/>
                <w:sz w:val="16"/>
                <w:szCs w:val="16"/>
                <w:color w:val="auto"/>
              </w:rPr>
              <w:t>Gain on sales of investments and other assets, net</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Stock-based compensation cost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r>
      <w:tr>
        <w:trPr>
          <w:trHeight w:val="237"/>
        </w:trPr>
        <w:tc>
          <w:tcPr>
            <w:tcW w:w="9480" w:type="dxa"/>
            <w:vAlign w:val="bottom"/>
          </w:tcPr>
          <w:p>
            <w:pPr>
              <w:ind w:left="540"/>
              <w:spacing w:after="0"/>
              <w:rPr>
                <w:sz w:val="20"/>
                <w:szCs w:val="20"/>
                <w:color w:val="auto"/>
              </w:rPr>
            </w:pPr>
            <w:r>
              <w:rPr>
                <w:rFonts w:ascii="Arial" w:cs="Arial" w:eastAsia="Arial" w:hAnsi="Arial"/>
                <w:sz w:val="16"/>
                <w:szCs w:val="16"/>
                <w:color w:val="auto"/>
              </w:rPr>
              <w:t>Tax benefit associated with the exercise of stock options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Changes in assets and liabilities, net of effects from acquisitions: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37"/>
        </w:trPr>
        <w:tc>
          <w:tcPr>
            <w:tcW w:w="9480" w:type="dxa"/>
            <w:vAlign w:val="bottom"/>
          </w:tcPr>
          <w:p>
            <w:pPr>
              <w:ind w:left="540"/>
              <w:spacing w:after="0"/>
              <w:rPr>
                <w:sz w:val="20"/>
                <w:szCs w:val="20"/>
                <w:color w:val="auto"/>
              </w:rPr>
            </w:pPr>
            <w:r>
              <w:rPr>
                <w:rFonts w:ascii="Arial" w:cs="Arial" w:eastAsia="Arial" w:hAnsi="Arial"/>
                <w:sz w:val="16"/>
                <w:szCs w:val="16"/>
                <w:color w:val="auto"/>
              </w:rPr>
              <w:t>Net decrease in pledged cash, pledged investments, and secured trust deposits</w:t>
            </w:r>
          </w:p>
        </w:tc>
        <w:tc>
          <w:tcPr>
            <w:tcW w:w="2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Net increase in trade receivables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37"/>
        </w:trPr>
        <w:tc>
          <w:tcPr>
            <w:tcW w:w="9480" w:type="dxa"/>
            <w:vAlign w:val="bottom"/>
          </w:tcPr>
          <w:p>
            <w:pPr>
              <w:ind w:left="540"/>
              <w:spacing w:after="0"/>
              <w:rPr>
                <w:sz w:val="20"/>
                <w:szCs w:val="20"/>
                <w:color w:val="auto"/>
              </w:rPr>
            </w:pPr>
            <w:r>
              <w:rPr>
                <w:rFonts w:ascii="Arial" w:cs="Arial" w:eastAsia="Arial" w:hAnsi="Arial"/>
                <w:sz w:val="16"/>
                <w:szCs w:val="16"/>
                <w:color w:val="auto"/>
              </w:rPr>
              <w:t>Net increase in prepaid expenses and other assets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Net decrease in accounts payable, accrued liabilities, deferred revenue and other</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37"/>
        </w:trPr>
        <w:tc>
          <w:tcPr>
            <w:tcW w:w="9480" w:type="dxa"/>
            <w:vAlign w:val="bottom"/>
          </w:tcPr>
          <w:p>
            <w:pPr>
              <w:ind w:left="540"/>
              <w:spacing w:after="0"/>
              <w:rPr>
                <w:sz w:val="20"/>
                <w:szCs w:val="20"/>
                <w:color w:val="auto"/>
              </w:rPr>
            </w:pPr>
            <w:r>
              <w:rPr>
                <w:rFonts w:ascii="Arial" w:cs="Arial" w:eastAsia="Arial" w:hAnsi="Arial"/>
                <w:sz w:val="16"/>
                <w:szCs w:val="16"/>
                <w:color w:val="auto"/>
              </w:rPr>
              <w:t>Net decrease in reserve for title claim losses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Net change in 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7"/>
        </w:trPr>
        <w:tc>
          <w:tcPr>
            <w:tcW w:w="9480" w:type="dxa"/>
            <w:vAlign w:val="bottom"/>
          </w:tcPr>
          <w:p>
            <w:pPr>
              <w:ind w:left="40"/>
              <w:spacing w:after="0"/>
              <w:rPr>
                <w:sz w:val="20"/>
                <w:szCs w:val="20"/>
                <w:color w:val="auto"/>
              </w:rPr>
            </w:pPr>
            <w:r>
              <w:rPr>
                <w:rFonts w:ascii="Arial" w:cs="Arial" w:eastAsia="Arial" w:hAnsi="Arial"/>
                <w:sz w:val="16"/>
                <w:szCs w:val="16"/>
                <w:color w:val="auto"/>
              </w:rPr>
              <w:t>Net cash (used in) provided by operating activities</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214</w:t>
            </w:r>
          </w:p>
        </w:tc>
      </w:tr>
      <w:tr>
        <w:trPr>
          <w:trHeight w:val="33"/>
        </w:trPr>
        <w:tc>
          <w:tcPr>
            <w:tcW w:w="9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Proceeds from sales of investment securities available for sale</w:t>
            </w:r>
          </w:p>
        </w:tc>
        <w:tc>
          <w:tcPr>
            <w:tcW w:w="2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454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401</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calls and maturities of investment securities available for sale</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w:t>
            </w: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Proceeds from sale of other assets</w:t>
            </w:r>
          </w:p>
        </w:tc>
        <w:tc>
          <w:tcPr>
            <w:tcW w:w="2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Additions to property and equipment and capitalized software</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Purchases of investment securities available for sale</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(607)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(536)</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proceeds from short-term investment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Net purchases of other long-term investments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Distribution from (contributions to) investments in unconsolidated affiliates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Net other investing activities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Acquisition of Lender Processing Services, Inc., net of cash acquired</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Acquisition of USA Industries, Inc., net of cash acquired</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acquisitions/disposals of businesses, net of cash acquired</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948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(2,378)</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w:t>
            </w:r>
          </w:p>
        </w:tc>
      </w:tr>
      <w:tr>
        <w:trPr>
          <w:trHeight w:val="33"/>
        </w:trPr>
        <w:tc>
          <w:tcPr>
            <w:tcW w:w="9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Borrowings</w:t>
            </w:r>
          </w:p>
        </w:tc>
        <w:tc>
          <w:tcPr>
            <w:tcW w:w="2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1,509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304</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Debt service payments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(305)</w:t>
            </w: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Additional investment in non-controlling interest</w:t>
            </w:r>
          </w:p>
        </w:tc>
        <w:tc>
          <w:tcPr>
            <w:tcW w:w="2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sale of 4% ownership interest of Digital Insurance, Inc.</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Proceeds from sale of 35% of Black Knight Financial Services, LLC and ServiceLink, LLC to minority interest holder</w:t>
            </w:r>
          </w:p>
        </w:tc>
        <w:tc>
          <w:tcPr>
            <w:tcW w:w="2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687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Dividends paid</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w:t>
            </w: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Subsidiary dividends paid to non-controlling interest shareholders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Exercise of stock options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Equity and debt issuance costs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Tax benefit associated with the exercise of stock options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Purchases of treasury stock</w:t>
            </w:r>
          </w:p>
        </w:tc>
        <w:tc>
          <w:tcPr>
            <w:tcW w:w="2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33"/>
        </w:trPr>
        <w:tc>
          <w:tcPr>
            <w:tcW w:w="9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(used in)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w:t>
            </w:r>
          </w:p>
        </w:tc>
      </w:tr>
      <w:tr>
        <w:trPr>
          <w:trHeight w:val="217"/>
        </w:trPr>
        <w:tc>
          <w:tcPr>
            <w:tcW w:w="9480" w:type="dxa"/>
            <w:vAlign w:val="bottom"/>
          </w:tcPr>
          <w:p>
            <w:pPr>
              <w:ind w:left="40"/>
              <w:spacing w:after="0"/>
              <w:rPr>
                <w:sz w:val="20"/>
                <w:szCs w:val="20"/>
                <w:color w:val="auto"/>
              </w:rPr>
            </w:pPr>
            <w:r>
              <w:rPr>
                <w:rFonts w:ascii="Arial" w:cs="Arial" w:eastAsia="Arial" w:hAnsi="Arial"/>
                <w:sz w:val="16"/>
                <w:szCs w:val="16"/>
                <w:color w:val="auto"/>
              </w:rPr>
              <w:t>Net (decrease) increase in cash and cash equivalents, excluding pledged cash related to secured trust deposits</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(869)</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excluding pledged cash related to secured trust deposits at beginning of period</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866</w:t>
            </w:r>
          </w:p>
        </w:tc>
      </w:tr>
      <w:tr>
        <w:trPr>
          <w:trHeight w:val="284"/>
        </w:trPr>
        <w:tc>
          <w:tcPr>
            <w:tcW w:w="94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 excluding pledged cash related to secured trust deposits at end of period</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761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901</w:t>
            </w:r>
          </w:p>
        </w:tc>
      </w:tr>
      <w:tr>
        <w:trPr>
          <w:trHeight w:val="224"/>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Supplemental cash flow information:</w:t>
            </w:r>
          </w:p>
        </w:tc>
        <w:tc>
          <w:tcPr>
            <w:tcW w:w="2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r>
      <w:tr>
        <w:trPr>
          <w:trHeight w:val="290"/>
        </w:trPr>
        <w:tc>
          <w:tcPr>
            <w:tcW w:w="94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Income taxes paid, net</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104</w:t>
            </w:r>
          </w:p>
        </w:tc>
      </w:tr>
      <w:tr>
        <w:trPr>
          <w:trHeight w:val="237"/>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paid</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w:t>
            </w:r>
          </w:p>
        </w:tc>
      </w:tr>
      <w:tr>
        <w:trPr>
          <w:trHeight w:val="20"/>
        </w:trPr>
        <w:tc>
          <w:tcPr>
            <w:tcW w:w="9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ectPr>
          <w:pgSz w:w="11900" w:h="16838" w:orient="portrait"/>
          <w:cols w:equalWidth="0" w:num="1">
            <w:col w:w="11420"/>
          </w:cols>
          <w:pgMar w:left="240" w:top="121" w:right="239" w:bottom="26" w:gutter="0" w:footer="0" w:header="0"/>
        </w:sectPr>
      </w:pPr>
    </w:p>
    <w:p>
      <w:pPr>
        <w:jc w:val="center"/>
        <w:spacing w:after="0"/>
        <w:rPr>
          <w:sz w:val="20"/>
          <w:szCs w:val="20"/>
          <w:color w:val="auto"/>
        </w:rPr>
      </w:pPr>
      <w:r>
        <w:rPr>
          <w:rFonts w:ascii="Arial" w:cs="Arial" w:eastAsia="Arial" w:hAnsi="Arial"/>
          <w:sz w:val="15"/>
          <w:szCs w:val="15"/>
          <w:color w:val="auto"/>
        </w:rPr>
        <w:t>See Notes to Condensed Consolidated Financial Statements</w:t>
      </w:r>
    </w:p>
    <w:p>
      <w:pPr>
        <w:sectPr>
          <w:pgSz w:w="11900" w:h="16838" w:orient="portrait"/>
          <w:cols w:equalWidth="0" w:num="1">
            <w:col w:w="11420"/>
          </w:cols>
          <w:pgMar w:left="240" w:top="121" w:right="239" w:bottom="26"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9019"/>
          </w:cols>
          <w:pgMar w:left="1440" w:top="125" w:right="1440"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Basis of Financial Statements</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unaudited financial information in this report includes the accounts of Fidelity National Financial, Inc. and its subsidiaries (collectively, “we,” “us,” “our,” or “FNF”) prepared in accordance with U.S. generally accepted accounting principles ("GAAP") and the instructions to Form 10-Q and Article 10 of Regulation S-X. All adjustments considered necessary for a fair presentation have been included. This report should be read in conjunction with our Annual Report on Form 10-K for the year ended December 31, 2013.</w:t>
      </w:r>
    </w:p>
    <w:p>
      <w:pPr>
        <w:spacing w:after="0" w:line="79" w:lineRule="exact"/>
        <w:rPr>
          <w:sz w:val="20"/>
          <w:szCs w:val="20"/>
          <w:color w:val="auto"/>
        </w:rPr>
      </w:pPr>
    </w:p>
    <w:p>
      <w:pPr>
        <w:ind w:right="800" w:firstLine="324"/>
        <w:spacing w:after="0" w:line="402" w:lineRule="auto"/>
        <w:rPr>
          <w:sz w:val="20"/>
          <w:szCs w:val="20"/>
          <w:color w:val="auto"/>
        </w:rPr>
      </w:pPr>
      <w:r>
        <w:rPr>
          <w:rFonts w:ascii="Arial" w:cs="Arial" w:eastAsia="Arial" w:hAnsi="Arial"/>
          <w:sz w:val="18"/>
          <w:szCs w:val="18"/>
          <w:color w:val="auto"/>
        </w:rPr>
        <w:t xml:space="preserve">Certain reclassifications have been made in the 2013 Condensed Consolidated Financial Statements to conform to classifications used in 2014. </w:t>
      </w:r>
      <w:r>
        <w:rPr>
          <w:rFonts w:ascii="Arial" w:cs="Arial" w:eastAsia="Arial" w:hAnsi="Arial"/>
          <w:sz w:val="18"/>
          <w:szCs w:val="18"/>
          <w:b w:val="1"/>
          <w:bCs w:val="1"/>
          <w:i w:val="1"/>
          <w:iCs w:val="1"/>
          <w:color w:val="auto"/>
        </w:rPr>
        <w:t>Description of Business</w:t>
      </w:r>
    </w:p>
    <w:p>
      <w:pPr>
        <w:spacing w:after="0" w:line="3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have organized our business into two groups, FNF Core Operations and FNF Ventures, known as "FNFV". We are a leading provider of title insurance, technology and transaction services to the real estate and mortgage industries. We are the nation’s largest title insurance company through our title insurance underwriters - Fidelity National Title, Chicago Title, Commonwealth Land Title, Alamo Title and National Title of New York - that collectively issue more title insurance policies than any other title company in the United States. We also provide industry-leading mortgage technology solutions and transaction services, including MSP®, the leading residential mortgage servicing technology platform in the U.S., through our majority-owned subsidiaries, Black Knight Financial Services, LLC ("BKFS") and ServiceLink Holdings, LLC ("ServiceLink"). In addition, in our FNFV group, we own majority and minority equity investment stakes in a number of entities, including American Blue Ribbon Holdings, LLC ("ABRH"), J. Alexander’s, LLC ("J. Alexander's"), Remy International, Inc. ("Remy"), Ceridian HCM, Inc. and Comdata Inc. (collectively "Ceridian") and Digital Insurance, Inc. ("Digital Insurance").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On June 30, 2014, we completed the recapitalization of FNF common stock into the two previously announced tracking stocks, FNF Group common stock and FNFV Group common stock. Each share of the previously outstanding FNF Class A common stock was converted into one share of FNF Group common stock, which now trades on the New York Stock Exchange under the current trading symbol "FNF," and 0.3333 of a share of FNFV Group common stock, which now trades on the New York Stock Exchange under the trading symbol "FNFV." Both FNF and FNFV began regular trading on July 1, 2014.</w:t>
      </w:r>
    </w:p>
    <w:p>
      <w:pPr>
        <w:spacing w:after="0" w:line="4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Effective June 1, 2014, we completed an internal reorganization to contribute our subsidiary Property Insight, a company which provides information used by title insurance underwriters, title agents and closing attorneys to underwrite title insurance policies for real property sales and transfer, from our Title segment to BKFS. As a result of this transfer, our ownership percentage in BKFS increased to 67%. The results presented for the month ended June 30, 2014, reflect our now 67% ownership interest in BKFS and Thomas H. Lee partners' now 33% ownership of BKFS.</w:t>
      </w:r>
    </w:p>
    <w:p>
      <w:pPr>
        <w:spacing w:after="0" w:line="6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January 13, 2014, Remy acquired substantially all of the assets of United Starters and Alternators Industries, Inc. ("USA Industries") pursuant to the terms and conditions of the Asset Purchase Agreement. USA Industries is a leading North American distributor of premium quality remanufactured and new alternators, starters, constant velocity axles and disc brake calipers for the light-duty aftermarket. Total consideration paid was $40 million, net of cash acquired.</w:t>
      </w:r>
    </w:p>
    <w:p>
      <w:pPr>
        <w:spacing w:after="0" w:line="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January 2, 2014, we completed the purchase of Lender Processing Services, Inc. ("LPS"). The purchase consideration paid was $37.14 per share, of which $28.10 per share was paid in cash and the remaining $9.04 was paid in FNF common shares. The purchase consideration represented an exchange ratio of 0.28742 FNF Class A common shares per share of LPS common stock. Total consideration paid for LPS was $3.4 billion, which consisted of $2,248 million in cash, net of cash acquired of $287 million and $839 million in FNF common stock. In order to pay the stock component of the consideration, we issued 25,920,078 shares to the former LPS shareholders. See Note B for further discussion.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9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results from a small software company, which we acquired with LPS and which was sold during the second quarter of 2014, are included in the Condensed Consolidated Statements of Earnings as discontinued operations for all periods presented. Total revenues included in discontinued operations were $1 million and $2 million for the three months ended June 30, 2014 and 2013, respectively, and $2 million and $4 million for the six months ending June 30, 2014 and 2013, respectively. Pre-tax earnings included in discontinued operations are $1 million for the three months ending June 30, 2014 and there were no pre-tax earnings for the three months ended June 30, 2013. There were pre-tax earnings of $1 million for the six months ended June 30, 2013 and there were no pre-tax earnings in the six months ended June 30, 2014. The results from two closed J. Alexander's locations and a settlement services company closed in the second quarter of 2013 are reflected in the Condensed Consolidated Statements of Earnings as discontinued operations for all periods presented. There were no revenues included in discontinued operations during</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3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three and six months ended June 30, 2014. Total revenues included in discontinued operations were $1 million for the three months ending June 30, 2013, and $8 million for the six months ending June 30, 2013. There was no pre-tax loss included in discontinued operations for the three and six months ending June 30, 2014. Pre-tax loss included in discontinued operations was $2 million for the three months ending June 30, 2013.</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Related Parties</w:t>
      </w:r>
    </w:p>
    <w:p>
      <w:pPr>
        <w:spacing w:after="0" w:line="19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we no longer have any officers in common with Fidelity National Information Services, Inc. ("FIS"), effective January 1, 2014, we no longer consider FIS a related party.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Agreements with FIS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agreements that were in effect with FIS through December 31, 2013 is as follows:</w:t>
      </w:r>
    </w:p>
    <w:p>
      <w:pPr>
        <w:spacing w:after="0" w:line="279" w:lineRule="exact"/>
        <w:rPr>
          <w:sz w:val="20"/>
          <w:szCs w:val="20"/>
          <w:color w:val="auto"/>
        </w:rPr>
      </w:pPr>
    </w:p>
    <w:p>
      <w:pPr>
        <w:jc w:val="both"/>
        <w:ind w:left="660" w:right="2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Information Technology (“IT”) and data processing services from FIS. This agreement governs IT support services provided to us by FIS, primarily consisting of infrastructure support and data center management. Certain subsidiaries of FIS also provided technology consulting services to FNF during 2013.</w:t>
      </w:r>
    </w:p>
    <w:p>
      <w:pPr>
        <w:spacing w:after="0" w:line="7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Administrative aviation corporate support and cost-sharing services to FIS.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detail of net revenues and expenses between us and FIS that were included in our results of operations for the periods presented is as follows: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1880" w:type="dxa"/>
            <w:vAlign w:val="bottom"/>
            <w:gridSpan w:val="3"/>
          </w:tcPr>
          <w:p>
            <w:pPr>
              <w:ind w:left="80"/>
              <w:spacing w:after="0"/>
              <w:rPr>
                <w:sz w:val="20"/>
                <w:szCs w:val="20"/>
                <w:color w:val="auto"/>
              </w:rPr>
            </w:pPr>
            <w:r>
              <w:rPr>
                <w:rFonts w:ascii="Arial" w:cs="Arial" w:eastAsia="Arial" w:hAnsi="Arial"/>
                <w:sz w:val="14"/>
                <w:szCs w:val="14"/>
                <w:b w:val="1"/>
                <w:bCs w:val="1"/>
                <w:color w:val="auto"/>
              </w:rPr>
              <w:t>Three months ended June</w:t>
            </w:r>
          </w:p>
        </w:tc>
        <w:tc>
          <w:tcPr>
            <w:tcW w:w="174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Six months ended June 30,</w:t>
            </w:r>
          </w:p>
        </w:tc>
      </w:tr>
      <w:tr>
        <w:trPr>
          <w:trHeight w:val="192"/>
        </w:trPr>
        <w:tc>
          <w:tcPr>
            <w:tcW w:w="73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30, 2013</w:t>
            </w: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2013</w:t>
            </w:r>
          </w:p>
        </w:tc>
      </w:tr>
      <w:tr>
        <w:trPr>
          <w:trHeight w:val="196"/>
        </w:trPr>
        <w:tc>
          <w:tcPr>
            <w:tcW w:w="7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20" w:type="dxa"/>
            <w:vAlign w:val="bottom"/>
            <w:gridSpan w:val="3"/>
          </w:tcPr>
          <w:p>
            <w:pPr>
              <w:jc w:val="right"/>
              <w:ind w:right="116"/>
              <w:spacing w:after="0"/>
              <w:rPr>
                <w:sz w:val="20"/>
                <w:szCs w:val="20"/>
                <w:color w:val="auto"/>
              </w:rPr>
            </w:pPr>
            <w:r>
              <w:rPr>
                <w:rFonts w:ascii="Arial" w:cs="Arial" w:eastAsia="Arial" w:hAnsi="Arial"/>
                <w:sz w:val="14"/>
                <w:szCs w:val="14"/>
                <w:b w:val="1"/>
                <w:bCs w:val="1"/>
                <w:color w:val="auto"/>
              </w:rPr>
              <w:t>(in millions)</w:t>
            </w:r>
          </w:p>
        </w:tc>
        <w:tc>
          <w:tcPr>
            <w:tcW w:w="1220" w:type="dxa"/>
            <w:vAlign w:val="bottom"/>
          </w:tcPr>
          <w:p>
            <w:pPr>
              <w:spacing w:after="0"/>
              <w:rPr>
                <w:sz w:val="17"/>
                <w:szCs w:val="17"/>
                <w:color w:val="auto"/>
              </w:rPr>
            </w:pPr>
          </w:p>
        </w:tc>
      </w:tr>
      <w:tr>
        <w:trPr>
          <w:trHeight w:val="256"/>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services and cost-sharing revenue</w:t>
            </w: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36"/>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rPr>
              <w:t>Data processing expense</w:t>
            </w:r>
          </w:p>
        </w:tc>
        <w:tc>
          <w:tcPr>
            <w:tcW w:w="3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7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7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expense</w:t>
            </w:r>
          </w:p>
        </w:tc>
        <w:tc>
          <w:tcPr>
            <w:tcW w:w="3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7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believe the amounts earned by us or charged to us under each of the foregoing arrangements are fair and reasonable. The IT infrastructure support and data center management services provided to us are priced within the range of prices that FIS offers to its unaffiliated third party customers for the same types of services. However, the amounts we earned or were charged under these arrangements were not negotiated at arm’s-length, and may not represent the terms that we might have obtained from an unrelated third party. The net amount due to FIS as a result of these agreements was $3 million as of December 31, 2013.</w:t>
      </w:r>
    </w:p>
    <w:p>
      <w:pPr>
        <w:spacing w:after="0" w:line="8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Included in equity securities available for sale at December 31, 2013, are 1,303,860 shares of FIS stock which were purchased during the fourth quarter of 2009 in connection with a merger between FIS and Metavante Technologies, Inc. The fair value of our investment was $70 million as of December 31, 2013.</w:t>
      </w:r>
    </w:p>
    <w:p>
      <w:pPr>
        <w:spacing w:after="0" w:line="73" w:lineRule="exact"/>
        <w:rPr>
          <w:sz w:val="20"/>
          <w:szCs w:val="20"/>
          <w:color w:val="auto"/>
        </w:rPr>
      </w:pPr>
    </w:p>
    <w:p>
      <w:pPr>
        <w:ind w:right="2220" w:firstLine="324"/>
        <w:spacing w:after="0" w:line="375" w:lineRule="auto"/>
        <w:rPr>
          <w:sz w:val="20"/>
          <w:szCs w:val="20"/>
          <w:color w:val="auto"/>
        </w:rPr>
      </w:pPr>
      <w:r>
        <w:rPr>
          <w:rFonts w:ascii="Arial" w:cs="Arial" w:eastAsia="Arial" w:hAnsi="Arial"/>
          <w:sz w:val="18"/>
          <w:szCs w:val="18"/>
          <w:color w:val="auto"/>
        </w:rPr>
        <w:t xml:space="preserve">Also included in fixed maturities available for sale are FIS bonds with a fair value of $42 million as of December 31, 2013. </w:t>
      </w:r>
      <w:r>
        <w:rPr>
          <w:rFonts w:ascii="Arial" w:cs="Arial" w:eastAsia="Arial" w:hAnsi="Arial"/>
          <w:sz w:val="18"/>
          <w:szCs w:val="18"/>
          <w:b w:val="1"/>
          <w:bCs w:val="1"/>
          <w:i w:val="1"/>
          <w:iCs w:val="1"/>
          <w:color w:val="auto"/>
        </w:rPr>
        <w:t>Earnings Per Share</w:t>
      </w:r>
    </w:p>
    <w:p>
      <w:pPr>
        <w:spacing w:after="0" w:line="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Basic earnings per share, as presented on the Condensed Consolidated Statement of Earnings, is computed by dividing net earnings available to common shareholders by the weighted average number of common shares outstanding during the period. In periods when earnings are positive, diluted earnings per share is calculated by dividing net earnings available to common shareholders by the weighted average number of common shares outstanding plus the impact of assumed conversions of potentially dilutive securities. For periods when we recognize a net loss, diluted earnings per share is equal to basic earnings per share as the impact of assumed conversions of potentially dilutive securities is considered to be antidilutive. We have granted certain options and shares of restricted stock as well as convertible debt instruments which have been treated as common share equivalents for purposes of calculating diluted earnings per share for periods in which positive earnings have been reported.</w:t>
      </w:r>
    </w:p>
    <w:p>
      <w:pPr>
        <w:spacing w:after="0" w:line="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Options to purchase shares of our common stock that are antidilutive are excluded from the computation of diluted earnings per share. There were no antidilutive options during the three and six month periods ended June 30, 2014. There were one million shares related to antidilutive options excluded for the three and six month periods ended June 30, 2013.</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the close of business on June 30, 2014, we completed the recapitalization of FNF Class A common stock into the two previously announced tracking stocks, FNF Group common stock and FNFV Group common stock. As a result of the recapitalization, there were 277,462,875 shares of FNF Group common stock and 91,711,237 shares of FNFV Group common stock outstanding as of June 30, 2014. As the recapitalization did not occur until June 30, 2014, the weighted average shares</w:t>
      </w:r>
    </w:p>
    <w:p>
      <w:pPr>
        <w:sectPr>
          <w:pgSz w:w="11900" w:h="16838" w:orient="portrait"/>
          <w:cols w:equalWidth="0" w:num="1">
            <w:col w:w="11420"/>
          </w:cols>
          <w:pgMar w:left="240" w:top="121"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1"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6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outstanding presented on the Condensed Consolidated Statements of Earnings does not include any shares of FNF Group common stock or FNFV Group common stock. Earnings per share for the three and six months ending June 30, 2014 was fully attributed to the previous class of FNF common stock, known as FNF Class A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In May 2014, the Financial Accounting Standards Board ("FASB") issued Accounting Standards Update ("ASU") No. 2014-09, </w:t>
      </w:r>
      <w:r>
        <w:rPr>
          <w:rFonts w:ascii="Arial" w:cs="Arial" w:eastAsia="Arial" w:hAnsi="Arial"/>
          <w:sz w:val="18"/>
          <w:szCs w:val="18"/>
          <w:i w:val="1"/>
          <w:iCs w:val="1"/>
          <w:color w:val="auto"/>
        </w:rPr>
        <w:t>Revenue from Contracts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with Customers (Topic 606). </w:t>
      </w:r>
      <w:r>
        <w:rPr>
          <w:rFonts w:ascii="Arial" w:cs="Arial" w:eastAsia="Arial" w:hAnsi="Arial"/>
          <w:sz w:val="18"/>
          <w:szCs w:val="18"/>
          <w:color w:val="auto"/>
        </w:rPr>
        <w:t>This ASU provides a new comprehensive revenue recognition model that requires companies to recognize revenue to depict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 of goods or services to a customer at an amount that reflects the consideration it expects to receive in exchange for those goods or services. This update also requires additional disclosure about the nature, amount, timing and uncertainty of revenue and cash flows arising from customer contracts. This update permits the use of either the retrospective or cumulative effect transition method. We are evaluating the effect this new guidance will have on our consolidated financial statements and related disclosures. We have not yet selected a transition method nor have we determined the effect of the standard on our ongoing financial reporting. This update is effective for annual and interim periods beginning on or after December 15, 2016, with early application not permitted.</w:t>
      </w:r>
    </w:p>
    <w:p>
      <w:pPr>
        <w:spacing w:after="0" w:line="1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In April 2014, the Financial Accounting Standards Board ("FASB") issued Accounting Standards Update ("ASU") No. 2014-08, </w:t>
      </w:r>
      <w:r>
        <w:rPr>
          <w:rFonts w:ascii="Arial" w:cs="Arial" w:eastAsia="Arial" w:hAnsi="Arial"/>
          <w:sz w:val="18"/>
          <w:szCs w:val="18"/>
          <w:i w:val="1"/>
          <w:iCs w:val="1"/>
          <w:color w:val="auto"/>
        </w:rPr>
        <w:t>Presentation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Statements (Topic 205) and Property, Plant, and Equipment (Topic 360): Reporting Discontinued Operations and Disclosures of Disposals of Components of an Entity. </w:t>
      </w:r>
      <w:r>
        <w:rPr>
          <w:rFonts w:ascii="Arial" w:cs="Arial" w:eastAsia="Arial" w:hAnsi="Arial"/>
          <w:sz w:val="18"/>
          <w:szCs w:val="18"/>
          <w:color w:val="auto"/>
        </w:rPr>
        <w:t>This ASU raises the threshold for a disposal to qualify as a discontinued operation and requires new disclosures of both</w:t>
      </w:r>
      <w:r>
        <w:rPr>
          <w:rFonts w:ascii="Arial" w:cs="Arial" w:eastAsia="Arial" w:hAnsi="Arial"/>
          <w:sz w:val="18"/>
          <w:szCs w:val="18"/>
          <w:i w:val="1"/>
          <w:iCs w:val="1"/>
          <w:color w:val="auto"/>
        </w:rPr>
        <w:t xml:space="preserve"> </w:t>
      </w:r>
      <w:r>
        <w:rPr>
          <w:rFonts w:ascii="Arial" w:cs="Arial" w:eastAsia="Arial" w:hAnsi="Arial"/>
          <w:sz w:val="18"/>
          <w:szCs w:val="18"/>
          <w:color w:val="auto"/>
        </w:rPr>
        <w:t>discontinued operations and certain other disposals that do not meet the definition of a discontinued operation. This ASU is effective for annual periods beginning after December 15, 2014, and interim periods within annual periods beginning on or after December 15, 2015, with early adoption permitted. We plan to adopt this ASU for the annual and interim periods beginning January 1, 2015 and do not expect this update to have a material impact on our financial statements.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Acquisition of Lender Processing Services, Inc.</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results of operations and financial position of the entities acquired during any year are included in the Condensed Consolidated Financial Statements from and after the date of acquisition.</w:t>
      </w:r>
    </w:p>
    <w:p>
      <w:pPr>
        <w:spacing w:after="0" w:line="6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On January 2, 2014, we completed the purchase of LPS. The purchase consideration paid was $37.14 per share, of which $28.10 per share was paid in cash and the remaining $9.04 was paid in FNF common shares. The purchase consideration represented an exchange ratio of 0.28742 FNF Class A common shares per share of LPS common stock. Total consideration paid for LPS was $3.4 billion, which consisted of $2,248 million in cash, net of $287 million cash acquired and $839 million in FNF common stock. In order to pay the stock component of the consideration, we issued 25,920,078 shares to the former LPS shareholders. Goodwill has been recorded based on the amount that the purchase price exceeded the fair value of the net assets acquired.</w:t>
      </w:r>
    </w:p>
    <w:p>
      <w:pPr>
        <w:spacing w:after="0" w:line="5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0260" w:type="dxa"/>
            <w:vAlign w:val="bottom"/>
          </w:tcPr>
          <w:p>
            <w:pPr>
              <w:ind w:left="320"/>
              <w:spacing w:after="0"/>
              <w:rPr>
                <w:sz w:val="20"/>
                <w:szCs w:val="20"/>
                <w:color w:val="auto"/>
              </w:rPr>
            </w:pPr>
            <w:r>
              <w:rPr>
                <w:rFonts w:ascii="Arial" w:cs="Arial" w:eastAsia="Arial" w:hAnsi="Arial"/>
                <w:sz w:val="18"/>
                <w:szCs w:val="18"/>
                <w:color w:val="auto"/>
              </w:rPr>
              <w:t>The initial purchase price is as follows (in millions):</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135"/>
        </w:trPr>
        <w:tc>
          <w:tcPr>
            <w:tcW w:w="10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250"/>
        </w:trPr>
        <w:tc>
          <w:tcPr>
            <w:tcW w:w="10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LPS outstanding shares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2,535</w:t>
            </w:r>
          </w:p>
        </w:tc>
      </w:tr>
      <w:tr>
        <w:trPr>
          <w:trHeight w:val="243"/>
        </w:trPr>
        <w:tc>
          <w:tcPr>
            <w:tcW w:w="10260" w:type="dxa"/>
            <w:vAlign w:val="bottom"/>
          </w:tcPr>
          <w:p>
            <w:pPr>
              <w:ind w:left="20"/>
              <w:spacing w:after="0"/>
              <w:rPr>
                <w:sz w:val="20"/>
                <w:szCs w:val="20"/>
                <w:color w:val="auto"/>
              </w:rPr>
            </w:pPr>
            <w:r>
              <w:rPr>
                <w:rFonts w:ascii="Arial" w:cs="Arial" w:eastAsia="Arial" w:hAnsi="Arial"/>
                <w:sz w:val="18"/>
                <w:szCs w:val="18"/>
                <w:color w:val="auto"/>
              </w:rPr>
              <w:t>Less: cash acquired from LPS</w:t>
            </w: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(287)</w:t>
            </w:r>
          </w:p>
        </w:tc>
      </w:tr>
      <w:tr>
        <w:trPr>
          <w:trHeight w:val="27"/>
        </w:trPr>
        <w:tc>
          <w:tcPr>
            <w:tcW w:w="102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10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paid for LPS</w:t>
            </w: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2,248</w:t>
            </w:r>
          </w:p>
        </w:tc>
      </w:tr>
      <w:tr>
        <w:trPr>
          <w:trHeight w:val="243"/>
        </w:trPr>
        <w:tc>
          <w:tcPr>
            <w:tcW w:w="10260" w:type="dxa"/>
            <w:vAlign w:val="bottom"/>
          </w:tcPr>
          <w:p>
            <w:pPr>
              <w:ind w:left="20"/>
              <w:spacing w:after="0"/>
              <w:rPr>
                <w:sz w:val="20"/>
                <w:szCs w:val="20"/>
                <w:color w:val="auto"/>
              </w:rPr>
            </w:pPr>
            <w:r>
              <w:rPr>
                <w:rFonts w:ascii="Arial" w:cs="Arial" w:eastAsia="Arial" w:hAnsi="Arial"/>
                <w:sz w:val="18"/>
                <w:szCs w:val="18"/>
                <w:color w:val="auto"/>
              </w:rPr>
              <w:t>FNF common stock issued (25,920,078 shares)</w:t>
            </w:r>
          </w:p>
        </w:tc>
        <w:tc>
          <w:tcPr>
            <w:tcW w:w="3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839</w:t>
            </w:r>
          </w:p>
        </w:tc>
      </w:tr>
      <w:tr>
        <w:trPr>
          <w:trHeight w:val="27"/>
        </w:trPr>
        <w:tc>
          <w:tcPr>
            <w:tcW w:w="102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10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consideration paid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3,087</w:t>
            </w:r>
          </w:p>
        </w:tc>
      </w:tr>
      <w:tr>
        <w:trPr>
          <w:trHeight w:val="20"/>
        </w:trPr>
        <w:tc>
          <w:tcPr>
            <w:tcW w:w="10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The purchase price has been initially allocated to the LPS assets acquired and liabilities assumed based on our best estimates of their fair values as of the acquisition date. Goodwill has been recorded based on the amount that the purchase price exceeds the fair value of the net assets acquired. This estimate is preliminary and subject to adjustments as we complete our valuation process with respect to capitalized software, intangible assets, legal contingencies, taxes and goodwill, which we expect to have complete by the end of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0260" w:type="dxa"/>
            <w:vAlign w:val="bottom"/>
          </w:tcPr>
          <w:p>
            <w:pPr>
              <w:ind w:left="320"/>
              <w:spacing w:after="0"/>
              <w:rPr>
                <w:sz w:val="20"/>
                <w:szCs w:val="20"/>
                <w:color w:val="auto"/>
              </w:rPr>
            </w:pPr>
            <w:r>
              <w:rPr>
                <w:rFonts w:ascii="Arial" w:cs="Arial" w:eastAsia="Arial" w:hAnsi="Arial"/>
                <w:sz w:val="18"/>
                <w:szCs w:val="18"/>
                <w:color w:val="auto"/>
              </w:rPr>
              <w:t>The initial purchase price allocation is as follows (in millions):</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43"/>
        </w:trPr>
        <w:tc>
          <w:tcPr>
            <w:tcW w:w="10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50"/>
        </w:trPr>
        <w:tc>
          <w:tcPr>
            <w:tcW w:w="10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and notes receivable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w:t>
            </w:r>
          </w:p>
        </w:tc>
      </w:tr>
      <w:tr>
        <w:trPr>
          <w:trHeight w:val="243"/>
        </w:trPr>
        <w:tc>
          <w:tcPr>
            <w:tcW w:w="1026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3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77</w:t>
            </w:r>
          </w:p>
        </w:tc>
      </w:tr>
      <w:tr>
        <w:trPr>
          <w:trHeight w:val="27"/>
        </w:trPr>
        <w:tc>
          <w:tcPr>
            <w:tcW w:w="10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0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r>
      <w:tr>
        <w:trPr>
          <w:trHeight w:val="243"/>
        </w:trPr>
        <w:tc>
          <w:tcPr>
            <w:tcW w:w="1026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3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150</w:t>
            </w:r>
          </w:p>
        </w:tc>
      </w:tr>
      <w:tr>
        <w:trPr>
          <w:trHeight w:val="27"/>
        </w:trPr>
        <w:tc>
          <w:tcPr>
            <w:tcW w:w="10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0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Capitalized software</w:t>
            </w: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557</w:t>
            </w:r>
          </w:p>
        </w:tc>
      </w:tr>
      <w:tr>
        <w:trPr>
          <w:trHeight w:val="243"/>
        </w:trPr>
        <w:tc>
          <w:tcPr>
            <w:tcW w:w="10260" w:type="dxa"/>
            <w:vAlign w:val="bottom"/>
          </w:tcPr>
          <w:p>
            <w:pPr>
              <w:ind w:left="20"/>
              <w:spacing w:after="0"/>
              <w:rPr>
                <w:sz w:val="20"/>
                <w:szCs w:val="20"/>
                <w:color w:val="auto"/>
              </w:rPr>
            </w:pPr>
            <w:r>
              <w:rPr>
                <w:rFonts w:ascii="Arial" w:cs="Arial" w:eastAsia="Arial" w:hAnsi="Arial"/>
                <w:sz w:val="18"/>
                <w:szCs w:val="18"/>
                <w:color w:val="auto"/>
              </w:rPr>
              <w:t>Intangible assets including title plants</w:t>
            </w:r>
          </w:p>
        </w:tc>
        <w:tc>
          <w:tcPr>
            <w:tcW w:w="3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1,007</w:t>
            </w:r>
          </w:p>
        </w:tc>
      </w:tr>
      <w:tr>
        <w:trPr>
          <w:trHeight w:val="27"/>
        </w:trPr>
        <w:tc>
          <w:tcPr>
            <w:tcW w:w="10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0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r>
      <w:tr>
        <w:trPr>
          <w:trHeight w:val="243"/>
        </w:trPr>
        <w:tc>
          <w:tcPr>
            <w:tcW w:w="10260" w:type="dxa"/>
            <w:vAlign w:val="bottom"/>
          </w:tcPr>
          <w:p>
            <w:pPr>
              <w:ind w:left="20"/>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3,004</w:t>
            </w:r>
          </w:p>
        </w:tc>
      </w:tr>
      <w:tr>
        <w:trPr>
          <w:trHeight w:val="27"/>
        </w:trPr>
        <w:tc>
          <w:tcPr>
            <w:tcW w:w="102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10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5,078</w:t>
            </w:r>
          </w:p>
        </w:tc>
      </w:tr>
      <w:tr>
        <w:trPr>
          <w:trHeight w:val="243"/>
        </w:trPr>
        <w:tc>
          <w:tcPr>
            <w:tcW w:w="10260" w:type="dxa"/>
            <w:vAlign w:val="bottom"/>
          </w:tcPr>
          <w:p>
            <w:pPr>
              <w:ind w:left="20"/>
              <w:spacing w:after="0"/>
              <w:rPr>
                <w:sz w:val="20"/>
                <w:szCs w:val="20"/>
                <w:color w:val="auto"/>
              </w:rPr>
            </w:pPr>
            <w:r>
              <w:rPr>
                <w:rFonts w:ascii="Arial" w:cs="Arial" w:eastAsia="Arial" w:hAnsi="Arial"/>
                <w:sz w:val="18"/>
                <w:szCs w:val="18"/>
                <w:color w:val="auto"/>
              </w:rPr>
              <w:t>Notes payable</w:t>
            </w:r>
          </w:p>
        </w:tc>
        <w:tc>
          <w:tcPr>
            <w:tcW w:w="3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1,091</w:t>
            </w:r>
          </w:p>
        </w:tc>
      </w:tr>
      <w:tr>
        <w:trPr>
          <w:trHeight w:val="27"/>
        </w:trPr>
        <w:tc>
          <w:tcPr>
            <w:tcW w:w="10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0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Reserve for title claims</w:t>
            </w: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r>
      <w:tr>
        <w:trPr>
          <w:trHeight w:val="243"/>
        </w:trPr>
        <w:tc>
          <w:tcPr>
            <w:tcW w:w="1026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3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409</w:t>
            </w:r>
          </w:p>
        </w:tc>
      </w:tr>
      <w:tr>
        <w:trPr>
          <w:trHeight w:val="27"/>
        </w:trPr>
        <w:tc>
          <w:tcPr>
            <w:tcW w:w="10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10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liabilities assumed</w:t>
            </w: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437</w:t>
            </w:r>
          </w:p>
        </w:tc>
      </w:tr>
      <w:tr>
        <w:trPr>
          <w:trHeight w:val="237"/>
        </w:trPr>
        <w:tc>
          <w:tcPr>
            <w:tcW w:w="1026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3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1,991</w:t>
            </w:r>
          </w:p>
        </w:tc>
      </w:tr>
      <w:tr>
        <w:trPr>
          <w:trHeight w:val="27"/>
        </w:trPr>
        <w:tc>
          <w:tcPr>
            <w:tcW w:w="102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10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acquired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3,087</w:t>
            </w:r>
          </w:p>
        </w:tc>
      </w:tr>
      <w:tr>
        <w:trPr>
          <w:trHeight w:val="20"/>
        </w:trPr>
        <w:tc>
          <w:tcPr>
            <w:tcW w:w="10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Subsequent to the LPS acquisition, we formed a wholly-owned subsidiary, Black Knight Holdings, Inc. ("Black Knight"). Black Knight is the mortgage and finance industries' leading provider of integrated technology, data and analytics solutions, and transaction services. Black Knight has two operating businesses, ServiceLink and BKFS. We retained a 65% ownership interest in each of the subsidiaries and issued the remaining 35% minority ownership interest to funds affiliated with Thomas H. Lee Partners and certain related entities on January 3, 2014. ServiceLink and BKFS now own and operate the former LPS businesses and our legacy ServiceLink business.</w:t>
      </w:r>
    </w:p>
    <w:p>
      <w:pPr>
        <w:spacing w:after="0" w:line="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intangible assets acquired (in millions, except for useful life):</w:t>
      </w: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6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Weighted Average</w:t>
            </w: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w w:val="90"/>
              </w:rPr>
              <w:t>Residual Value</w:t>
            </w:r>
          </w:p>
        </w:tc>
      </w:tr>
      <w:tr>
        <w:trPr>
          <w:trHeight w:val="216"/>
        </w:trPr>
        <w:tc>
          <w:tcPr>
            <w:tcW w:w="6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Fair Value as of</w:t>
            </w:r>
          </w:p>
        </w:tc>
        <w:tc>
          <w:tcPr>
            <w:tcW w:w="120" w:type="dxa"/>
            <w:vAlign w:val="bottom"/>
          </w:tcPr>
          <w:p>
            <w:pPr>
              <w:spacing w:after="0"/>
              <w:rPr>
                <w:sz w:val="18"/>
                <w:szCs w:val="18"/>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Useful Life in Years</w:t>
            </w:r>
          </w:p>
        </w:tc>
        <w:tc>
          <w:tcPr>
            <w:tcW w:w="12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4"/>
              </w:rPr>
              <w:t>as of June 30,</w:t>
            </w:r>
          </w:p>
        </w:tc>
      </w:tr>
      <w:tr>
        <w:trPr>
          <w:trHeight w:val="234"/>
        </w:trPr>
        <w:tc>
          <w:tcPr>
            <w:tcW w:w="6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170"/>
              <w:spacing w:after="0"/>
              <w:rPr>
                <w:sz w:val="20"/>
                <w:szCs w:val="20"/>
                <w:color w:val="auto"/>
              </w:rPr>
            </w:pPr>
            <w:r>
              <w:rPr>
                <w:rFonts w:ascii="Arial" w:cs="Arial" w:eastAsia="Arial" w:hAnsi="Arial"/>
                <w:sz w:val="18"/>
                <w:szCs w:val="18"/>
                <w:b w:val="1"/>
                <w:bCs w:val="1"/>
                <w:color w:val="auto"/>
                <w:w w:val="96"/>
              </w:rPr>
              <w:t>Consolidation</w:t>
            </w:r>
          </w:p>
        </w:tc>
        <w:tc>
          <w:tcPr>
            <w:tcW w:w="120" w:type="dxa"/>
            <w:vAlign w:val="bottom"/>
          </w:tcPr>
          <w:p>
            <w:pPr>
              <w:spacing w:after="0"/>
              <w:rPr>
                <w:sz w:val="20"/>
                <w:szCs w:val="20"/>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as of Consolidation</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r>
      <w:tr>
        <w:trPr>
          <w:trHeight w:val="27"/>
        </w:trPr>
        <w:tc>
          <w:tcPr>
            <w:tcW w:w="6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Amortizing intangible assets: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620" w:type="dxa"/>
            <w:vAlign w:val="bottom"/>
            <w:gridSpan w:val="2"/>
          </w:tcPr>
          <w:p>
            <w:pPr>
              <w:ind w:left="20"/>
              <w:spacing w:after="0"/>
              <w:rPr>
                <w:sz w:val="20"/>
                <w:szCs w:val="20"/>
                <w:color w:val="auto"/>
              </w:rPr>
            </w:pPr>
            <w:r>
              <w:rPr>
                <w:rFonts w:ascii="Arial" w:cs="Arial" w:eastAsia="Arial" w:hAnsi="Arial"/>
                <w:sz w:val="18"/>
                <w:szCs w:val="18"/>
                <w:color w:val="auto"/>
              </w:rPr>
              <w:t>Developed technology</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534</w:t>
            </w:r>
          </w:p>
        </w:tc>
        <w:tc>
          <w:tcPr>
            <w:tcW w:w="1820" w:type="dxa"/>
            <w:vAlign w:val="bottom"/>
            <w:gridSpan w:val="2"/>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80" w:type="dxa"/>
            <w:vAlign w:val="bottom"/>
          </w:tcPr>
          <w:p>
            <w:pPr>
              <w:ind w:lef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503</w:t>
            </w:r>
          </w:p>
        </w:tc>
      </w:tr>
      <w:tr>
        <w:trPr>
          <w:trHeight w:val="27"/>
        </w:trPr>
        <w:tc>
          <w:tcPr>
            <w:tcW w:w="6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Purchased technology</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8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43"/>
        </w:trPr>
        <w:tc>
          <w:tcPr>
            <w:tcW w:w="6620" w:type="dxa"/>
            <w:vAlign w:val="bottom"/>
            <w:gridSpan w:val="2"/>
          </w:tcPr>
          <w:p>
            <w:pPr>
              <w:ind w:left="20"/>
              <w:spacing w:after="0"/>
              <w:rPr>
                <w:sz w:val="20"/>
                <w:szCs w:val="20"/>
                <w:color w:val="auto"/>
              </w:rPr>
            </w:pPr>
            <w:r>
              <w:rPr>
                <w:rFonts w:ascii="Arial" w:cs="Arial" w:eastAsia="Arial" w:hAnsi="Arial"/>
                <w:sz w:val="18"/>
                <w:szCs w:val="18"/>
                <w:color w:val="auto"/>
              </w:rPr>
              <w:t>Trade names</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820" w:type="dxa"/>
            <w:vAlign w:val="bottom"/>
            <w:gridSpan w:val="2"/>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
        </w:trPr>
        <w:tc>
          <w:tcPr>
            <w:tcW w:w="6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911</w:t>
            </w:r>
          </w:p>
        </w:tc>
        <w:tc>
          <w:tcPr>
            <w:tcW w:w="18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829</w:t>
            </w:r>
          </w:p>
        </w:tc>
      </w:tr>
      <w:tr>
        <w:trPr>
          <w:trHeight w:val="243"/>
        </w:trPr>
        <w:tc>
          <w:tcPr>
            <w:tcW w:w="6620" w:type="dxa"/>
            <w:vAlign w:val="bottom"/>
            <w:gridSpan w:val="2"/>
          </w:tcPr>
          <w:p>
            <w:pPr>
              <w:ind w:left="20"/>
              <w:spacing w:after="0"/>
              <w:rPr>
                <w:sz w:val="20"/>
                <w:szCs w:val="20"/>
                <w:color w:val="auto"/>
              </w:rPr>
            </w:pPr>
            <w:r>
              <w:rPr>
                <w:rFonts w:ascii="Arial" w:cs="Arial" w:eastAsia="Arial" w:hAnsi="Arial"/>
                <w:sz w:val="18"/>
                <w:szCs w:val="18"/>
                <w:color w:val="auto"/>
              </w:rPr>
              <w:t>Non-compete agreements</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820" w:type="dxa"/>
            <w:vAlign w:val="bottom"/>
            <w:gridSpan w:val="2"/>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6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324"/>
        </w:trPr>
        <w:tc>
          <w:tcPr>
            <w:tcW w:w="6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6620" w:type="dxa"/>
            <w:vAlign w:val="bottom"/>
            <w:gridSpan w:val="2"/>
          </w:tcPr>
          <w:p>
            <w:pPr>
              <w:ind w:left="20"/>
              <w:spacing w:after="0"/>
              <w:rPr>
                <w:sz w:val="20"/>
                <w:szCs w:val="20"/>
                <w:color w:val="auto"/>
              </w:rPr>
            </w:pPr>
            <w:r>
              <w:rPr>
                <w:rFonts w:ascii="Arial" w:cs="Arial" w:eastAsia="Arial" w:hAnsi="Arial"/>
                <w:sz w:val="18"/>
                <w:szCs w:val="18"/>
                <w:color w:val="auto"/>
              </w:rPr>
              <w:t>Non-amortizing intangible assets:</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r>
      <w:tr>
        <w:trPr>
          <w:trHeight w:val="243"/>
        </w:trPr>
        <w:tc>
          <w:tcPr>
            <w:tcW w:w="6620" w:type="dxa"/>
            <w:vAlign w:val="bottom"/>
            <w:gridSpan w:val="2"/>
          </w:tcPr>
          <w:p>
            <w:pPr>
              <w:ind w:left="20"/>
              <w:spacing w:after="0"/>
              <w:rPr>
                <w:sz w:val="20"/>
                <w:szCs w:val="20"/>
                <w:color w:val="auto"/>
              </w:rPr>
            </w:pPr>
            <w:r>
              <w:rPr>
                <w:rFonts w:ascii="Arial" w:cs="Arial" w:eastAsia="Arial" w:hAnsi="Arial"/>
                <w:sz w:val="18"/>
                <w:szCs w:val="18"/>
                <w:color w:val="auto"/>
              </w:rPr>
              <w:t>Title plants</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w:t>
            </w:r>
          </w:p>
        </w:tc>
      </w:tr>
      <w:tr>
        <w:trPr>
          <w:trHeight w:val="27"/>
        </w:trPr>
        <w:tc>
          <w:tcPr>
            <w:tcW w:w="6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intangible assets and capitalized software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1,564</w:t>
            </w:r>
          </w:p>
        </w:tc>
        <w:tc>
          <w:tcPr>
            <w:tcW w:w="1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1,445</w:t>
            </w:r>
          </w:p>
        </w:tc>
      </w:tr>
      <w:tr>
        <w:trPr>
          <w:trHeight w:val="20"/>
        </w:trPr>
        <w:tc>
          <w:tcPr>
            <w:tcW w:w="6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Pro-forma Financial Results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comparative purposes, selected unaudited pro-forma consolidated results of operations of FNF for the three and six months ending June 30, 2014 and 2013 are presented below. Pro-forma results presented assume the consolidation of Black Knight occurred</w:t>
      </w:r>
    </w:p>
    <w:p>
      <w:pPr>
        <w:sectPr>
          <w:pgSz w:w="11900" w:h="16838" w:orient="portrait"/>
          <w:cols w:equalWidth="0" w:num="1">
            <w:col w:w="11420"/>
          </w:cols>
          <w:pgMar w:left="240" w:top="121"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1" w:right="2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the beginning of the 2013 period. Amounts reflect our 65% ownership interest in BKFS and our 65% ownership interest in ServiceLink and were adjusted to exclude costs directly attributable to the acquisition of LPS including transaction costs, severance costs and costs related to our synergy bonus program associated with the acquisition (in millions).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2340" w:type="dxa"/>
            <w:vAlign w:val="bottom"/>
            <w:gridSpan w:val="4"/>
          </w:tcPr>
          <w:p>
            <w:pPr>
              <w:jc w:val="right"/>
              <w:ind w:right="390"/>
              <w:spacing w:after="0"/>
              <w:rPr>
                <w:sz w:val="20"/>
                <w:szCs w:val="20"/>
                <w:color w:val="auto"/>
              </w:rPr>
            </w:pPr>
            <w:r>
              <w:rPr>
                <w:rFonts w:ascii="Arial" w:cs="Arial" w:eastAsia="Arial" w:hAnsi="Arial"/>
                <w:sz w:val="14"/>
                <w:szCs w:val="14"/>
                <w:b w:val="1"/>
                <w:bCs w:val="1"/>
                <w:color w:val="auto"/>
              </w:rPr>
              <w:t>Six months ended June 30,</w:t>
            </w:r>
          </w:p>
        </w:tc>
      </w:tr>
      <w:tr>
        <w:trPr>
          <w:trHeight w:val="243"/>
        </w:trPr>
        <w:tc>
          <w:tcPr>
            <w:tcW w:w="606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354"/>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374"/>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r>
      <w:tr>
        <w:trPr>
          <w:trHeight w:val="27"/>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2,359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5,261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w w:val="92"/>
              </w:rPr>
              <w:t>Net earnings attributable to Fidelity National Financial, Inc. common shareholders</w:t>
            </w:r>
          </w:p>
        </w:tc>
        <w:tc>
          <w:tcPr>
            <w:tcW w:w="26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301</w:t>
            </w:r>
          </w:p>
        </w:tc>
      </w:tr>
    </w:tbl>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a result of our acquisition of LPS, the following additions have been made to our significant accounting policies during the first quarter of 2014:</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BKFS Revenue Recognition</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Within our BKFS segment, we recognize revenues in accordance with Financial Accounting Standards Board (“FASB”) Accounting Standards Codification (“ASC”) Topic 605, Revenue Recognition (“ASC 605”). Recording revenues requires judgment, including determining whether an arrangement includes multiple elements, whether any of the elements are essential to the functionality of any other elements, and the allocation of the consideration based on each element's relative selling price. Customers receive certain contract elements over time and changes to the elements in an arrangement, or in our determination of the relative selling price for these elements, could materially impact the amount of earned and unearned revenue reflected in our financial statements.</w:t>
      </w:r>
    </w:p>
    <w:p>
      <w:pPr>
        <w:spacing w:after="0" w:line="8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primary judgments relating to our revenue recognition are determining when all of the following criteria are met: (1) persuasive evidence of an arrangement exists; (2) delivery has occurred or services have been rendered; (3) the seller’s price to the buyer is fixed or determinable; and (4) collectability is reasonably assured. Judgment is also required to determine whether an arrangement involving more than one deliverable contains more than one unit of accounting and how the arrangement consideration should be measured and allocated to the separate units of accounting.</w:t>
      </w:r>
    </w:p>
    <w:p>
      <w:pPr>
        <w:spacing w:after="0" w:line="6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If the deliverables under a contract are software related, we determine the appropriate units of accounting and how the arrangement consideration should be measured and allocated to the separate units. This determination, as well as management’s ability to establish vendor specific objective evidence (“VSOE”) for the individual deliverables, can impact both the amount and the timing of revenue recognition under these agreements. The inability to establish VSOE for each contract deliverable results in having to record deferred revenues and/or applying the residual method. For arrangements where we determine VSOE for software maintenance using a stated renewal rate within the contract, we use judgment to determine whether the renewal rate represents fair value for that element as if it had been sold on a stand-alone basis. For a small percentage of revenues, we use contract accounting when the arrangement with the customer includes significant customization, modification, or production of software. For elements accounted for under contract accounting, revenue is recognized using the percentage-of-completion method since reasonably dependable estimates of revenues and contract hours applicable to various elements of a contract can be made.</w:t>
      </w:r>
    </w:p>
    <w:p>
      <w:pPr>
        <w:spacing w:after="0" w:line="7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often party to multiple concurrent contracts with the same customer. These situations require judgment to determine whether the individual contracts should be aggregated or evaluated separately for purposes of revenue recognition. In making this determination we consider the timing of negotiating and executing the contracts, whether the different elements of the contracts are interdependent and whether any of the payment terms of the contracts are interrelated.</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Due to the large number, broad nature and average size of individual contracts we are a party to, the impact of judgments and assumptions that we apply in recognizing revenue for any single contract is not likely to have a material effect on our consolidated operations. However, the broader accounting policy assumptions that we apply across similar arrangements or classes of customers could significantly influence the timing and amount of revenue recognized in our result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Software</w:t>
      </w:r>
    </w:p>
    <w:p>
      <w:pPr>
        <w:spacing w:after="0" w:line="11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Capitalized software includes the fair value of software acquired in business combinations, purchased software and capitalized software development costs. Purchased software is recorded at cost and amortized using the straight-line method over its estimated useful life. Software acquired in business combinations is recorded at its fair value and amortized using straight-line or accelerated methods over its estimated useful life, ranging from 5 to 10 years. In our BKFS segment we have significant internally developed software. These costs are amortized using the straight-line method over the estimated useful life. Useful lives of computer software range from 3 to 10 years. Capitalized software development costs are accounted for in accordance with either ASC Topic 985, Software, Subtopic 20, Costs of Software to Be Sold, Leased, or Marketed (“ASC 985-20”), or ASC 350, Subtopic 40, Internal-</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5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Use Software (“ASC 350-40”). For software products to be sold, leased, or otherwise marketed (ASC 985-20 software), all costs incurred to establish the technological feasibility are research and development costs, and are expensed as they are incurred. Costs incurred subsequent to establishing technological feasibility, such as programmers' salaries and related payroll costs and costs of independent contractors, are capitalized and amortized on a product by product basis commencing on the date of general release to customers. We do not capitalize any costs once the product is available for general release to customers. For internal-use computer software products (ASC 350-40 software), internal and external costs incurred during the preliminary project stage are expensed as they are incurred. Internal and external costs incurred during the application development stage are capitalized and amortized on a product by product basis commencing on the date the software is ready for its intended use. We do not capitalize any costs once the software is ready for its intended use.</w:t>
      </w:r>
    </w:p>
    <w:p>
      <w:pPr>
        <w:spacing w:after="0" w:line="5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also assess the recorded value of computer software for impairment on a regular basis by comparing the carrying value to the estimated future cash flows to be generated by the underlying software asset. There is an inherent uncertainty in determining the expected useful life of or cash flows to be generated from computer software. We have not historically experienced material changes in these estimates but could be subject to them in the future.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Redeemable Non-controlling Interest</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discussed above, subsequent to the acquisition of LPS we issued 35% ownership interest in BKFS and ServiceLink to funds affiliated with Thomas H. Lee Partners ("THL" or "the minority interest holder"). As part of the Unit Purchase Agreement with THL, THL has an option to put their ownership interests of either or both of BKFS and ServiceLink to us if no public offering of the corresponding business has been consummated after four years from the date of FNF's purchase of LPS. The units owned by THL ("redeemable noncontrolling interests") may be settled in cash or common stock of FNF or a combination of both at our election. The redeemable noncontrolling interests will be settled at the current fair value at the time we receive notice of THL's put election as determined by the parties or by a third party appraisal under the terms of the Unit Purchase Agreement. As of June 30, 2014, we do not believe the exercise of this put right to be probable.</w:t>
      </w:r>
    </w:p>
    <w:p>
      <w:pPr>
        <w:spacing w:after="0" w:line="8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As these redeemable noncontrolling interests provide for redemption features not solely within the control of us, the issuer, we classify the redeemable noncontrolling interests outside of permanent equity in accordance with ASC 480-10, “Distinguishing Liabilities from Equity”. Redeemable noncontrolling interests held by third parties in subsidiaries owned or controlled by FNF is reported on the Condensed Consolidated Balance Sheet outside permanent equity; and the Condensed Consolidated Statement of Earnings reflects the respective redeemable noncontrolling interests in Net earnings (loss) attributable to non-controlling interests, the effect of which is removed from the net earnings attributable to Fidelity National Financial, Inc. common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Fair Value Measurements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the fair value hierarchy for those assets and liabilities measured at fair value on a recurring basis as of June 30, 2014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respectively:</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454"/>
              <w:spacing w:after="0"/>
              <w:rPr>
                <w:sz w:val="20"/>
                <w:szCs w:val="20"/>
                <w:color w:val="auto"/>
              </w:rPr>
            </w:pPr>
            <w:r>
              <w:rPr>
                <w:rFonts w:ascii="Arial" w:cs="Arial" w:eastAsia="Arial" w:hAnsi="Arial"/>
                <w:sz w:val="14"/>
                <w:szCs w:val="14"/>
                <w:b w:val="1"/>
                <w:bCs w:val="1"/>
                <w:color w:val="auto"/>
              </w:rPr>
              <w:t>June 30, 2014</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4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4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4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0" w:type="dxa"/>
            <w:vAlign w:val="bottom"/>
            <w:gridSpan w:val="3"/>
          </w:tcPr>
          <w:p>
            <w:pPr>
              <w:jc w:val="right"/>
              <w:ind w:right="494"/>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1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and agencies</w:t>
            </w:r>
          </w:p>
        </w:tc>
        <w:tc>
          <w:tcPr>
            <w:tcW w:w="2480" w:type="dxa"/>
            <w:vAlign w:val="bottom"/>
            <w:tcBorders>
              <w:bottom w:val="single" w:sz="8" w:color="CCEEFF"/>
            </w:tcBorders>
            <w:gridSpan w:val="2"/>
            <w:shd w:val="clear" w:color="auto" w:fill="CCEEFF"/>
          </w:tcPr>
          <w:p>
            <w:pPr>
              <w:jc w:val="right"/>
              <w:ind w:right="676"/>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43"/>
        </w:trPr>
        <w:tc>
          <w:tcPr>
            <w:tcW w:w="4440" w:type="dxa"/>
            <w:vAlign w:val="bottom"/>
          </w:tcPr>
          <w:p>
            <w:pPr>
              <w:ind w:left="280"/>
              <w:spacing w:after="0"/>
              <w:rPr>
                <w:sz w:val="20"/>
                <w:szCs w:val="20"/>
                <w:color w:val="auto"/>
              </w:rPr>
            </w:pPr>
            <w:r>
              <w:rPr>
                <w:rFonts w:ascii="Arial" w:cs="Arial" w:eastAsia="Arial" w:hAnsi="Arial"/>
                <w:sz w:val="18"/>
                <w:szCs w:val="18"/>
                <w:color w:val="auto"/>
              </w:rPr>
              <w:t>State and political subdivisions</w:t>
            </w:r>
          </w:p>
        </w:tc>
        <w:tc>
          <w:tcPr>
            <w:tcW w:w="1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1,056</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debt securities</w:t>
            </w:r>
          </w:p>
        </w:tc>
        <w:tc>
          <w:tcPr>
            <w:tcW w:w="1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1,771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1,771</w:t>
            </w:r>
          </w:p>
        </w:tc>
        <w:tc>
          <w:tcPr>
            <w:tcW w:w="0" w:type="dxa"/>
            <w:vAlign w:val="bottom"/>
          </w:tcPr>
          <w:p>
            <w:pPr>
              <w:spacing w:after="0"/>
              <w:rPr>
                <w:sz w:val="1"/>
                <w:szCs w:val="1"/>
                <w:color w:val="auto"/>
              </w:rPr>
            </w:pPr>
          </w:p>
        </w:tc>
      </w:tr>
      <w:tr>
        <w:trPr>
          <w:trHeight w:val="243"/>
        </w:trPr>
        <w:tc>
          <w:tcPr>
            <w:tcW w:w="4440" w:type="dxa"/>
            <w:vAlign w:val="bottom"/>
          </w:tcPr>
          <w:p>
            <w:pPr>
              <w:ind w:left="280"/>
              <w:spacing w:after="0"/>
              <w:rPr>
                <w:sz w:val="20"/>
                <w:szCs w:val="20"/>
                <w:color w:val="auto"/>
              </w:rPr>
            </w:pPr>
            <w:r>
              <w:rPr>
                <w:rFonts w:ascii="Arial" w:cs="Arial" w:eastAsia="Arial" w:hAnsi="Arial"/>
                <w:sz w:val="18"/>
                <w:szCs w:val="18"/>
                <w:color w:val="auto"/>
              </w:rPr>
              <w:t>Mortgage-backed/asset-backed securities</w:t>
            </w:r>
          </w:p>
        </w:tc>
        <w:tc>
          <w:tcPr>
            <w:tcW w:w="1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government bonds</w:t>
            </w:r>
          </w:p>
        </w:tc>
        <w:tc>
          <w:tcPr>
            <w:tcW w:w="1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Preferred stock available for sale</w:t>
            </w:r>
          </w:p>
        </w:tc>
        <w:tc>
          <w:tcPr>
            <w:tcW w:w="1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 available for sale</w:t>
            </w:r>
          </w:p>
        </w:tc>
        <w:tc>
          <w:tcPr>
            <w:tcW w:w="1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Other long-term investments</w:t>
            </w:r>
          </w:p>
        </w:tc>
        <w:tc>
          <w:tcPr>
            <w:tcW w:w="1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1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97"/>
        </w:trPr>
        <w:tc>
          <w:tcPr>
            <w:tcW w:w="44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assets</w:t>
            </w:r>
          </w:p>
        </w:tc>
        <w:tc>
          <w:tcPr>
            <w:tcW w:w="1600" w:type="dxa"/>
            <w:vAlign w:val="bottom"/>
            <w:tcBorders>
              <w:bottom w:val="single" w:sz="8" w:color="CCEEFF"/>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6"/>
              </w:rPr>
              <w:t>184</w:t>
            </w:r>
          </w:p>
        </w:tc>
        <w:tc>
          <w:tcPr>
            <w:tcW w:w="120" w:type="dxa"/>
            <w:vAlign w:val="bottom"/>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3,246</w:t>
            </w:r>
          </w:p>
        </w:tc>
        <w:tc>
          <w:tcPr>
            <w:tcW w:w="100" w:type="dxa"/>
            <w:vAlign w:val="bottom"/>
          </w:tcPr>
          <w:p>
            <w:pPr>
              <w:spacing w:after="0"/>
              <w:rPr>
                <w:sz w:val="24"/>
                <w:szCs w:val="24"/>
                <w:color w:val="auto"/>
              </w:rPr>
            </w:pPr>
          </w:p>
        </w:tc>
        <w:tc>
          <w:tcPr>
            <w:tcW w:w="900" w:type="dxa"/>
            <w:vAlign w:val="bottom"/>
            <w:tcBorders>
              <w:top w:val="single" w:sz="8" w:color="auto"/>
              <w:bottom w:val="single" w:sz="8" w:color="auto"/>
            </w:tcBorders>
          </w:tcPr>
          <w:p>
            <w:pPr>
              <w:jc w:val="right"/>
              <w:ind w:right="694"/>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3,470</w:t>
            </w:r>
          </w:p>
        </w:tc>
        <w:tc>
          <w:tcPr>
            <w:tcW w:w="0" w:type="dxa"/>
            <w:vAlign w:val="bottom"/>
          </w:tcPr>
          <w:p>
            <w:pPr>
              <w:spacing w:after="0"/>
              <w:rPr>
                <w:sz w:val="1"/>
                <w:szCs w:val="1"/>
                <w:color w:val="auto"/>
              </w:rPr>
            </w:pPr>
          </w:p>
        </w:tc>
      </w:tr>
      <w:tr>
        <w:trPr>
          <w:trHeight w:val="217"/>
        </w:trPr>
        <w:tc>
          <w:tcPr>
            <w:tcW w:w="44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1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48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2480" w:type="dxa"/>
            <w:vAlign w:val="bottom"/>
            <w:tcBorders>
              <w:bottom w:val="single" w:sz="8" w:color="CCEEFF"/>
            </w:tcBorders>
            <w:gridSpan w:val="2"/>
            <w:shd w:val="clear" w:color="auto" w:fill="CCEEFF"/>
          </w:tcPr>
          <w:p>
            <w:pPr>
              <w:jc w:val="right"/>
              <w:ind w:right="676"/>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Commodity contracts</w:t>
            </w:r>
          </w:p>
        </w:tc>
        <w:tc>
          <w:tcPr>
            <w:tcW w:w="1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1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4440" w:type="dxa"/>
            <w:vAlign w:val="bottom"/>
          </w:tcPr>
          <w:p>
            <w:pPr>
              <w:ind w:left="500"/>
              <w:spacing w:after="0"/>
              <w:rPr>
                <w:sz w:val="20"/>
                <w:szCs w:val="20"/>
                <w:color w:val="auto"/>
              </w:rPr>
            </w:pPr>
            <w:r>
              <w:rPr>
                <w:rFonts w:ascii="Arial" w:cs="Arial" w:eastAsia="Arial" w:hAnsi="Arial"/>
                <w:sz w:val="18"/>
                <w:szCs w:val="18"/>
                <w:color w:val="auto"/>
              </w:rPr>
              <w:t>Total liabilities</w:t>
            </w:r>
          </w:p>
        </w:tc>
        <w:tc>
          <w:tcPr>
            <w:tcW w:w="1600" w:type="dxa"/>
            <w:vAlign w:val="bottom"/>
          </w:tcPr>
          <w:p>
            <w:pPr>
              <w:spacing w:after="0"/>
              <w:rPr>
                <w:sz w:val="22"/>
                <w:szCs w:val="22"/>
                <w:color w:val="auto"/>
              </w:rPr>
            </w:pPr>
          </w:p>
        </w:tc>
        <w:tc>
          <w:tcPr>
            <w:tcW w:w="88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ind w:right="694"/>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600" w:type="dxa"/>
            <w:vAlign w:val="bottom"/>
            <w:vMerge w:val="restart"/>
          </w:tcPr>
          <w:p>
            <w:pPr>
              <w:jc w:val="right"/>
              <w:ind w:right="150"/>
              <w:spacing w:after="0"/>
              <w:rPr>
                <w:sz w:val="20"/>
                <w:szCs w:val="20"/>
                <w:color w:val="auto"/>
              </w:rPr>
            </w:pPr>
            <w:r>
              <w:rPr>
                <w:rFonts w:ascii="Arial" w:cs="Arial" w:eastAsia="Arial" w:hAnsi="Arial"/>
                <w:sz w:val="18"/>
                <w:szCs w:val="18"/>
                <w:color w:val="auto"/>
              </w:rPr>
              <w:t>12</w:t>
            </w: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44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294"/>
              <w:spacing w:after="0"/>
              <w:rPr>
                <w:sz w:val="20"/>
                <w:szCs w:val="20"/>
                <w:color w:val="auto"/>
              </w:rPr>
            </w:pPr>
            <w:r>
              <w:rPr>
                <w:rFonts w:ascii="Arial" w:cs="Arial" w:eastAsia="Arial" w:hAnsi="Arial"/>
                <w:sz w:val="14"/>
                <w:szCs w:val="14"/>
                <w:b w:val="1"/>
                <w:bCs w:val="1"/>
                <w:color w:val="auto"/>
              </w:rPr>
              <w:t>December 31, 2013</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4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4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0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0" w:type="dxa"/>
            <w:vAlign w:val="bottom"/>
            <w:gridSpan w:val="3"/>
          </w:tcPr>
          <w:p>
            <w:pPr>
              <w:jc w:val="right"/>
              <w:ind w:right="494"/>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8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04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880" w:type="dxa"/>
            <w:vAlign w:val="bottom"/>
          </w:tcPr>
          <w:p>
            <w:pPr>
              <w:jc w:val="right"/>
              <w:ind w:right="674"/>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900" w:type="dxa"/>
            <w:vAlign w:val="bottom"/>
          </w:tcPr>
          <w:p>
            <w:pPr>
              <w:jc w:val="right"/>
              <w:ind w:right="694"/>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political subdivisions</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1,075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43"/>
        </w:trPr>
        <w:tc>
          <w:tcPr>
            <w:tcW w:w="604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880" w:type="dxa"/>
            <w:vAlign w:val="bottom"/>
          </w:tcPr>
          <w:p>
            <w:pPr>
              <w:spacing w:after="0"/>
              <w:rPr>
                <w:sz w:val="21"/>
                <w:szCs w:val="21"/>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1,606</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1,606</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Mortgage-backed/asset-backed securities</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43"/>
        </w:trPr>
        <w:tc>
          <w:tcPr>
            <w:tcW w:w="6040" w:type="dxa"/>
            <w:vAlign w:val="bottom"/>
          </w:tcPr>
          <w:p>
            <w:pPr>
              <w:ind w:left="280"/>
              <w:spacing w:after="0"/>
              <w:rPr>
                <w:sz w:val="20"/>
                <w:szCs w:val="20"/>
                <w:color w:val="auto"/>
              </w:rPr>
            </w:pPr>
            <w:r>
              <w:rPr>
                <w:rFonts w:ascii="Arial" w:cs="Arial" w:eastAsia="Arial" w:hAnsi="Arial"/>
                <w:sz w:val="18"/>
                <w:szCs w:val="18"/>
                <w:color w:val="auto"/>
              </w:rPr>
              <w:t>Foreign government bonds</w:t>
            </w:r>
          </w:p>
        </w:tc>
        <w:tc>
          <w:tcPr>
            <w:tcW w:w="880" w:type="dxa"/>
            <w:vAlign w:val="bottom"/>
          </w:tcPr>
          <w:p>
            <w:pPr>
              <w:spacing w:after="0"/>
              <w:rPr>
                <w:sz w:val="21"/>
                <w:szCs w:val="21"/>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available for sale</w:t>
            </w:r>
          </w:p>
        </w:tc>
        <w:tc>
          <w:tcPr>
            <w:tcW w:w="8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8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w w:val="86"/>
              </w:rPr>
              <w:t>136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investments</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Foreign currency contracts</w:t>
            </w:r>
          </w:p>
        </w:tc>
        <w:tc>
          <w:tcPr>
            <w:tcW w:w="880" w:type="dxa"/>
            <w:vAlign w:val="bottom"/>
          </w:tcPr>
          <w:p>
            <w:pPr>
              <w:spacing w:after="0"/>
              <w:rPr>
                <w:sz w:val="21"/>
                <w:szCs w:val="21"/>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8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6040" w:type="dxa"/>
            <w:vAlign w:val="bottom"/>
          </w:tcPr>
          <w:p>
            <w:pPr>
              <w:ind w:left="500"/>
              <w:spacing w:after="0"/>
              <w:rPr>
                <w:sz w:val="20"/>
                <w:szCs w:val="20"/>
                <w:color w:val="auto"/>
              </w:rPr>
            </w:pPr>
            <w:r>
              <w:rPr>
                <w:rFonts w:ascii="Arial" w:cs="Arial" w:eastAsia="Arial" w:hAnsi="Arial"/>
                <w:sz w:val="18"/>
                <w:szCs w:val="18"/>
                <w:color w:val="auto"/>
              </w:rPr>
              <w:t>Total assets</w:t>
            </w:r>
          </w:p>
        </w:tc>
        <w:tc>
          <w:tcPr>
            <w:tcW w:w="880" w:type="dxa"/>
            <w:vAlign w:val="bottom"/>
            <w:tcBorders>
              <w:top w:val="single" w:sz="8" w:color="auto"/>
              <w:bottom w:val="single" w:sz="8" w:color="auto"/>
            </w:tcBorders>
          </w:tcPr>
          <w:p>
            <w:pPr>
              <w:jc w:val="right"/>
              <w:ind w:right="674"/>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6"/>
              </w:rPr>
              <w:t>209</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3,043</w:t>
            </w:r>
          </w:p>
        </w:tc>
        <w:tc>
          <w:tcPr>
            <w:tcW w:w="10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ind w:right="694"/>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3,290</w:t>
            </w:r>
          </w:p>
        </w:tc>
        <w:tc>
          <w:tcPr>
            <w:tcW w:w="0" w:type="dxa"/>
            <w:vAlign w:val="bottom"/>
          </w:tcPr>
          <w:p>
            <w:pPr>
              <w:spacing w:after="0"/>
              <w:rPr>
                <w:sz w:val="1"/>
                <w:szCs w:val="1"/>
                <w:color w:val="auto"/>
              </w:rPr>
            </w:pPr>
          </w:p>
        </w:tc>
      </w:tr>
      <w:tr>
        <w:trPr>
          <w:trHeight w:val="20"/>
        </w:trPr>
        <w:tc>
          <w:tcPr>
            <w:tcW w:w="6040" w:type="dxa"/>
            <w:vAlign w:val="bottom"/>
            <w:vMerge w:val="restart"/>
          </w:tcPr>
          <w:p>
            <w:pPr>
              <w:ind w:left="40"/>
              <w:spacing w:after="0"/>
              <w:rPr>
                <w:sz w:val="20"/>
                <w:szCs w:val="20"/>
                <w:color w:val="auto"/>
              </w:rPr>
            </w:pPr>
            <w:r>
              <w:rPr>
                <w:rFonts w:ascii="Arial" w:cs="Arial" w:eastAsia="Arial" w:hAnsi="Arial"/>
                <w:sz w:val="18"/>
                <w:szCs w:val="18"/>
                <w:color w:val="auto"/>
              </w:rPr>
              <w:t>Liabilities:</w:t>
            </w: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604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880" w:type="dxa"/>
            <w:vAlign w:val="bottom"/>
            <w:tcBorders>
              <w:bottom w:val="single" w:sz="8" w:color="CCEEFF"/>
            </w:tcBorders>
            <w:shd w:val="clear" w:color="auto" w:fill="CCEEFF"/>
          </w:tcPr>
          <w:p>
            <w:pPr>
              <w:jc w:val="right"/>
              <w:ind w:right="674"/>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Commodity contracts</w:t>
            </w:r>
          </w:p>
        </w:tc>
        <w:tc>
          <w:tcPr>
            <w:tcW w:w="880" w:type="dxa"/>
            <w:vAlign w:val="bottom"/>
          </w:tcPr>
          <w:p>
            <w:pPr>
              <w:spacing w:after="0"/>
              <w:rPr>
                <w:sz w:val="21"/>
                <w:szCs w:val="21"/>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60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liabilities</w:t>
            </w:r>
          </w:p>
        </w:tc>
        <w:tc>
          <w:tcPr>
            <w:tcW w:w="880" w:type="dxa"/>
            <w:vAlign w:val="bottom"/>
            <w:shd w:val="clear" w:color="auto" w:fill="CCEEFF"/>
          </w:tcPr>
          <w:p>
            <w:pPr>
              <w:jc w:val="right"/>
              <w:ind w:right="674"/>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Level 2 fair value measures for fixed-maturities available for sale are provided by third-party pricing services. We utilize one firm for our taxable bond and preferred stock portfolio and another for our tax-exempt bond portfolio. These pricing services are leading global providers of financial market data, analytics and related services to financial institutions. We rely on one price for each instrument to determine the carrying amount of the assets on our balance sheet. The inputs utilized in these pricing methodologies include observable measures such as benchmark yields, reported trades, broker dealer quotes, issuer spreads, two sided markets, benchmark securities, bids, offers and reference data including market research publications. We review the pricing methodologies for all of our Level 2 securities by obtaining an understanding of the valuation models and assumptions used by the third-party as well as independently comparing the resulting prices to other publicly available measures of fair value and internally developed models. The pricing methodologies used by the relevant third party pricing services are as follows:</w:t>
      </w:r>
    </w:p>
    <w:p>
      <w:pPr>
        <w:spacing w:after="0" w:line="71" w:lineRule="exact"/>
        <w:rPr>
          <w:sz w:val="20"/>
          <w:szCs w:val="20"/>
          <w:color w:val="auto"/>
        </w:rPr>
      </w:pPr>
    </w:p>
    <w:p>
      <w:pPr>
        <w:ind w:left="660" w:right="20" w:hanging="328"/>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U.S. government and agencies: These securities are valued based on data obtained for similar securities in active markets and from inter-dealer brokers.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State and political subdivisions: These securities are valued based on data obtained for similar securities in active markets and from inter-dealer brokers. Factors considered include relevant trade information, dealer quotes and other relevant market data.</w:t>
      </w:r>
    </w:p>
    <w:p>
      <w:pPr>
        <w:jc w:val="both"/>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Corporate debt securities: These securities are valued based on dealer quotes and related market trading activity. Factors considered include the bond's yield, its terms and conditions, and any other feature which may influence its risk and thus marketability, as well as relative credit information and relevant sector news.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Mortgage-backed/asset-backed securities: These securities are comprised of agency mortgage-backed securities, collaterized mortgage obligations, and asset-backed securities. They are valued based on available trade information, dealer quotes, cash flows, relevant indices and market data for similar assets in active markets.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Foreign government bonds: These securities are valued based on a discounted cash flow model incorporating observable market inputs such as available broker quotes and yields of comparable securities.</w:t>
      </w:r>
    </w:p>
    <w:p>
      <w:pPr>
        <w:ind w:left="66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Preferred stocks: Preferred stocks are valued by calculating the appropriate spread over a comparable U.S. Treasury security. Inputs include benchmark quotes and other relevant market data.</w:t>
      </w:r>
    </w:p>
    <w:p>
      <w:pPr>
        <w:spacing w:after="0" w:line="7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Level 2 fair value measures for our interest rate swap, foreign currency contracts, and commodity contracts are valued using the income approach. This approach uses techniques to convert future amounts to a single present value amount based upon market expectations (including present value techniques, option-pricing and excess earnings models).</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Level 3 investments consist of structured notes that were purchased in 2009. The structured notes had a par value of $38 million and fair value of $40 million at June 30, 2014, and a par value and a fair value of $38 million at December 31, 2013. The</w:t>
      </w:r>
    </w:p>
    <w:p>
      <w:pPr>
        <w:sectPr>
          <w:pgSz w:w="11900" w:h="16838" w:orient="portrait"/>
          <w:cols w:equalWidth="0" w:num="1">
            <w:col w:w="11420"/>
          </w:cols>
          <w:pgMar w:left="240" w:top="12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1" w:right="2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structured notes are held for general investment purposes and represent approximately one percent of our total investment portfolio. The structured notes are classified as other long-term investments and are measured in their entirety at fair value with changes in fair value recognized in earnings. The fair value of these instruments represents exit prices obtained from a broker-dealer. These exit prices are the product of a proprietary valuation model utilized by the trading desk of the broker-dealer and contain assumptions relating to volatility, the level of interest rates, and the value of the underlying commodity indices. We reviewed the pricing methodologies for our Level 3 investments to ensure that they are reasonable and we believe they represent an exit price for the securities as of June 30, 2014.</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changes in our investments that are classified as Level 3 for the period ended June 30, 2014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December 31, 2013</w:t>
            </w: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r>
      <w:tr>
        <w:trPr>
          <w:trHeight w:val="243"/>
        </w:trPr>
        <w:tc>
          <w:tcPr>
            <w:tcW w:w="10020" w:type="dxa"/>
            <w:vAlign w:val="bottom"/>
          </w:tcPr>
          <w:p>
            <w:pPr>
              <w:ind w:left="40"/>
              <w:spacing w:after="0"/>
              <w:rPr>
                <w:sz w:val="20"/>
                <w:szCs w:val="20"/>
                <w:color w:val="auto"/>
              </w:rPr>
            </w:pPr>
            <w:r>
              <w:rPr>
                <w:rFonts w:ascii="Arial" w:cs="Arial" w:eastAsia="Arial" w:hAnsi="Arial"/>
                <w:sz w:val="18"/>
                <w:szCs w:val="18"/>
                <w:color w:val="auto"/>
              </w:rPr>
              <w:t>Net realized gain</w:t>
            </w:r>
          </w:p>
        </w:tc>
        <w:tc>
          <w:tcPr>
            <w:tcW w:w="60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w:t>
            </w:r>
          </w:p>
        </w:tc>
      </w:tr>
      <w:tr>
        <w:trPr>
          <w:trHeight w:val="27"/>
        </w:trPr>
        <w:tc>
          <w:tcPr>
            <w:tcW w:w="100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10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June 30, 2014</w:t>
            </w: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r>
      <w:tr>
        <w:trPr>
          <w:trHeight w:val="20"/>
        </w:trPr>
        <w:tc>
          <w:tcPr>
            <w:tcW w:w="100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carrying amounts of short-term investments, accounts receivable and notes receivable approximate fair value due to their short-term nature.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regarding the fair value of our investment portfolio is included in Note 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Investments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amounts and fair values of our available for sale securities at June 30, 2014 and December 31, 2013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June 30, 2014</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58"/>
        </w:trPr>
        <w:tc>
          <w:tcPr>
            <w:tcW w:w="5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22"/>
                <w:szCs w:val="22"/>
                <w:color w:val="auto"/>
              </w:rPr>
            </w:pPr>
          </w:p>
        </w:tc>
        <w:tc>
          <w:tcPr>
            <w:tcW w:w="880" w:type="dxa"/>
            <w:vAlign w:val="bottom"/>
          </w:tcPr>
          <w:p>
            <w:pPr>
              <w:ind w:left="16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22"/>
                <w:szCs w:val="22"/>
                <w:color w:val="auto"/>
              </w:rPr>
            </w:pPr>
          </w:p>
        </w:tc>
        <w:tc>
          <w:tcPr>
            <w:tcW w:w="880" w:type="dxa"/>
            <w:vAlign w:val="bottom"/>
          </w:tcPr>
          <w:p>
            <w:pPr>
              <w:jc w:val="center"/>
              <w:ind w:right="174"/>
              <w:spacing w:after="0"/>
              <w:rPr>
                <w:sz w:val="20"/>
                <w:szCs w:val="20"/>
                <w:color w:val="auto"/>
              </w:rPr>
            </w:pPr>
            <w:r>
              <w:rPr>
                <w:rFonts w:ascii="Arial" w:cs="Arial" w:eastAsia="Arial" w:hAnsi="Arial"/>
                <w:sz w:val="14"/>
                <w:szCs w:val="14"/>
                <w:b w:val="1"/>
                <w:bCs w:val="1"/>
                <w:color w:val="auto"/>
              </w:rPr>
              <w:t>Fair</w:t>
            </w:r>
          </w:p>
        </w:tc>
      </w:tr>
      <w:tr>
        <w:trPr>
          <w:trHeight w:val="276"/>
        </w:trPr>
        <w:tc>
          <w:tcPr>
            <w:tcW w:w="5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Basis</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0"/>
              </w:rPr>
              <w:t>Value</w:t>
            </w:r>
          </w:p>
        </w:tc>
      </w:tr>
      <w:tr>
        <w:trPr>
          <w:trHeight w:val="196"/>
        </w:trPr>
        <w:tc>
          <w:tcPr>
            <w:tcW w:w="5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(In millions)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121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126</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political subdivisions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1,056</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1,771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1,720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1,771</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government bonds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Mortgage-backed/asset-backed securities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101</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available for sale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187</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144</w:t>
            </w: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2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3,423</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3,249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3,423</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319"/>
        </w:trPr>
        <w:tc>
          <w:tcPr>
            <w:tcW w:w="5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December 31, 2013</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58"/>
        </w:trPr>
        <w:tc>
          <w:tcPr>
            <w:tcW w:w="5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22"/>
                <w:szCs w:val="22"/>
                <w:color w:val="auto"/>
              </w:rPr>
            </w:pPr>
          </w:p>
        </w:tc>
        <w:tc>
          <w:tcPr>
            <w:tcW w:w="880" w:type="dxa"/>
            <w:vAlign w:val="bottom"/>
          </w:tcPr>
          <w:p>
            <w:pPr>
              <w:ind w:left="16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22"/>
                <w:szCs w:val="22"/>
                <w:color w:val="auto"/>
              </w:rPr>
            </w:pPr>
          </w:p>
        </w:tc>
        <w:tc>
          <w:tcPr>
            <w:tcW w:w="880" w:type="dxa"/>
            <w:vAlign w:val="bottom"/>
          </w:tcPr>
          <w:p>
            <w:pPr>
              <w:jc w:val="center"/>
              <w:ind w:right="174"/>
              <w:spacing w:after="0"/>
              <w:rPr>
                <w:sz w:val="20"/>
                <w:szCs w:val="20"/>
                <w:color w:val="auto"/>
              </w:rPr>
            </w:pPr>
            <w:r>
              <w:rPr>
                <w:rFonts w:ascii="Arial" w:cs="Arial" w:eastAsia="Arial" w:hAnsi="Arial"/>
                <w:sz w:val="14"/>
                <w:szCs w:val="14"/>
                <w:b w:val="1"/>
                <w:bCs w:val="1"/>
                <w:color w:val="auto"/>
              </w:rPr>
              <w:t>Fair</w:t>
            </w:r>
          </w:p>
        </w:tc>
      </w:tr>
      <w:tr>
        <w:trPr>
          <w:trHeight w:val="276"/>
        </w:trPr>
        <w:tc>
          <w:tcPr>
            <w:tcW w:w="5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Basis</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0"/>
              </w:rPr>
              <w:t>Value</w:t>
            </w:r>
          </w:p>
        </w:tc>
      </w:tr>
      <w:tr>
        <w:trPr>
          <w:trHeight w:val="196"/>
        </w:trPr>
        <w:tc>
          <w:tcPr>
            <w:tcW w:w="5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(In millions)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121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126</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political subdivisions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1,075</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1,606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1,565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1,606</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government bonds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Mortgage-backed/asset-backed securities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109</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available for sale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151</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136</w:t>
            </w: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2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3,246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3,106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3,246</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auto"/>
        </w:rPr>
        <w:t>The cost basis of fixed maturity securities available for sale includes an adjustment for amortized premium or discount since the date of purchase.</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certain information regarding contractual maturities of our fixed maturity securities at June 30, 2014: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left="777"/>
              <w:spacing w:after="0"/>
              <w:rPr>
                <w:sz w:val="20"/>
                <w:szCs w:val="20"/>
                <w:color w:val="auto"/>
              </w:rPr>
            </w:pPr>
            <w:r>
              <w:rPr>
                <w:rFonts w:ascii="Arial" w:cs="Arial" w:eastAsia="Arial" w:hAnsi="Arial"/>
                <w:sz w:val="14"/>
                <w:szCs w:val="14"/>
                <w:b w:val="1"/>
                <w:bCs w:val="1"/>
                <w:color w:val="auto"/>
                <w:w w:val="92"/>
              </w:rPr>
              <w:t>June 30, 2014</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258"/>
        </w:trPr>
        <w:tc>
          <w:tcPr>
            <w:tcW w:w="6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Amortized</w:t>
            </w:r>
          </w:p>
        </w:tc>
        <w:tc>
          <w:tcPr>
            <w:tcW w:w="1320" w:type="dxa"/>
            <w:vAlign w:val="bottom"/>
            <w:gridSpan w:val="2"/>
          </w:tcPr>
          <w:p>
            <w:pPr>
              <w:ind w:left="460"/>
              <w:spacing w:after="0"/>
              <w:rPr>
                <w:sz w:val="20"/>
                <w:szCs w:val="20"/>
                <w:color w:val="auto"/>
              </w:rPr>
            </w:pPr>
            <w:r>
              <w:rPr>
                <w:rFonts w:ascii="Arial" w:cs="Arial" w:eastAsia="Arial" w:hAnsi="Arial"/>
                <w:sz w:val="14"/>
                <w:szCs w:val="14"/>
                <w:b w:val="1"/>
                <w:bCs w:val="1"/>
                <w:color w:val="auto"/>
              </w:rPr>
              <w:t>% of</w:t>
            </w:r>
          </w:p>
        </w:tc>
        <w:tc>
          <w:tcPr>
            <w:tcW w:w="380" w:type="dxa"/>
            <w:vAlign w:val="bottom"/>
          </w:tcPr>
          <w:p>
            <w:pPr>
              <w:spacing w:after="0"/>
              <w:rPr>
                <w:sz w:val="22"/>
                <w:szCs w:val="22"/>
                <w:color w:val="auto"/>
              </w:rPr>
            </w:pPr>
          </w:p>
        </w:tc>
        <w:tc>
          <w:tcPr>
            <w:tcW w:w="8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Fair</w:t>
            </w:r>
          </w:p>
        </w:tc>
        <w:tc>
          <w:tcPr>
            <w:tcW w:w="1220" w:type="dxa"/>
            <w:vAlign w:val="bottom"/>
          </w:tcPr>
          <w:p>
            <w:pPr>
              <w:jc w:val="right"/>
              <w:ind w:right="374"/>
              <w:spacing w:after="0"/>
              <w:rPr>
                <w:sz w:val="20"/>
                <w:szCs w:val="20"/>
                <w:color w:val="auto"/>
              </w:rPr>
            </w:pPr>
            <w:r>
              <w:rPr>
                <w:rFonts w:ascii="Arial" w:cs="Arial" w:eastAsia="Arial" w:hAnsi="Arial"/>
                <w:sz w:val="14"/>
                <w:szCs w:val="14"/>
                <w:b w:val="1"/>
                <w:bCs w:val="1"/>
                <w:color w:val="auto"/>
              </w:rPr>
              <w:t>% of</w:t>
            </w:r>
          </w:p>
        </w:tc>
      </w:tr>
      <w:tr>
        <w:trPr>
          <w:trHeight w:val="276"/>
        </w:trPr>
        <w:tc>
          <w:tcPr>
            <w:tcW w:w="6400" w:type="dxa"/>
            <w:vAlign w:val="bottom"/>
            <w:gridSpan w:val="2"/>
          </w:tcPr>
          <w:p>
            <w:pPr>
              <w:ind w:left="40"/>
              <w:spacing w:after="0"/>
              <w:rPr>
                <w:sz w:val="20"/>
                <w:szCs w:val="20"/>
                <w:color w:val="auto"/>
              </w:rPr>
            </w:pPr>
            <w:r>
              <w:rPr>
                <w:rFonts w:ascii="Arial" w:cs="Arial" w:eastAsia="Arial" w:hAnsi="Arial"/>
                <w:sz w:val="14"/>
                <w:szCs w:val="14"/>
                <w:b w:val="1"/>
                <w:bCs w:val="1"/>
                <w:color w:val="auto"/>
              </w:rPr>
              <w:t>Maturity</w:t>
            </w:r>
          </w:p>
        </w:tc>
        <w:tc>
          <w:tcPr>
            <w:tcW w:w="180" w:type="dxa"/>
            <w:vAlign w:val="bottom"/>
          </w:tcPr>
          <w:p>
            <w:pPr>
              <w:spacing w:after="0"/>
              <w:rPr>
                <w:sz w:val="24"/>
                <w:szCs w:val="2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Cost</w:t>
            </w:r>
          </w:p>
        </w:tc>
        <w:tc>
          <w:tcPr>
            <w:tcW w:w="1320" w:type="dxa"/>
            <w:vAlign w:val="bottom"/>
            <w:gridSpan w:val="2"/>
          </w:tcPr>
          <w:p>
            <w:pPr>
              <w:ind w:left="440"/>
              <w:spacing w:after="0"/>
              <w:rPr>
                <w:sz w:val="20"/>
                <w:szCs w:val="20"/>
                <w:color w:val="auto"/>
              </w:rPr>
            </w:pPr>
            <w:r>
              <w:rPr>
                <w:rFonts w:ascii="Arial" w:cs="Arial" w:eastAsia="Arial" w:hAnsi="Arial"/>
                <w:sz w:val="14"/>
                <w:szCs w:val="14"/>
                <w:b w:val="1"/>
                <w:bCs w:val="1"/>
                <w:color w:val="auto"/>
              </w:rPr>
              <w:t>Total</w:t>
            </w:r>
          </w:p>
        </w:tc>
        <w:tc>
          <w:tcPr>
            <w:tcW w:w="380" w:type="dxa"/>
            <w:vAlign w:val="bottom"/>
          </w:tcPr>
          <w:p>
            <w:pPr>
              <w:spacing w:after="0"/>
              <w:rPr>
                <w:sz w:val="24"/>
                <w:szCs w:val="24"/>
                <w:color w:val="auto"/>
              </w:rPr>
            </w:pPr>
          </w:p>
        </w:tc>
        <w:tc>
          <w:tcPr>
            <w:tcW w:w="8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Value</w:t>
            </w:r>
          </w:p>
        </w:tc>
        <w:tc>
          <w:tcPr>
            <w:tcW w:w="1220" w:type="dxa"/>
            <w:vAlign w:val="bottom"/>
          </w:tcPr>
          <w:p>
            <w:pPr>
              <w:jc w:val="right"/>
              <w:ind w:right="374"/>
              <w:spacing w:after="0"/>
              <w:rPr>
                <w:sz w:val="20"/>
                <w:szCs w:val="20"/>
                <w:color w:val="auto"/>
              </w:rPr>
            </w:pPr>
            <w:r>
              <w:rPr>
                <w:rFonts w:ascii="Arial" w:cs="Arial" w:eastAsia="Arial" w:hAnsi="Arial"/>
                <w:sz w:val="14"/>
                <w:szCs w:val="14"/>
                <w:b w:val="1"/>
                <w:bCs w:val="1"/>
                <w:color w:val="auto"/>
              </w:rPr>
              <w:t>Total</w:t>
            </w:r>
          </w:p>
        </w:tc>
      </w:tr>
      <w:tr>
        <w:trPr>
          <w:trHeight w:val="250"/>
        </w:trPr>
        <w:tc>
          <w:tcPr>
            <w:tcW w:w="62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560" w:type="dxa"/>
            <w:vAlign w:val="bottom"/>
            <w:tcBorders>
              <w:top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5"/>
              </w:rPr>
              <w:t>(Dollars in millions)</w:t>
            </w:r>
          </w:p>
        </w:tc>
        <w:tc>
          <w:tcPr>
            <w:tcW w:w="1220" w:type="dxa"/>
            <w:vAlign w:val="bottom"/>
            <w:tcBorders>
              <w:top w:val="single" w:sz="8" w:color="auto"/>
            </w:tcBorders>
          </w:tcPr>
          <w:p>
            <w:pPr>
              <w:spacing w:after="0"/>
              <w:rPr>
                <w:sz w:val="21"/>
                <w:szCs w:val="21"/>
                <w:color w:val="auto"/>
              </w:rPr>
            </w:pPr>
          </w:p>
        </w:tc>
      </w:tr>
      <w:tr>
        <w:trPr>
          <w:trHeight w:val="256"/>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One year or less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348</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After one year through five years</w:t>
            </w: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1,990</w:t>
            </w:r>
          </w:p>
        </w:tc>
        <w:tc>
          <w:tcPr>
            <w:tcW w:w="100" w:type="dxa"/>
            <w:vAlign w:val="bottom"/>
          </w:tcPr>
          <w:p>
            <w:pPr>
              <w:spacing w:after="0"/>
              <w:rPr>
                <w:sz w:val="21"/>
                <w:szCs w:val="21"/>
                <w:color w:val="auto"/>
              </w:rPr>
            </w:pPr>
          </w:p>
        </w:tc>
        <w:tc>
          <w:tcPr>
            <w:tcW w:w="1220" w:type="dxa"/>
            <w:vAlign w:val="bottom"/>
          </w:tcPr>
          <w:p>
            <w:pPr>
              <w:jc w:val="right"/>
              <w:ind w:right="117"/>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2,056</w:t>
            </w:r>
          </w:p>
        </w:tc>
        <w:tc>
          <w:tcPr>
            <w:tcW w:w="100" w:type="dxa"/>
            <w:vAlign w:val="bottom"/>
          </w:tcPr>
          <w:p>
            <w:pPr>
              <w:spacing w:after="0"/>
              <w:rPr>
                <w:sz w:val="21"/>
                <w:szCs w:val="21"/>
                <w:color w:val="auto"/>
              </w:rPr>
            </w:pP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67</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After five years through ten years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574</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19</w:t>
            </w: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After ten years</w:t>
            </w: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Mortgage-backed/asset-backed securities</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w:t>
            </w:r>
          </w:p>
        </w:tc>
      </w:tr>
      <w:tr>
        <w:trPr>
          <w:trHeight w:val="297"/>
        </w:trPr>
        <w:tc>
          <w:tcPr>
            <w:tcW w:w="640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2,994</w:t>
            </w:r>
          </w:p>
        </w:tc>
        <w:tc>
          <w:tcPr>
            <w:tcW w:w="10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3,092</w:t>
            </w:r>
          </w:p>
        </w:tc>
        <w:tc>
          <w:tcPr>
            <w:tcW w:w="10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51"/>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Subject to call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1,745</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1,791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0"/>
        </w:trPr>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Expected maturities may differ from contractual maturities because certain borrowers have the right to call or prepay obligations with or without call or prepayment penalties. Included above in amounts subject to call are $1,399 million and $1,436 million in amortized cost and fair value, respectively, of fixed maturity securities with make-whole call provisions as of June 30, 2014.</w:t>
      </w:r>
    </w:p>
    <w:p>
      <w:pPr>
        <w:spacing w:after="0" w:line="7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Included in our other long-term investments are fixed maturity structured notes purchased in 2009 and various cost-method investments. The structured notes are carried at fair value (see Note C) and changes in the fair value of these structured notes are recorded as Realized gains and losses in the Condensed Consolidated Statements of Earnings. The carrying value of the structured notes was $40 million and $38 million as of June 30, 2014 and December 31, 2013, respectively. We recorded no gain or loss relating to the structured notes during the three month period ended June 30, 2014. We recorded a $2 million gain relating to the structured notes during the six month period ended June 30, 2014, and recorded a net loss of $1 million and $2 million in the three and six-month periods ended June 30, 2013, respectively.</w:t>
      </w:r>
    </w:p>
    <w:p>
      <w:pPr>
        <w:spacing w:after="0" w:line="8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Net unrealized losses on investment securities and the fair value of the related securities, aggregated by investment category and length of time that individual securities have been in a continuous unrealized loss position at June 30, 2014 and December 31, 2013, were as follows (in millions):</w:t>
      </w:r>
    </w:p>
    <w:p>
      <w:pPr>
        <w:spacing w:after="0" w:line="8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2014</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460" w:type="dxa"/>
            <w:vAlign w:val="bottom"/>
            <w:tcBorders>
              <w:bottom w:val="single" w:sz="8" w:color="auto"/>
            </w:tcBorders>
            <w:gridSpan w:val="5"/>
          </w:tcPr>
          <w:p>
            <w:pPr>
              <w:jc w:val="right"/>
              <w:ind w:right="496"/>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436"/>
              <w:spacing w:after="0"/>
              <w:rPr>
                <w:sz w:val="20"/>
                <w:szCs w:val="20"/>
                <w:color w:val="auto"/>
              </w:rPr>
            </w:pPr>
            <w:r>
              <w:rPr>
                <w:rFonts w:ascii="Arial" w:cs="Arial" w:eastAsia="Arial" w:hAnsi="Arial"/>
                <w:sz w:val="14"/>
                <w:szCs w:val="14"/>
                <w:b w:val="1"/>
                <w:bCs w:val="1"/>
                <w:color w:val="auto"/>
              </w:rPr>
              <w:t>12 Months or Longer</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9"/>
              </w:rPr>
              <w:t>Total</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4000" w:type="dxa"/>
            <w:vAlign w:val="bottom"/>
          </w:tcPr>
          <w:p>
            <w:pPr>
              <w:spacing w:after="0"/>
              <w:rPr>
                <w:sz w:val="22"/>
                <w:szCs w:val="22"/>
                <w:color w:val="auto"/>
              </w:rPr>
            </w:pPr>
          </w:p>
        </w:tc>
        <w:tc>
          <w:tcPr>
            <w:tcW w:w="780" w:type="dxa"/>
            <w:vAlign w:val="bottom"/>
          </w:tcPr>
          <w:p>
            <w:pPr>
              <w:jc w:val="center"/>
              <w:ind w:left="321"/>
              <w:spacing w:after="0"/>
              <w:rPr>
                <w:sz w:val="20"/>
                <w:szCs w:val="20"/>
                <w:color w:val="auto"/>
              </w:rPr>
            </w:pPr>
            <w:r>
              <w:rPr>
                <w:rFonts w:ascii="Arial" w:cs="Arial" w:eastAsia="Arial" w:hAnsi="Arial"/>
                <w:sz w:val="14"/>
                <w:szCs w:val="14"/>
                <w:b w:val="1"/>
                <w:bCs w:val="1"/>
                <w:color w:val="auto"/>
              </w:rPr>
              <w:t>Fair</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22"/>
                <w:szCs w:val="22"/>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22"/>
                <w:szCs w:val="22"/>
                <w:color w:val="auto"/>
              </w:rPr>
            </w:pPr>
          </w:p>
        </w:tc>
        <w:tc>
          <w:tcPr>
            <w:tcW w:w="780" w:type="dxa"/>
            <w:vAlign w:val="bottom"/>
          </w:tcPr>
          <w:p>
            <w:pPr>
              <w:jc w:val="center"/>
              <w:ind w:right="76"/>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center"/>
              <w:ind w:right="96"/>
              <w:spacing w:after="0"/>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276"/>
        </w:trPr>
        <w:tc>
          <w:tcPr>
            <w:tcW w:w="4000" w:type="dxa"/>
            <w:vAlign w:val="bottom"/>
          </w:tcPr>
          <w:p>
            <w:pPr>
              <w:spacing w:after="0"/>
              <w:rPr>
                <w:sz w:val="24"/>
                <w:szCs w:val="24"/>
                <w:color w:val="auto"/>
              </w:rPr>
            </w:pPr>
          </w:p>
        </w:tc>
        <w:tc>
          <w:tcPr>
            <w:tcW w:w="780" w:type="dxa"/>
            <w:vAlign w:val="bottom"/>
            <w:tcBorders>
              <w:bottom w:val="single" w:sz="8" w:color="auto"/>
            </w:tcBorders>
          </w:tcPr>
          <w:p>
            <w:pPr>
              <w:jc w:val="center"/>
              <w:ind w:left="321"/>
              <w:spacing w:after="0"/>
              <w:rPr>
                <w:sz w:val="20"/>
                <w:szCs w:val="20"/>
                <w:color w:val="auto"/>
              </w:rPr>
            </w:pPr>
            <w:r>
              <w:rPr>
                <w:rFonts w:ascii="Arial" w:cs="Arial" w:eastAsia="Arial" w:hAnsi="Arial"/>
                <w:sz w:val="14"/>
                <w:szCs w:val="14"/>
                <w:b w:val="1"/>
                <w:bCs w:val="1"/>
                <w:color w:val="auto"/>
                <w:w w:val="90"/>
              </w:rPr>
              <w:t>Value</w:t>
            </w:r>
          </w:p>
        </w:tc>
        <w:tc>
          <w:tcPr>
            <w:tcW w:w="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Corporate debt securities</w:t>
            </w:r>
          </w:p>
        </w:tc>
        <w:tc>
          <w:tcPr>
            <w:tcW w:w="780" w:type="dxa"/>
            <w:vAlign w:val="bottom"/>
          </w:tcPr>
          <w:p>
            <w:pPr>
              <w:jc w:val="right"/>
              <w:ind w:right="581"/>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w w:val="86"/>
              </w:rPr>
              <w:t>187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234</w:t>
            </w:r>
          </w:p>
        </w:tc>
        <w:tc>
          <w:tcPr>
            <w:tcW w:w="3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government bonds</w:t>
            </w:r>
          </w:p>
        </w:tc>
        <w:tc>
          <w:tcPr>
            <w:tcW w:w="7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Preferred stock available for sale</w:t>
            </w:r>
          </w:p>
        </w:tc>
        <w:tc>
          <w:tcPr>
            <w:tcW w:w="7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temporarily impaired securities</w:t>
            </w:r>
          </w:p>
        </w:tc>
        <w:tc>
          <w:tcPr>
            <w:tcW w:w="780" w:type="dxa"/>
            <w:vAlign w:val="bottom"/>
            <w:shd w:val="clear" w:color="auto" w:fill="CCEEFF"/>
          </w:tcPr>
          <w:p>
            <w:pPr>
              <w:jc w:val="right"/>
              <w:ind w:right="581"/>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6"/>
              </w:rPr>
              <w:t>238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December 31, 2013</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400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00" w:type="dxa"/>
            <w:vAlign w:val="bottom"/>
          </w:tcPr>
          <w:p>
            <w:pPr>
              <w:spacing w:after="0"/>
              <w:rPr>
                <w:sz w:val="24"/>
                <w:szCs w:val="24"/>
                <w:color w:val="auto"/>
              </w:rPr>
            </w:pPr>
          </w:p>
        </w:tc>
        <w:tc>
          <w:tcPr>
            <w:tcW w:w="2460" w:type="dxa"/>
            <w:vAlign w:val="bottom"/>
            <w:tcBorders>
              <w:bottom w:val="single" w:sz="8" w:color="auto"/>
            </w:tcBorders>
            <w:gridSpan w:val="5"/>
          </w:tcPr>
          <w:p>
            <w:pPr>
              <w:jc w:val="right"/>
              <w:ind w:right="496"/>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right"/>
              <w:ind w:right="436"/>
              <w:spacing w:after="0"/>
              <w:rPr>
                <w:sz w:val="20"/>
                <w:szCs w:val="20"/>
                <w:color w:val="auto"/>
              </w:rPr>
            </w:pPr>
            <w:r>
              <w:rPr>
                <w:rFonts w:ascii="Arial" w:cs="Arial" w:eastAsia="Arial" w:hAnsi="Arial"/>
                <w:sz w:val="14"/>
                <w:szCs w:val="14"/>
                <w:b w:val="1"/>
                <w:bCs w:val="1"/>
                <w:color w:val="auto"/>
              </w:rPr>
              <w:t>12 Months or Longer</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9"/>
              </w:rPr>
              <w:t>Total</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000" w:type="dxa"/>
            <w:vAlign w:val="bottom"/>
          </w:tcPr>
          <w:p>
            <w:pPr>
              <w:spacing w:after="0"/>
              <w:rPr>
                <w:sz w:val="22"/>
                <w:szCs w:val="22"/>
                <w:color w:val="auto"/>
              </w:rPr>
            </w:pPr>
          </w:p>
        </w:tc>
        <w:tc>
          <w:tcPr>
            <w:tcW w:w="780" w:type="dxa"/>
            <w:vAlign w:val="bottom"/>
          </w:tcPr>
          <w:p>
            <w:pPr>
              <w:jc w:val="center"/>
              <w:ind w:left="321"/>
              <w:spacing w:after="0"/>
              <w:rPr>
                <w:sz w:val="20"/>
                <w:szCs w:val="20"/>
                <w:color w:val="auto"/>
              </w:rPr>
            </w:pPr>
            <w:r>
              <w:rPr>
                <w:rFonts w:ascii="Arial" w:cs="Arial" w:eastAsia="Arial" w:hAnsi="Arial"/>
                <w:sz w:val="14"/>
                <w:szCs w:val="14"/>
                <w:b w:val="1"/>
                <w:bCs w:val="1"/>
                <w:color w:val="auto"/>
              </w:rPr>
              <w:t>Fair</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22"/>
                <w:szCs w:val="22"/>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22"/>
                <w:szCs w:val="22"/>
                <w:color w:val="auto"/>
              </w:rPr>
            </w:pPr>
          </w:p>
        </w:tc>
        <w:tc>
          <w:tcPr>
            <w:tcW w:w="780" w:type="dxa"/>
            <w:vAlign w:val="bottom"/>
          </w:tcPr>
          <w:p>
            <w:pPr>
              <w:jc w:val="center"/>
              <w:ind w:right="76"/>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center"/>
              <w:ind w:right="96"/>
              <w:spacing w:after="0"/>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276"/>
        </w:trPr>
        <w:tc>
          <w:tcPr>
            <w:tcW w:w="400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jc w:val="center"/>
              <w:ind w:left="321"/>
              <w:spacing w:after="0"/>
              <w:rPr>
                <w:sz w:val="20"/>
                <w:szCs w:val="20"/>
                <w:color w:val="auto"/>
              </w:rPr>
            </w:pPr>
            <w:r>
              <w:rPr>
                <w:rFonts w:ascii="Arial" w:cs="Arial" w:eastAsia="Arial" w:hAnsi="Arial"/>
                <w:sz w:val="14"/>
                <w:szCs w:val="14"/>
                <w:b w:val="1"/>
                <w:bCs w:val="1"/>
                <w:color w:val="auto"/>
                <w:w w:val="90"/>
              </w:rPr>
              <w:t>Value</w:t>
            </w: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States and political subdivisions</w:t>
            </w:r>
          </w:p>
        </w:tc>
        <w:tc>
          <w:tcPr>
            <w:tcW w:w="780" w:type="dxa"/>
            <w:vAlign w:val="bottom"/>
            <w:tcBorders>
              <w:bottom w:val="single" w:sz="8" w:color="CCEEFF"/>
            </w:tcBorders>
            <w:shd w:val="clear" w:color="auto" w:fill="CCEEFF"/>
          </w:tcPr>
          <w:p>
            <w:pPr>
              <w:jc w:val="right"/>
              <w:ind w:right="581"/>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Corporate debt securities</w:t>
            </w:r>
          </w:p>
        </w:tc>
        <w:tc>
          <w:tcPr>
            <w:tcW w:w="7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w w:val="86"/>
              </w:rPr>
              <w:t>367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government bonds</w:t>
            </w:r>
          </w:p>
        </w:tc>
        <w:tc>
          <w:tcPr>
            <w:tcW w:w="7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Preferred stock available for sale</w:t>
            </w:r>
          </w:p>
        </w:tc>
        <w:tc>
          <w:tcPr>
            <w:tcW w:w="7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temporarily impaired securities</w:t>
            </w:r>
          </w:p>
        </w:tc>
        <w:tc>
          <w:tcPr>
            <w:tcW w:w="780" w:type="dxa"/>
            <w:vAlign w:val="bottom"/>
            <w:tcBorders>
              <w:bottom w:val="single" w:sz="8" w:color="auto"/>
            </w:tcBorders>
            <w:shd w:val="clear" w:color="auto" w:fill="CCEEFF"/>
          </w:tcPr>
          <w:p>
            <w:pPr>
              <w:jc w:val="right"/>
              <w:ind w:right="581"/>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602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38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three and six month period ended June 30, 2014, we recorded no impairment charges relating to investments that were determined to be other-than-temporarily impaired. During the three-month period ended June 30, 2013, we recorded no impairment charges relating to investments that were determined to be other-than-temporarily impaired. During the</w:t>
      </w:r>
    </w:p>
    <w:p>
      <w:pPr>
        <w:sectPr>
          <w:pgSz w:w="11900" w:h="16838" w:orient="portrait"/>
          <w:cols w:equalWidth="0" w:num="1">
            <w:col w:w="11420"/>
          </w:cols>
          <w:pgMar w:left="240" w:top="121"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1" w:right="2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six month period ended June 30, 2013, we recorded impairment charges on fixed maturity securities relating to investments that were determined to be other-than-temporarily impaired, which resulted in additional expense of $1 million. As of June 30, 2014, we held no fixed maturity securities for which an other-than-temporary impairment had been previously recognized. It is possible that future events may lead us to recognize potential future impairment losses related to our investment portfolio and that unanticipated future events may lead us to dispose of certain investment holdings and recognize the effects of any market movements in our condensed consolidated financial statements.</w:t>
      </w:r>
    </w:p>
    <w:p>
      <w:pPr>
        <w:spacing w:after="0" w:line="8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presents realized gains and losses on investments and other assets and proceeds from the sale or maturity of investments and other assets for the three and six-month periods ending June 30, 2014 and 2013, respectively:</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9"/>
          </w:tcPr>
          <w:p>
            <w:pPr>
              <w:jc w:val="center"/>
              <w:spacing w:after="0"/>
              <w:rPr>
                <w:sz w:val="20"/>
                <w:szCs w:val="20"/>
                <w:color w:val="auto"/>
              </w:rPr>
            </w:pPr>
            <w:r>
              <w:rPr>
                <w:rFonts w:ascii="Arial" w:cs="Arial" w:eastAsia="Arial" w:hAnsi="Arial"/>
                <w:sz w:val="14"/>
                <w:szCs w:val="14"/>
                <w:b w:val="1"/>
                <w:bCs w:val="1"/>
                <w:color w:val="auto"/>
                <w:w w:val="91"/>
              </w:rPr>
              <w:t>Three months ended June 30, 2014</w:t>
            </w:r>
          </w:p>
        </w:tc>
        <w:tc>
          <w:tcPr>
            <w:tcW w:w="6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7"/>
          </w:tcPr>
          <w:p>
            <w:pPr>
              <w:jc w:val="center"/>
              <w:ind w:left="3"/>
              <w:spacing w:after="0"/>
              <w:rPr>
                <w:sz w:val="20"/>
                <w:szCs w:val="20"/>
                <w:color w:val="auto"/>
              </w:rPr>
            </w:pPr>
            <w:r>
              <w:rPr>
                <w:rFonts w:ascii="Arial" w:cs="Arial" w:eastAsia="Arial" w:hAnsi="Arial"/>
                <w:sz w:val="14"/>
                <w:szCs w:val="14"/>
                <w:b w:val="1"/>
                <w:bCs w:val="1"/>
                <w:color w:val="auto"/>
                <w:w w:val="90"/>
              </w:rPr>
              <w:t>Six months ended June 30, 2014</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gridSpan w:val="3"/>
            <w:vMerge w:val="restart"/>
          </w:tcPr>
          <w:p>
            <w:pPr>
              <w:jc w:val="center"/>
              <w:ind w:left="102"/>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w w:val="91"/>
              </w:rPr>
              <w:t>Gross Proceeds</w:t>
            </w:r>
          </w:p>
        </w:tc>
        <w:tc>
          <w:tcPr>
            <w:tcW w:w="100" w:type="dxa"/>
            <w:vAlign w:val="bottom"/>
          </w:tcPr>
          <w:p>
            <w:pPr>
              <w:spacing w:after="0"/>
              <w:rPr>
                <w:sz w:val="13"/>
                <w:szCs w:val="13"/>
                <w:color w:val="auto"/>
              </w:rPr>
            </w:pPr>
          </w:p>
        </w:tc>
        <w:tc>
          <w:tcPr>
            <w:tcW w:w="720" w:type="dxa"/>
            <w:vAlign w:val="bottom"/>
            <w:gridSpan w:val="2"/>
            <w:vMerge w:val="restart"/>
          </w:tcPr>
          <w:p>
            <w:pPr>
              <w:jc w:val="center"/>
              <w:ind w:left="8"/>
              <w:spacing w:after="0"/>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13"/>
                <w:szCs w:val="13"/>
                <w:color w:val="auto"/>
              </w:rPr>
            </w:pPr>
          </w:p>
        </w:tc>
        <w:tc>
          <w:tcPr>
            <w:tcW w:w="6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7"/>
              </w:rPr>
              <w:t>Net</w:t>
            </w: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89"/>
              </w:rPr>
              <w:t>Gross Proceeds</w:t>
            </w: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Gross Realized</w:t>
            </w:r>
          </w:p>
        </w:tc>
        <w:tc>
          <w:tcPr>
            <w:tcW w:w="10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5"/>
            <w:vMerge w:val="restart"/>
          </w:tcPr>
          <w:p>
            <w:pPr>
              <w:jc w:val="center"/>
              <w:ind w:right="100"/>
              <w:spacing w:after="0"/>
              <w:rPr>
                <w:sz w:val="20"/>
                <w:szCs w:val="20"/>
                <w:color w:val="auto"/>
              </w:rPr>
            </w:pPr>
            <w:r>
              <w:rPr>
                <w:rFonts w:ascii="Arial" w:cs="Arial" w:eastAsia="Arial" w:hAnsi="Arial"/>
                <w:sz w:val="14"/>
                <w:szCs w:val="14"/>
                <w:b w:val="1"/>
                <w:bCs w:val="1"/>
                <w:color w:val="auto"/>
                <w:w w:val="93"/>
              </w:rPr>
              <w:t>Net Realized</w:t>
            </w:r>
          </w:p>
        </w:tc>
        <w:tc>
          <w:tcPr>
            <w:tcW w:w="104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Realized</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20" w:type="dxa"/>
            <w:vAlign w:val="bottom"/>
            <w:gridSpan w:val="3"/>
          </w:tcPr>
          <w:p>
            <w:pPr>
              <w:jc w:val="center"/>
              <w:ind w:left="102"/>
              <w:spacing w:after="0" w:line="149" w:lineRule="exact"/>
              <w:rPr>
                <w:sz w:val="20"/>
                <w:szCs w:val="20"/>
                <w:color w:val="auto"/>
              </w:rPr>
            </w:pPr>
            <w:r>
              <w:rPr>
                <w:rFonts w:ascii="Arial" w:cs="Arial" w:eastAsia="Arial" w:hAnsi="Arial"/>
                <w:sz w:val="14"/>
                <w:szCs w:val="14"/>
                <w:b w:val="1"/>
                <w:bCs w:val="1"/>
                <w:color w:val="auto"/>
                <w:w w:val="91"/>
              </w:rPr>
              <w:t>Realized</w:t>
            </w:r>
          </w:p>
        </w:tc>
        <w:tc>
          <w:tcPr>
            <w:tcW w:w="140" w:type="dxa"/>
            <w:vAlign w:val="bottom"/>
          </w:tcPr>
          <w:p>
            <w:pPr>
              <w:spacing w:after="0"/>
              <w:rPr>
                <w:sz w:val="12"/>
                <w:szCs w:val="12"/>
                <w:color w:val="auto"/>
              </w:rPr>
            </w:pPr>
          </w:p>
        </w:tc>
        <w:tc>
          <w:tcPr>
            <w:tcW w:w="1240" w:type="dxa"/>
            <w:vAlign w:val="bottom"/>
            <w:gridSpan w:val="5"/>
            <w:vMerge w:val="continue"/>
          </w:tcPr>
          <w:p>
            <w:pPr>
              <w:spacing w:after="0"/>
              <w:rPr>
                <w:sz w:val="12"/>
                <w:szCs w:val="12"/>
                <w:color w:val="auto"/>
              </w:rPr>
            </w:pPr>
          </w:p>
        </w:tc>
        <w:tc>
          <w:tcPr>
            <w:tcW w:w="1040" w:type="dxa"/>
            <w:vAlign w:val="bottom"/>
            <w:gridSpan w:val="4"/>
          </w:tcPr>
          <w:p>
            <w:pPr>
              <w:jc w:val="right"/>
              <w:ind w:right="308"/>
              <w:spacing w:after="0" w:line="149" w:lineRule="exact"/>
              <w:rPr>
                <w:sz w:val="20"/>
                <w:szCs w:val="20"/>
                <w:color w:val="auto"/>
              </w:rPr>
            </w:pPr>
            <w:r>
              <w:rPr>
                <w:rFonts w:ascii="Arial" w:cs="Arial" w:eastAsia="Arial" w:hAnsi="Arial"/>
                <w:sz w:val="14"/>
                <w:szCs w:val="14"/>
                <w:b w:val="1"/>
                <w:bCs w:val="1"/>
                <w:color w:val="auto"/>
              </w:rPr>
              <w:t>from</w:t>
            </w:r>
          </w:p>
        </w:tc>
        <w:tc>
          <w:tcPr>
            <w:tcW w:w="100" w:type="dxa"/>
            <w:vAlign w:val="bottom"/>
          </w:tcPr>
          <w:p>
            <w:pPr>
              <w:spacing w:after="0"/>
              <w:rPr>
                <w:sz w:val="12"/>
                <w:szCs w:val="12"/>
                <w:color w:val="auto"/>
              </w:rPr>
            </w:pPr>
          </w:p>
        </w:tc>
        <w:tc>
          <w:tcPr>
            <w:tcW w:w="720" w:type="dxa"/>
            <w:vAlign w:val="bottom"/>
            <w:gridSpan w:val="2"/>
          </w:tcPr>
          <w:p>
            <w:pPr>
              <w:jc w:val="center"/>
              <w:ind w:left="8"/>
              <w:spacing w:after="0" w:line="149" w:lineRule="exact"/>
              <w:rPr>
                <w:sz w:val="20"/>
                <w:szCs w:val="20"/>
                <w:color w:val="auto"/>
              </w:rPr>
            </w:pPr>
            <w:r>
              <w:rPr>
                <w:rFonts w:ascii="Arial" w:cs="Arial" w:eastAsia="Arial" w:hAnsi="Arial"/>
                <w:sz w:val="14"/>
                <w:szCs w:val="14"/>
                <w:b w:val="1"/>
                <w:bCs w:val="1"/>
                <w:color w:val="auto"/>
                <w:w w:val="91"/>
              </w:rPr>
              <w:t>Realized</w:t>
            </w:r>
          </w:p>
        </w:tc>
        <w:tc>
          <w:tcPr>
            <w:tcW w:w="300" w:type="dxa"/>
            <w:vAlign w:val="bottom"/>
          </w:tcPr>
          <w:p>
            <w:pPr>
              <w:spacing w:after="0"/>
              <w:rPr>
                <w:sz w:val="12"/>
                <w:szCs w:val="12"/>
                <w:color w:val="auto"/>
              </w:rPr>
            </w:pPr>
          </w:p>
        </w:tc>
        <w:tc>
          <w:tcPr>
            <w:tcW w:w="680" w:type="dxa"/>
            <w:vAlign w:val="bottom"/>
          </w:tcPr>
          <w:p>
            <w:pPr>
              <w:jc w:val="right"/>
              <w:ind w:right="59"/>
              <w:spacing w:after="0" w:line="149" w:lineRule="exact"/>
              <w:rPr>
                <w:sz w:val="20"/>
                <w:szCs w:val="20"/>
                <w:color w:val="auto"/>
              </w:rPr>
            </w:pPr>
            <w:r>
              <w:rPr>
                <w:rFonts w:ascii="Arial" w:cs="Arial" w:eastAsia="Arial" w:hAnsi="Arial"/>
                <w:sz w:val="14"/>
                <w:szCs w:val="14"/>
                <w:b w:val="1"/>
                <w:bCs w:val="1"/>
                <w:color w:val="auto"/>
                <w:w w:val="91"/>
              </w:rPr>
              <w:t>Realized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Gains</w:t>
            </w:r>
          </w:p>
        </w:tc>
        <w:tc>
          <w:tcPr>
            <w:tcW w:w="240" w:type="dxa"/>
            <w:vAlign w:val="bottom"/>
          </w:tcPr>
          <w:p>
            <w:pPr>
              <w:spacing w:after="0"/>
              <w:rPr>
                <w:sz w:val="12"/>
                <w:szCs w:val="12"/>
                <w:color w:val="auto"/>
              </w:rPr>
            </w:pPr>
          </w:p>
        </w:tc>
        <w:tc>
          <w:tcPr>
            <w:tcW w:w="780" w:type="dxa"/>
            <w:vAlign w:val="bottom"/>
          </w:tcPr>
          <w:p>
            <w:pPr>
              <w:jc w:val="center"/>
              <w:ind w:right="153"/>
              <w:spacing w:after="0" w:line="149" w:lineRule="exact"/>
              <w:rPr>
                <w:sz w:val="20"/>
                <w:szCs w:val="20"/>
                <w:color w:val="auto"/>
              </w:rPr>
            </w:pPr>
            <w:r>
              <w:rPr>
                <w:rFonts w:ascii="Arial" w:cs="Arial" w:eastAsia="Arial" w:hAnsi="Arial"/>
                <w:sz w:val="14"/>
                <w:szCs w:val="14"/>
                <w:b w:val="1"/>
                <w:bCs w:val="1"/>
                <w:color w:val="auto"/>
                <w:w w:val="96"/>
              </w:rPr>
              <w:t>from</w:t>
            </w:r>
          </w:p>
        </w:tc>
        <w:tc>
          <w:tcPr>
            <w:tcW w:w="0" w:type="dxa"/>
            <w:vAlign w:val="bottom"/>
          </w:tcPr>
          <w:p>
            <w:pPr>
              <w:spacing w:after="0"/>
              <w:rPr>
                <w:sz w:val="1"/>
                <w:szCs w:val="1"/>
                <w:color w:val="auto"/>
              </w:rPr>
            </w:pPr>
          </w:p>
        </w:tc>
      </w:tr>
      <w:tr>
        <w:trPr>
          <w:trHeight w:val="192"/>
        </w:trPr>
        <w:tc>
          <w:tcPr>
            <w:tcW w:w="2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Gains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center"/>
              <w:ind w:left="102"/>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4"/>
                <w:szCs w:val="14"/>
                <w:b w:val="1"/>
                <w:bCs w:val="1"/>
                <w:color w:val="auto"/>
                <w:w w:val="89"/>
              </w:rPr>
              <w:t>Gains (Losses)</w:t>
            </w:r>
          </w:p>
        </w:tc>
        <w:tc>
          <w:tcPr>
            <w:tcW w:w="10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Sale/Maturity</w:t>
            </w:r>
          </w:p>
        </w:tc>
        <w:tc>
          <w:tcPr>
            <w:tcW w:w="100" w:type="dxa"/>
            <w:vAlign w:val="bottom"/>
          </w:tcPr>
          <w:p>
            <w:pPr>
              <w:spacing w:after="0"/>
              <w:rPr>
                <w:sz w:val="16"/>
                <w:szCs w:val="16"/>
                <w:color w:val="auto"/>
              </w:rPr>
            </w:pPr>
          </w:p>
        </w:tc>
        <w:tc>
          <w:tcPr>
            <w:tcW w:w="720" w:type="dxa"/>
            <w:vAlign w:val="bottom"/>
            <w:tcBorders>
              <w:bottom w:val="single" w:sz="8" w:color="auto"/>
            </w:tcBorders>
            <w:gridSpan w:val="2"/>
          </w:tcPr>
          <w:p>
            <w:pPr>
              <w:jc w:val="center"/>
              <w:ind w:left="8"/>
              <w:spacing w:after="0"/>
              <w:rPr>
                <w:sz w:val="20"/>
                <w:szCs w:val="20"/>
                <w:color w:val="auto"/>
              </w:rPr>
            </w:pPr>
            <w:r>
              <w:rPr>
                <w:rFonts w:ascii="Arial" w:cs="Arial" w:eastAsia="Arial" w:hAnsi="Arial"/>
                <w:sz w:val="14"/>
                <w:szCs w:val="14"/>
                <w:b w:val="1"/>
                <w:bCs w:val="1"/>
                <w:color w:val="auto"/>
                <w:w w:val="92"/>
              </w:rPr>
              <w:t>Gains</w:t>
            </w:r>
          </w:p>
        </w:tc>
        <w:tc>
          <w:tcPr>
            <w:tcW w:w="3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Losses</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6"/>
              </w:rPr>
              <w:t>(Losses)</w:t>
            </w: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Sale/Maturity</w:t>
            </w:r>
          </w:p>
        </w:tc>
        <w:tc>
          <w:tcPr>
            <w:tcW w:w="0" w:type="dxa"/>
            <w:vAlign w:val="bottom"/>
          </w:tcPr>
          <w:p>
            <w:pPr>
              <w:spacing w:after="0"/>
              <w:rPr>
                <w:sz w:val="1"/>
                <w:szCs w:val="1"/>
                <w:color w:val="auto"/>
              </w:rPr>
            </w:pPr>
          </w:p>
        </w:tc>
      </w:tr>
      <w:tr>
        <w:trPr>
          <w:trHeight w:val="250"/>
        </w:trPr>
        <w:tc>
          <w:tcPr>
            <w:tcW w:w="2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0" w:type="dxa"/>
            <w:vAlign w:val="bottom"/>
            <w:gridSpan w:val="6"/>
          </w:tcPr>
          <w:p>
            <w:pPr>
              <w:jc w:val="center"/>
              <w:ind w:left="342"/>
              <w:spacing w:after="0"/>
              <w:rPr>
                <w:sz w:val="20"/>
                <w:szCs w:val="20"/>
                <w:color w:val="auto"/>
              </w:rPr>
            </w:pPr>
            <w:r>
              <w:rPr>
                <w:rFonts w:ascii="Arial" w:cs="Arial" w:eastAsia="Arial" w:hAnsi="Arial"/>
                <w:sz w:val="14"/>
                <w:szCs w:val="14"/>
                <w:b w:val="1"/>
                <w:bCs w:val="1"/>
                <w:color w:val="auto"/>
                <w:w w:val="93"/>
              </w:rPr>
              <w:t>(Dollars in millions)</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(Dollars in millions)</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8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Fixed maturity securities available for</w:t>
            </w: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w:t>
            </w:r>
          </w:p>
        </w:tc>
        <w:tc>
          <w:tcPr>
            <w:tcW w:w="2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538"/>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740" w:type="dxa"/>
            <w:vAlign w:val="bottom"/>
            <w:tcBorders>
              <w:bottom w:val="single" w:sz="8" w:color="CCEEFF"/>
            </w:tcBorders>
            <w:shd w:val="clear" w:color="auto" w:fill="CCEEFF"/>
          </w:tcPr>
          <w:p>
            <w:pPr>
              <w:jc w:val="right"/>
              <w:ind w:right="40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622"/>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w w:val="86"/>
              </w:rPr>
              <w:t>255</w:t>
            </w:r>
          </w:p>
        </w:tc>
        <w:tc>
          <w:tcPr>
            <w:tcW w:w="540" w:type="dxa"/>
            <w:vAlign w:val="bottom"/>
            <w:tcBorders>
              <w:bottom w:val="single" w:sz="8" w:color="CCEEFF"/>
            </w:tcBorders>
            <w:gridSpan w:val="2"/>
            <w:shd w:val="clear" w:color="auto" w:fill="CCEEFF"/>
          </w:tcPr>
          <w:p>
            <w:pPr>
              <w:jc w:val="center"/>
              <w:ind w:right="128"/>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center"/>
              <w:ind w:left="34"/>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43"/>
        </w:trPr>
        <w:tc>
          <w:tcPr>
            <w:tcW w:w="2860" w:type="dxa"/>
            <w:vAlign w:val="bottom"/>
          </w:tcPr>
          <w:p>
            <w:pPr>
              <w:ind w:left="40"/>
              <w:spacing w:after="0"/>
              <w:rPr>
                <w:sz w:val="20"/>
                <w:szCs w:val="20"/>
                <w:color w:val="auto"/>
              </w:rPr>
            </w:pPr>
            <w:r>
              <w:rPr>
                <w:rFonts w:ascii="Arial" w:cs="Arial" w:eastAsia="Arial" w:hAnsi="Arial"/>
                <w:sz w:val="18"/>
                <w:szCs w:val="18"/>
                <w:color w:val="auto"/>
              </w:rPr>
              <w:t>Preferred stock available for sale</w:t>
            </w: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740" w:type="dxa"/>
            <w:vAlign w:val="bottom"/>
          </w:tcPr>
          <w:p>
            <w:pPr>
              <w:spacing w:after="0"/>
              <w:rPr>
                <w:sz w:val="21"/>
                <w:szCs w:val="21"/>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0" w:type="dxa"/>
            <w:vAlign w:val="bottom"/>
            <w:gridSpan w:val="3"/>
          </w:tcPr>
          <w:p>
            <w:pPr>
              <w:jc w:val="right"/>
              <w:ind w:right="48"/>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6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86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8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8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62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w w:val="86"/>
              </w:rPr>
              <w:t>285</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center"/>
              <w:ind w:left="34"/>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gridSpan w:val="3"/>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3"/>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8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7"/>
          </w:tcPr>
          <w:p>
            <w:pPr>
              <w:jc w:val="center"/>
              <w:ind w:left="74"/>
              <w:spacing w:after="0"/>
              <w:rPr>
                <w:sz w:val="20"/>
                <w:szCs w:val="20"/>
                <w:color w:val="auto"/>
              </w:rPr>
            </w:pPr>
            <w:r>
              <w:rPr>
                <w:rFonts w:ascii="Arial" w:cs="Arial" w:eastAsia="Arial" w:hAnsi="Arial"/>
                <w:sz w:val="14"/>
                <w:szCs w:val="14"/>
                <w:b w:val="1"/>
                <w:bCs w:val="1"/>
                <w:color w:val="auto"/>
                <w:w w:val="91"/>
              </w:rPr>
              <w:t>Three months ended June 30, 2013</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0"/>
              </w:rPr>
              <w:t>Six months ended June 30, 2013</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860" w:type="dxa"/>
            <w:vAlign w:val="bottom"/>
          </w:tcPr>
          <w:p>
            <w:pPr>
              <w:spacing w:after="0"/>
              <w:rPr>
                <w:sz w:val="13"/>
                <w:szCs w:val="13"/>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0"/>
              </w:rPr>
              <w:t>Gross Realized</w:t>
            </w:r>
          </w:p>
        </w:tc>
        <w:tc>
          <w:tcPr>
            <w:tcW w:w="300" w:type="dxa"/>
            <w:vAlign w:val="bottom"/>
          </w:tcPr>
          <w:p>
            <w:pPr>
              <w:spacing w:after="0"/>
              <w:rPr>
                <w:sz w:val="13"/>
                <w:szCs w:val="13"/>
                <w:color w:val="auto"/>
              </w:rPr>
            </w:pPr>
          </w:p>
        </w:tc>
        <w:tc>
          <w:tcPr>
            <w:tcW w:w="740" w:type="dxa"/>
            <w:vAlign w:val="bottom"/>
          </w:tcPr>
          <w:p>
            <w:pPr>
              <w:jc w:val="center"/>
              <w:ind w:right="82"/>
              <w:spacing w:after="0" w:line="153" w:lineRule="exact"/>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3"/>
              </w:rPr>
              <w:t>Net Realized</w:t>
            </w:r>
          </w:p>
        </w:tc>
        <w:tc>
          <w:tcPr>
            <w:tcW w:w="80" w:type="dxa"/>
            <w:vAlign w:val="bottom"/>
          </w:tcPr>
          <w:p>
            <w:pPr>
              <w:spacing w:after="0"/>
              <w:rPr>
                <w:sz w:val="13"/>
                <w:szCs w:val="13"/>
                <w:color w:val="auto"/>
              </w:rPr>
            </w:pPr>
          </w:p>
        </w:tc>
        <w:tc>
          <w:tcPr>
            <w:tcW w:w="1360" w:type="dxa"/>
            <w:vAlign w:val="bottom"/>
            <w:gridSpan w:val="6"/>
          </w:tcPr>
          <w:p>
            <w:pPr>
              <w:jc w:val="right"/>
              <w:ind w:right="308"/>
              <w:spacing w:after="0" w:line="153" w:lineRule="exact"/>
              <w:rPr>
                <w:sz w:val="20"/>
                <w:szCs w:val="20"/>
                <w:color w:val="auto"/>
              </w:rPr>
            </w:pPr>
            <w:r>
              <w:rPr>
                <w:rFonts w:ascii="Arial" w:cs="Arial" w:eastAsia="Arial" w:hAnsi="Arial"/>
                <w:sz w:val="14"/>
                <w:szCs w:val="14"/>
                <w:b w:val="1"/>
                <w:bCs w:val="1"/>
                <w:color w:val="auto"/>
                <w:w w:val="89"/>
              </w:rPr>
              <w:t>Gross Proceeds</w:t>
            </w:r>
          </w:p>
        </w:tc>
        <w:tc>
          <w:tcPr>
            <w:tcW w:w="540" w:type="dxa"/>
            <w:vAlign w:val="bottom"/>
            <w:gridSpan w:val="2"/>
          </w:tcPr>
          <w:p>
            <w:pPr>
              <w:jc w:val="center"/>
              <w:ind w:right="108"/>
              <w:spacing w:after="0" w:line="153" w:lineRule="exact"/>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13"/>
                <w:szCs w:val="13"/>
                <w:color w:val="auto"/>
              </w:rPr>
            </w:pPr>
          </w:p>
        </w:tc>
        <w:tc>
          <w:tcPr>
            <w:tcW w:w="98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88"/>
              </w:rPr>
              <w:t>Gross</w:t>
            </w:r>
          </w:p>
        </w:tc>
        <w:tc>
          <w:tcPr>
            <w:tcW w:w="1020" w:type="dxa"/>
            <w:vAlign w:val="bottom"/>
            <w:gridSpan w:val="4"/>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Net Realized</w:t>
            </w:r>
          </w:p>
        </w:tc>
        <w:tc>
          <w:tcPr>
            <w:tcW w:w="10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w w:val="89"/>
              </w:rPr>
              <w:t>Gross Proceeds</w:t>
            </w: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4"/>
              </w:rPr>
              <w:t>Realized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from</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Realized</w:t>
            </w:r>
          </w:p>
        </w:tc>
        <w:tc>
          <w:tcPr>
            <w:tcW w:w="28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Realized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Gains</w:t>
            </w:r>
          </w:p>
        </w:tc>
        <w:tc>
          <w:tcPr>
            <w:tcW w:w="240" w:type="dxa"/>
            <w:vAlign w:val="bottom"/>
          </w:tcPr>
          <w:p>
            <w:pPr>
              <w:spacing w:after="0"/>
              <w:rPr>
                <w:sz w:val="12"/>
                <w:szCs w:val="12"/>
                <w:color w:val="auto"/>
              </w:rPr>
            </w:pPr>
          </w:p>
        </w:tc>
        <w:tc>
          <w:tcPr>
            <w:tcW w:w="780" w:type="dxa"/>
            <w:vAlign w:val="bottom"/>
          </w:tcPr>
          <w:p>
            <w:pPr>
              <w:jc w:val="center"/>
              <w:ind w:right="153"/>
              <w:spacing w:after="0" w:line="149" w:lineRule="exact"/>
              <w:rPr>
                <w:sz w:val="20"/>
                <w:szCs w:val="20"/>
                <w:color w:val="auto"/>
              </w:rPr>
            </w:pPr>
            <w:r>
              <w:rPr>
                <w:rFonts w:ascii="Arial" w:cs="Arial" w:eastAsia="Arial" w:hAnsi="Arial"/>
                <w:sz w:val="14"/>
                <w:szCs w:val="14"/>
                <w:b w:val="1"/>
                <w:bCs w:val="1"/>
                <w:color w:val="auto"/>
                <w:w w:val="96"/>
              </w:rPr>
              <w:t>from</w:t>
            </w:r>
          </w:p>
        </w:tc>
        <w:tc>
          <w:tcPr>
            <w:tcW w:w="0" w:type="dxa"/>
            <w:vAlign w:val="bottom"/>
          </w:tcPr>
          <w:p>
            <w:pPr>
              <w:spacing w:after="0"/>
              <w:rPr>
                <w:sz w:val="1"/>
                <w:szCs w:val="1"/>
                <w:color w:val="auto"/>
              </w:rPr>
            </w:pPr>
          </w:p>
        </w:tc>
      </w:tr>
      <w:tr>
        <w:trPr>
          <w:trHeight w:val="192"/>
        </w:trPr>
        <w:tc>
          <w:tcPr>
            <w:tcW w:w="28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Gains</w:t>
            </w:r>
          </w:p>
        </w:tc>
        <w:tc>
          <w:tcPr>
            <w:tcW w:w="3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89"/>
              </w:rPr>
              <w:t>Gains (Losses)</w:t>
            </w:r>
          </w:p>
        </w:tc>
        <w:tc>
          <w:tcPr>
            <w:tcW w:w="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Sale/Maturity</w:t>
            </w:r>
          </w:p>
        </w:tc>
        <w:tc>
          <w:tcPr>
            <w:tcW w:w="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2"/>
          </w:tcPr>
          <w:p>
            <w:pPr>
              <w:jc w:val="center"/>
              <w:ind w:right="108"/>
              <w:spacing w:after="0"/>
              <w:rPr>
                <w:sz w:val="20"/>
                <w:szCs w:val="20"/>
                <w:color w:val="auto"/>
              </w:rPr>
            </w:pPr>
            <w:r>
              <w:rPr>
                <w:rFonts w:ascii="Arial" w:cs="Arial" w:eastAsia="Arial" w:hAnsi="Arial"/>
                <w:sz w:val="14"/>
                <w:szCs w:val="14"/>
                <w:b w:val="1"/>
                <w:bCs w:val="1"/>
                <w:color w:val="auto"/>
                <w:w w:val="92"/>
              </w:rPr>
              <w:t>Gains</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86"/>
              </w:rPr>
              <w:t>(Losses)</w:t>
            </w: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Sale/Maturity</w:t>
            </w:r>
          </w:p>
        </w:tc>
        <w:tc>
          <w:tcPr>
            <w:tcW w:w="0" w:type="dxa"/>
            <w:vAlign w:val="bottom"/>
          </w:tcPr>
          <w:p>
            <w:pPr>
              <w:spacing w:after="0"/>
              <w:rPr>
                <w:sz w:val="1"/>
                <w:szCs w:val="1"/>
                <w:color w:val="auto"/>
              </w:rPr>
            </w:pPr>
          </w:p>
        </w:tc>
      </w:tr>
      <w:tr>
        <w:trPr>
          <w:trHeight w:val="250"/>
        </w:trPr>
        <w:tc>
          <w:tcPr>
            <w:tcW w:w="2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3"/>
              </w:rPr>
              <w:t>(Dollars in millions)</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00" w:type="dxa"/>
            <w:vAlign w:val="bottom"/>
            <w:gridSpan w:val="5"/>
          </w:tcPr>
          <w:p>
            <w:pPr>
              <w:ind w:left="8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w:t>
            </w: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 sale</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40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7</w:t>
            </w:r>
          </w:p>
        </w:tc>
        <w:tc>
          <w:tcPr>
            <w:tcW w:w="2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43"/>
        </w:trPr>
        <w:tc>
          <w:tcPr>
            <w:tcW w:w="2860" w:type="dxa"/>
            <w:vAlign w:val="bottom"/>
          </w:tcPr>
          <w:p>
            <w:pPr>
              <w:ind w:left="40"/>
              <w:spacing w:after="0"/>
              <w:rPr>
                <w:sz w:val="20"/>
                <w:szCs w:val="20"/>
                <w:color w:val="auto"/>
              </w:rPr>
            </w:pPr>
            <w:r>
              <w:rPr>
                <w:rFonts w:ascii="Arial" w:cs="Arial" w:eastAsia="Arial" w:hAnsi="Arial"/>
                <w:sz w:val="18"/>
                <w:szCs w:val="18"/>
                <w:color w:val="auto"/>
              </w:rPr>
              <w:t>Preferred stock available for sale</w:t>
            </w: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42"/>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gridSpan w:val="2"/>
          </w:tcPr>
          <w:p>
            <w:pPr>
              <w:jc w:val="right"/>
              <w:ind w:right="8"/>
              <w:spacing w:after="0"/>
              <w:rPr>
                <w:sz w:val="20"/>
                <w:szCs w:val="20"/>
                <w:color w:val="auto"/>
              </w:rPr>
            </w:pPr>
            <w:r>
              <w:rPr>
                <w:rFonts w:ascii="Arial" w:cs="Arial" w:eastAsia="Arial" w:hAnsi="Arial"/>
                <w:sz w:val="18"/>
                <w:szCs w:val="18"/>
                <w:color w:val="auto"/>
              </w:rPr>
              <w:t>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680" w:type="dxa"/>
            <w:vAlign w:val="bottom"/>
          </w:tcPr>
          <w:p>
            <w:pPr>
              <w:jc w:val="right"/>
              <w:ind w:right="79"/>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5"/>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 available for sale</w:t>
            </w: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2860" w:type="dxa"/>
            <w:vAlign w:val="bottom"/>
          </w:tcPr>
          <w:p>
            <w:pPr>
              <w:ind w:left="40"/>
              <w:spacing w:after="0"/>
              <w:rPr>
                <w:sz w:val="20"/>
                <w:szCs w:val="20"/>
                <w:color w:val="auto"/>
              </w:rPr>
            </w:pPr>
            <w:r>
              <w:rPr>
                <w:rFonts w:ascii="Arial" w:cs="Arial" w:eastAsia="Arial" w:hAnsi="Arial"/>
                <w:sz w:val="18"/>
                <w:szCs w:val="18"/>
                <w:color w:val="auto"/>
              </w:rPr>
              <w:t>Other long-term investments</w:t>
            </w: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extinguishment costs</w:t>
            </w: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86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8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Investments in unconsolidated affiliates are recorded using the equity method of accounting. As of June 30, 2014 and December 31, 2013, investments in unconsolidated affiliates consisted of the following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Current Ownership</w:t>
            </w:r>
          </w:p>
        </w:tc>
        <w:tc>
          <w:tcPr>
            <w:tcW w:w="260" w:type="dxa"/>
            <w:vAlign w:val="bottom"/>
          </w:tcPr>
          <w:p>
            <w:pPr>
              <w:spacing w:after="0"/>
              <w:rPr>
                <w:sz w:val="16"/>
                <w:szCs w:val="16"/>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2014</w:t>
            </w:r>
          </w:p>
        </w:tc>
        <w:tc>
          <w:tcPr>
            <w:tcW w:w="180" w:type="dxa"/>
            <w:vAlign w:val="bottom"/>
          </w:tcPr>
          <w:p>
            <w:pPr>
              <w:spacing w:after="0"/>
              <w:rPr>
                <w:sz w:val="16"/>
                <w:szCs w:val="16"/>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2013</w:t>
            </w:r>
          </w:p>
        </w:tc>
      </w:tr>
      <w:tr>
        <w:trPr>
          <w:trHeight w:val="250"/>
        </w:trPr>
        <w:tc>
          <w:tcPr>
            <w:tcW w:w="6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Ceridian</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295</w:t>
            </w: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color w:val="auto"/>
              </w:rPr>
              <w:t>Other</w:t>
            </w:r>
          </w:p>
        </w:tc>
        <w:tc>
          <w:tcPr>
            <w:tcW w:w="1420" w:type="dxa"/>
            <w:vAlign w:val="bottom"/>
            <w:gridSpan w:val="2"/>
          </w:tcPr>
          <w:p>
            <w:pPr>
              <w:ind w:left="580"/>
              <w:spacing w:after="0"/>
              <w:rPr>
                <w:sz w:val="20"/>
                <w:szCs w:val="20"/>
                <w:color w:val="auto"/>
              </w:rPr>
            </w:pPr>
            <w:r>
              <w:rPr>
                <w:rFonts w:ascii="Arial" w:cs="Arial" w:eastAsia="Arial" w:hAnsi="Arial"/>
                <w:sz w:val="18"/>
                <w:szCs w:val="18"/>
                <w:color w:val="auto"/>
              </w:rPr>
              <w:t>Various</w:t>
            </w:r>
          </w:p>
        </w:tc>
        <w:tc>
          <w:tcPr>
            <w:tcW w:w="2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62</w:t>
            </w:r>
          </w:p>
        </w:tc>
      </w:tr>
      <w:tr>
        <w:trPr>
          <w:trHeight w:val="27"/>
        </w:trPr>
        <w:tc>
          <w:tcPr>
            <w:tcW w:w="67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6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357</w:t>
            </w:r>
          </w:p>
        </w:tc>
      </w:tr>
      <w:tr>
        <w:trPr>
          <w:trHeight w:val="20"/>
        </w:trPr>
        <w:tc>
          <w:tcPr>
            <w:tcW w:w="67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During the year ended December 31, 2013, we purchased $32 million in Ceridian bonds which are included in Fixed maturity securities available for sale on the Condensed Consolidated Balance Sheets and had a fair value of $36 million as of December 31, 2013. During the three month period ended June 30, 2014, we sold $2 million of the Ceridian bonds. Our remaining investment in Ceridian bonds had a fair value of $34 million as of June 30, 2014.</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6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have historically accounted for our equity in Ceridian on a three-month lag. However, during the first quarter of 2014, we began to account for our equity in Ceridian on a real-time basis. Accordingly, our net earnings for the three-month period ended June 30, 2014, includes our equity in Ceridian's earnings for the three-month period ended June 30, 2014. Our earnings for the three-month period ended June 30, 2013 includes our equity in Ceridian's earnings for the three-month period ended March 31, 2013. Our earnings for the six-month period ended June 30, 2014, includes our equity in Ceridian’s earnings for the three-month period ended December 31, 2013 and the six-month period ended June 30, 2014. Our net earnings for the six-month period ended June 30, 2013, includes our equity in Ceridian’s earnings for the six-month period ended March 31, 2013. During the three month periods ended June 30, 2014 and 2013, we recorded $5 million and $6 million, in equity in losses of Ceridian, respectively. During the six month periods ending June 30, 2014 and 2013, we recorded $35 million and $2 million, respectively, in equity in Ceridian's losses. There was zero equity in earnings for other unconsolidated affiliates during the three month period ending June 30, 2014, and there were $3 million in equity in earnings of other unconsolidated affiliates during the three months ending June 30, 2013. There were $1 million and $4 million in equity in losses of other unconsolidated affiliates during the six month periods ended June 30, 2014 and 2013, respectively.</w:t>
      </w:r>
    </w:p>
    <w:p>
      <w:pPr>
        <w:spacing w:after="0" w:line="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Summarized financial information for Ceridian for the relevant dates and time periods included in our Condensed Consolidated Financial Statements is presented below.</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100" w:type="dxa"/>
            <w:vAlign w:val="bottom"/>
          </w:tcPr>
          <w:p>
            <w:pPr>
              <w:jc w:val="right"/>
              <w:ind w:right="133"/>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8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2013</w:t>
            </w:r>
          </w:p>
        </w:tc>
      </w:tr>
      <w:tr>
        <w:trPr>
          <w:trHeight w:val="196"/>
        </w:trPr>
        <w:tc>
          <w:tcPr>
            <w:tcW w:w="8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80" w:type="dxa"/>
            <w:vAlign w:val="bottom"/>
            <w:gridSpan w:val="4"/>
          </w:tcPr>
          <w:p>
            <w:pPr>
              <w:jc w:val="right"/>
              <w:ind w:right="833"/>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 before customer funds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1,636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1,097</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Customer funds</w:t>
            </w: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3,248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3,897</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and other intangible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4,452</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122</w:t>
            </w:r>
          </w:p>
        </w:tc>
      </w:tr>
      <w:tr>
        <w:trPr>
          <w:trHeight w:val="27"/>
        </w:trPr>
        <w:tc>
          <w:tcPr>
            <w:tcW w:w="8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9,414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9,568</w:t>
            </w:r>
          </w:p>
        </w:tc>
      </w:tr>
      <w:tr>
        <w:trPr>
          <w:trHeight w:val="20"/>
        </w:trPr>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0"/>
        </w:trPr>
        <w:tc>
          <w:tcPr>
            <w:tcW w:w="8800" w:type="dxa"/>
            <w:vAlign w:val="bottom"/>
          </w:tcPr>
          <w:p>
            <w:pPr>
              <w:ind w:left="40"/>
              <w:spacing w:after="0"/>
              <w:rPr>
                <w:sz w:val="20"/>
                <w:szCs w:val="20"/>
                <w:color w:val="auto"/>
              </w:rPr>
            </w:pPr>
            <w:r>
              <w:rPr>
                <w:rFonts w:ascii="Arial" w:cs="Arial" w:eastAsia="Arial" w:hAnsi="Arial"/>
                <w:sz w:val="18"/>
                <w:szCs w:val="18"/>
                <w:color w:val="auto"/>
              </w:rPr>
              <w:t>Current liabilities before customer obligations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1,491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958</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3,883</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Long-term obligations, less current portion</w:t>
            </w: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3,407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3,406</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500</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8,587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8,747</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827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821</w:t>
            </w: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rPr>
              <w:t>Total liabilities and equity</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9,414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9,568</w:t>
            </w:r>
          </w:p>
        </w:tc>
      </w:tr>
      <w:tr>
        <w:trPr>
          <w:trHeight w:val="20"/>
        </w:trPr>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Three Months Ended June</w:t>
            </w:r>
          </w:p>
        </w:tc>
        <w:tc>
          <w:tcPr>
            <w:tcW w:w="240" w:type="dxa"/>
            <w:vAlign w:val="bottom"/>
          </w:tcPr>
          <w:p>
            <w:pPr>
              <w:spacing w:after="0"/>
              <w:rPr>
                <w:sz w:val="14"/>
                <w:szCs w:val="14"/>
                <w:color w:val="auto"/>
              </w:rPr>
            </w:pPr>
          </w:p>
        </w:tc>
        <w:tc>
          <w:tcPr>
            <w:tcW w:w="1580" w:type="dxa"/>
            <w:vAlign w:val="bottom"/>
          </w:tcPr>
          <w:p>
            <w:pPr>
              <w:jc w:val="right"/>
              <w:ind w:right="159"/>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1760" w:type="dxa"/>
            <w:vAlign w:val="bottom"/>
          </w:tcPr>
          <w:p>
            <w:pPr>
              <w:jc w:val="right"/>
              <w:ind w:right="97"/>
              <w:spacing w:after="0"/>
              <w:rPr>
                <w:sz w:val="20"/>
                <w:szCs w:val="20"/>
                <w:color w:val="auto"/>
              </w:rPr>
            </w:pPr>
            <w:r>
              <w:rPr>
                <w:rFonts w:ascii="Arial" w:cs="Arial" w:eastAsia="Arial" w:hAnsi="Arial"/>
                <w:sz w:val="14"/>
                <w:szCs w:val="14"/>
                <w:b w:val="1"/>
                <w:bCs w:val="1"/>
                <w:color w:val="auto"/>
                <w:w w:val="93"/>
              </w:rPr>
              <w:t>Nine Months Ended June</w:t>
            </w:r>
          </w:p>
        </w:tc>
        <w:tc>
          <w:tcPr>
            <w:tcW w:w="180" w:type="dxa"/>
            <w:vAlign w:val="bottom"/>
          </w:tcPr>
          <w:p>
            <w:pPr>
              <w:spacing w:after="0"/>
              <w:rPr>
                <w:sz w:val="14"/>
                <w:szCs w:val="14"/>
                <w:color w:val="auto"/>
              </w:rPr>
            </w:pPr>
          </w:p>
        </w:tc>
        <w:tc>
          <w:tcPr>
            <w:tcW w:w="1700" w:type="dxa"/>
            <w:vAlign w:val="bottom"/>
          </w:tcPr>
          <w:p>
            <w:pPr>
              <w:jc w:val="right"/>
              <w:ind w:right="37"/>
              <w:spacing w:after="0"/>
              <w:rPr>
                <w:sz w:val="20"/>
                <w:szCs w:val="20"/>
                <w:color w:val="auto"/>
              </w:rPr>
            </w:pPr>
            <w:r>
              <w:rPr>
                <w:rFonts w:ascii="Arial" w:cs="Arial" w:eastAsia="Arial" w:hAnsi="Arial"/>
                <w:sz w:val="14"/>
                <w:szCs w:val="14"/>
                <w:b w:val="1"/>
                <w:bCs w:val="1"/>
                <w:color w:val="auto"/>
                <w:w w:val="93"/>
              </w:rPr>
              <w:t>Six Months Ended March</w:t>
            </w:r>
          </w:p>
        </w:tc>
      </w:tr>
      <w:tr>
        <w:trPr>
          <w:trHeight w:val="192"/>
        </w:trPr>
        <w:tc>
          <w:tcPr>
            <w:tcW w:w="40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30, 2014</w:t>
            </w: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March 31, 2013</w:t>
            </w:r>
          </w:p>
        </w:tc>
        <w:tc>
          <w:tcPr>
            <w:tcW w:w="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30, 2014</w:t>
            </w:r>
          </w:p>
        </w:tc>
        <w:tc>
          <w:tcPr>
            <w:tcW w:w="1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31, 2013</w:t>
            </w:r>
          </w:p>
        </w:tc>
      </w:tr>
      <w:tr>
        <w:trPr>
          <w:trHeight w:val="196"/>
        </w:trPr>
        <w:tc>
          <w:tcPr>
            <w:tcW w:w="4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20" w:type="dxa"/>
            <w:vAlign w:val="bottom"/>
            <w:gridSpan w:val="3"/>
          </w:tcPr>
          <w:p>
            <w:pPr>
              <w:jc w:val="center"/>
              <w:ind w:right="37"/>
              <w:spacing w:after="0"/>
              <w:rPr>
                <w:sz w:val="20"/>
                <w:szCs w:val="20"/>
                <w:color w:val="auto"/>
              </w:rPr>
            </w:pPr>
            <w:r>
              <w:rPr>
                <w:rFonts w:ascii="Arial" w:cs="Arial" w:eastAsia="Arial" w:hAnsi="Arial"/>
                <w:sz w:val="14"/>
                <w:szCs w:val="14"/>
                <w:b w:val="1"/>
                <w:bCs w:val="1"/>
                <w:color w:val="auto"/>
                <w:w w:val="96"/>
              </w:rPr>
              <w:t>(In millions)</w:t>
            </w: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355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375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1,104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775</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38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21"/>
                <w:szCs w:val="21"/>
                <w:color w:val="auto"/>
              </w:rPr>
            </w:pPr>
          </w:p>
        </w:tc>
        <w:tc>
          <w:tcPr>
            <w:tcW w:w="1580" w:type="dxa"/>
            <w:vAlign w:val="bottom"/>
          </w:tcPr>
          <w:p>
            <w:pPr>
              <w:jc w:val="right"/>
              <w:ind w:right="19"/>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21"/>
                <w:szCs w:val="21"/>
                <w:color w:val="auto"/>
              </w:rPr>
            </w:pPr>
          </w:p>
        </w:tc>
        <w:tc>
          <w:tcPr>
            <w:tcW w:w="1760" w:type="dxa"/>
            <w:vAlign w:val="bottom"/>
          </w:tcPr>
          <w:p>
            <w:pPr>
              <w:jc w:val="right"/>
              <w:ind w:right="17"/>
              <w:spacing w:after="0"/>
              <w:rPr>
                <w:sz w:val="20"/>
                <w:szCs w:val="20"/>
                <w:color w:val="auto"/>
              </w:rPr>
            </w:pPr>
            <w:r>
              <w:rPr>
                <w:rFonts w:ascii="Arial" w:cs="Arial" w:eastAsia="Arial" w:hAnsi="Arial"/>
                <w:sz w:val="18"/>
                <w:szCs w:val="18"/>
                <w:color w:val="auto"/>
              </w:rPr>
              <w:t>(123)</w:t>
            </w:r>
          </w:p>
        </w:tc>
        <w:tc>
          <w:tcPr>
            <w:tcW w:w="1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4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43"/>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8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21"/>
                <w:szCs w:val="21"/>
                <w:color w:val="auto"/>
              </w:rPr>
            </w:pPr>
          </w:p>
        </w:tc>
        <w:tc>
          <w:tcPr>
            <w:tcW w:w="17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(126)</w:t>
            </w:r>
          </w:p>
        </w:tc>
        <w:tc>
          <w:tcPr>
            <w:tcW w:w="18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40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—Remy Derivative Financial Instruments and Concentration of Risk</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describes financial market risks faced by, and derivative instruments held by, Remy.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Risk</w:t>
      </w:r>
    </w:p>
    <w:p>
      <w:pPr>
        <w:spacing w:after="0" w:line="11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Remy manufactures and sells products primarily in North America, South America, Asia, Europe and Africa. As a result, financial results could be significantly affected by factors such as changes in foreign currency exchange rates or weak economic conditions in foreign markets in which Remy manufactures and sells products. Remy generally tries to use natural hedges within its foreign currency activities, including the matching of revenues and costs, to minimize foreign currency risk. Where natural hedges are not in place, Remy considers managing certain aspects of its foreign currency activities through the use of foreign exchange contracts. Remy primarily utilizes forward exchange contracts with maturities generally within eighteen months to hedge against currency rate fluctuations, all of which are designated as hedges. As of June 30, 2014 and December 31, 2013, Remy had the following outstanding foreign currency contracts to hedge forecasted purchases and revenues (in millions):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0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Currency Denomination</w:t>
            </w:r>
          </w:p>
        </w:tc>
      </w:tr>
      <w:tr>
        <w:trPr>
          <w:trHeight w:val="252"/>
        </w:trPr>
        <w:tc>
          <w:tcPr>
            <w:tcW w:w="8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Foreign currency contract</w:t>
            </w: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30, 2014</w:t>
            </w: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South Korean Won Forward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Mexican Peso Contracts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74</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Brazilian Real Forward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Hungarian Forint Forward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British Pound Forward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8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There were net accumulated unrealized gains of $3 million and $2 million relating to these instruments recorded in Accumulated other comprehensive earnings (loss) as of June 30, 2014 and December 31, 2013, respectively. As of June 30, 2014, gains related to these instruments of $3 million are expected to be reclassified to the Condensed Consolidated Statement of Earnings within the next 12 months. Any ineffectiveness during the three and six month period ended June 30, 2014 was immaterial.</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2010, Remy entered into an interest rate swap agreement in respect of 50% of the outstanding principal balance of its Term B Loan under which a variable LIBOR rate with a floor of 1.75% was swapped to a fixed rate of 3.35%. Due to the significant value of the terminated swaps which were transferred into this swap, this interest rate swap is an undesignated hedge and changes in the fair value are recorded as Interest expense in the accompanying Condensed Consolidated Statements of Earnings.</w:t>
      </w:r>
    </w:p>
    <w:p>
      <w:pPr>
        <w:spacing w:after="0" w:line="7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On March 27, 2013, Remy terminated its undesignated Term B Loan interest rate swap and transferred the value into a new undesignated interest rate swap agreement of $72 million of the outstanding principal loan balance under which Remy will swap a variable LIBOR rate with a floor of 1.25% to a fixed rate of 4.05% with an effective date of December 30, 2016 and expiration date of December 31, 2019. The notional value of this interest rate swap is $72 million. Due to the significant value of the terminated swaps which were transferred into this new swap, this interest rate swap is an undesignated hedge and changes in the fair value are recorded as Interest expense in the accompanying Condensed Consolidated Statements of Earnings.</w:t>
      </w:r>
    </w:p>
    <w:p>
      <w:pPr>
        <w:spacing w:after="0" w:line="5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On March 27, 2013, Remy also entered into a designated interest rate swap agreement for $72 million of the outstanding principal balance of its long term debt. Under the terms of the new interest rate swap agreement, Remy will swap a variable LIBOR rate with a floor of 1.25% to a fixed rate of 2.75% with an effective date of December 30, 2016 and expiration date of December 31, 2019. The notional value of this interest rate swap is $72 million. This interest rate swap has been designated as a cash flow hedging instrument. There were no accumulated unrealized gains or losses recorded in Accumulated other comprehensive earnings (loss) as of June 30, 2014. Accumulated unrealized net gains of $1 million were recorded in Accumulated other comprehensive (loss) earnings as of December 31, 2013. As of June 30, 2014, no gains are expected to be reclassified to the Condensed Consolidated Statement of Earnings within the next twelve months. Any ineffectiveness during the three and six month periods ended June 30, 2014 was immaterial.</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interest rate swaps reduce Remy's overall interest rate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price risk</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Remy production processes are dependent upon the supply of certain components whose raw materials are exposed to price fluctuations on the open market. The primary purpose of Remy's commodity price forward contract activity is to manage the volatility associated with forecasted purchases. Remy monitors commodity price risk exposures regularly to maximize the overall effectiveness of commodity forward contracts. The principal raw material hedged is copper. Forward contracts are used to mitigate commodity price risk associated with raw materials, generally related to purchases forecast for up to twenty-four months in the future. Additionally, Remy purchases certain commodities during the normal course of business which result in physical delivery and are excluded from hedge accounting.</w:t>
      </w:r>
    </w:p>
    <w:p>
      <w:pPr>
        <w:spacing w:after="0" w:line="24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Remy had twenty-eight commodity price hedge contracts outstanding at June 30, 2014, and thirty-two commodity price hedge contracts outstanding at December 31, 2013, with combined notional quantities of 5,252 and 6,368 metric tons of copper, respectively. These contracts mature within the next eighteen months and are designated as cash flow hedging instruments. Accumulated unrealized net losses of $1 million, excluding the tax effect, were recorded in Accumulated other comprehensive earnings as of both June 30, 2014 and December 31, 2013, respectively, related to these contracts. As of June 30, 2014, net losses related to these contracts of $1 million are expected to be reclassified to the accompanying Condensed Consolidated Statement of Earnings within the next 12 months. Hedging ineffectiveness during the three and six month periods ended June 30, 2014 was immaterial.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Remy's derivative positions and any related material collateral under master netting agreements are presented in our financial statements on a gross basis.</w:t>
      </w:r>
    </w:p>
    <w:p>
      <w:pPr>
        <w:spacing w:after="0" w:line="24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For derivatives designated as cash flow hedges, changes in the time value are excluded from the assessment of hedge effectiveness. Unrealized gains and losses associated with ineffective hedges, determined using the change in fair value method, are recognized in the accompanying Condensed Consolidated Statement of Earnings. Derivative gains and losses included in Accumulated other comprehensive earnings for effective hedges are reclassified into the accompanying Condensed Consolidated Statement of Earnings upon recognition of the hedged transaction.</w:t>
      </w:r>
    </w:p>
    <w:p>
      <w:pPr>
        <w:spacing w:after="0" w:line="17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Any derivative instrument designated initially, but no longer effective as a hedge, or initially not effective as a hedge, is recorded at fair value and the related gains and losses are recognized in the accompanying Condensed Consolidated Statement of Earnings. Remy's undesignated hedges are primarily Remy's interest rate swaps whose fair value at inception of the instrument due to the rollover of existing interest rate swaps resulted in ineffectiveness. All asset and liability derivatives are included in Prepaid expenses and other assets and Accounts payable and accrued liabilities, respectively, on the Condensed Consolidated Balance Sheets. The following table discloses the fair values of Remy's derivative instruments (in millions):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80" w:type="dxa"/>
            <w:vAlign w:val="bottom"/>
            <w:gridSpan w:val="5"/>
          </w:tcPr>
          <w:p>
            <w:pPr>
              <w:ind w:left="660"/>
              <w:spacing w:after="0"/>
              <w:rPr>
                <w:sz w:val="20"/>
                <w:szCs w:val="20"/>
                <w:color w:val="auto"/>
              </w:rPr>
            </w:pPr>
            <w:r>
              <w:rPr>
                <w:rFonts w:ascii="Arial" w:cs="Arial" w:eastAsia="Arial" w:hAnsi="Arial"/>
                <w:sz w:val="18"/>
                <w:szCs w:val="18"/>
                <w:b w:val="1"/>
                <w:bCs w:val="1"/>
                <w:color w:val="auto"/>
              </w:rPr>
              <w:t>June 30, 2014</w:t>
            </w:r>
          </w:p>
        </w:tc>
        <w:tc>
          <w:tcPr>
            <w:tcW w:w="160" w:type="dxa"/>
            <w:vAlign w:val="bottom"/>
          </w:tcPr>
          <w:p>
            <w:pPr>
              <w:spacing w:after="0"/>
              <w:rPr>
                <w:sz w:val="20"/>
                <w:szCs w:val="20"/>
                <w:color w:val="auto"/>
              </w:rPr>
            </w:pPr>
          </w:p>
        </w:tc>
        <w:tc>
          <w:tcPr>
            <w:tcW w:w="246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December 31, 2013</w:t>
            </w:r>
          </w:p>
        </w:tc>
      </w:tr>
      <w:tr>
        <w:trPr>
          <w:trHeight w:val="27"/>
        </w:trPr>
        <w:tc>
          <w:tcPr>
            <w:tcW w:w="6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8"/>
        </w:trPr>
        <w:tc>
          <w:tcPr>
            <w:tcW w:w="6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1"/>
              </w:rPr>
              <w:t>Asset</w:t>
            </w: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Liability</w:t>
            </w: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Asset</w:t>
            </w:r>
          </w:p>
        </w:tc>
        <w:tc>
          <w:tcPr>
            <w:tcW w:w="160" w:type="dxa"/>
            <w:vAlign w:val="bottom"/>
          </w:tcPr>
          <w:p>
            <w:pPr>
              <w:spacing w:after="0"/>
              <w:rPr>
                <w:sz w:val="18"/>
                <w:szCs w:val="18"/>
                <w:color w:val="auto"/>
              </w:rPr>
            </w:pPr>
          </w:p>
        </w:tc>
        <w:tc>
          <w:tcPr>
            <w:tcW w:w="1100" w:type="dxa"/>
            <w:vAlign w:val="bottom"/>
          </w:tcPr>
          <w:p>
            <w:pPr>
              <w:jc w:val="right"/>
              <w:ind w:right="210"/>
              <w:spacing w:after="0"/>
              <w:rPr>
                <w:sz w:val="20"/>
                <w:szCs w:val="20"/>
                <w:color w:val="auto"/>
              </w:rPr>
            </w:pPr>
            <w:r>
              <w:rPr>
                <w:rFonts w:ascii="Arial" w:cs="Arial" w:eastAsia="Arial" w:hAnsi="Arial"/>
                <w:sz w:val="18"/>
                <w:szCs w:val="18"/>
                <w:b w:val="1"/>
                <w:bCs w:val="1"/>
                <w:color w:val="auto"/>
              </w:rPr>
              <w:t>Liability</w:t>
            </w:r>
          </w:p>
        </w:tc>
      </w:tr>
      <w:tr>
        <w:trPr>
          <w:trHeight w:val="234"/>
        </w:trPr>
        <w:tc>
          <w:tcPr>
            <w:tcW w:w="6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Derivatives</w:t>
            </w:r>
          </w:p>
        </w:tc>
        <w:tc>
          <w:tcPr>
            <w:tcW w:w="16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Derivatives</w:t>
            </w:r>
          </w:p>
        </w:tc>
        <w:tc>
          <w:tcPr>
            <w:tcW w:w="16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Derivatives</w:t>
            </w:r>
          </w:p>
        </w:tc>
        <w:tc>
          <w:tcPr>
            <w:tcW w:w="160" w:type="dxa"/>
            <w:vAlign w:val="bottom"/>
          </w:tcPr>
          <w:p>
            <w:pPr>
              <w:spacing w:after="0"/>
              <w:rPr>
                <w:sz w:val="20"/>
                <w:szCs w:val="20"/>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Derivatives</w:t>
            </w:r>
          </w:p>
        </w:tc>
      </w:tr>
      <w:tr>
        <w:trPr>
          <w:trHeight w:val="27"/>
        </w:trPr>
        <w:tc>
          <w:tcPr>
            <w:tcW w:w="6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designated as hedging instruments: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Commodity contracts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6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Interest rate swap contracts</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 designated as hedging instruments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0"/>
        </w:trPr>
        <w:tc>
          <w:tcPr>
            <w:tcW w:w="6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311"/>
        </w:trPr>
        <w:tc>
          <w:tcPr>
            <w:tcW w:w="6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not designated as hedging instruments: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Interest rate swap contracts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w:t>
            </w:r>
          </w:p>
        </w:tc>
      </w:tr>
    </w:tbl>
    <w:p>
      <w:pPr>
        <w:spacing w:after="0" w:line="229"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Gains and losses on Remy's derivative instruments, which are reclassified from Accumulated other comprehensive earnings (AOCE) into earnings, are included in Cost of auto parts revenue for commodity and foreign currency contracts, and Interest expense for interest rate swap contracts in the accompanying Condensed Consolidated Statement of Earnings.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1" w:right="23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discloses the effect of Remy's derivative instruments for the three months ended June 30, 2014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Amount of gain (loss)</w:t>
            </w:r>
          </w:p>
        </w:tc>
        <w:tc>
          <w:tcPr>
            <w:tcW w:w="180" w:type="dxa"/>
            <w:vAlign w:val="bottom"/>
          </w:tcPr>
          <w:p>
            <w:pPr>
              <w:spacing w:after="0"/>
              <w:rPr>
                <w:sz w:val="14"/>
                <w:szCs w:val="14"/>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Amount of gain (loss)</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5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 of gain (loss)</w:t>
            </w:r>
          </w:p>
        </w:tc>
        <w:tc>
          <w:tcPr>
            <w:tcW w:w="1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recognized in earnings</w:t>
            </w:r>
          </w:p>
        </w:tc>
        <w:tc>
          <w:tcPr>
            <w:tcW w:w="160" w:type="dxa"/>
            <w:vAlign w:val="bottom"/>
          </w:tcPr>
          <w:p>
            <w:pPr>
              <w:spacing w:after="0"/>
              <w:rPr>
                <w:sz w:val="12"/>
                <w:szCs w:val="12"/>
                <w:color w:val="auto"/>
              </w:rPr>
            </w:pPr>
          </w:p>
        </w:tc>
        <w:tc>
          <w:tcPr>
            <w:tcW w:w="120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93"/>
              </w:rPr>
              <w:t>Amount of gain</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17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reclassified from AOCE</w:t>
            </w:r>
          </w:p>
        </w:tc>
        <w:tc>
          <w:tcPr>
            <w:tcW w:w="180" w:type="dxa"/>
            <w:vAlign w:val="bottom"/>
          </w:tcPr>
          <w:p>
            <w:pPr>
              <w:spacing w:after="0"/>
              <w:rPr>
                <w:sz w:val="12"/>
                <w:szCs w:val="12"/>
                <w:color w:val="auto"/>
              </w:rPr>
            </w:pPr>
          </w:p>
        </w:tc>
        <w:tc>
          <w:tcPr>
            <w:tcW w:w="1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(ineffective portion and</w:t>
            </w:r>
          </w:p>
        </w:tc>
        <w:tc>
          <w:tcPr>
            <w:tcW w:w="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5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recognized in AOCE</w:t>
            </w:r>
          </w:p>
        </w:tc>
        <w:tc>
          <w:tcPr>
            <w:tcW w:w="17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into earnings (effective</w:t>
            </w:r>
          </w:p>
        </w:tc>
        <w:tc>
          <w:tcPr>
            <w:tcW w:w="180" w:type="dxa"/>
            <w:vAlign w:val="bottom"/>
          </w:tcPr>
          <w:p>
            <w:pPr>
              <w:spacing w:after="0"/>
              <w:rPr>
                <w:sz w:val="12"/>
                <w:szCs w:val="12"/>
                <w:color w:val="auto"/>
              </w:rPr>
            </w:pPr>
          </w:p>
        </w:tc>
        <w:tc>
          <w:tcPr>
            <w:tcW w:w="1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amount excluded from</w:t>
            </w:r>
          </w:p>
        </w:tc>
        <w:tc>
          <w:tcPr>
            <w:tcW w:w="1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(loss) recognized in</w:t>
            </w:r>
          </w:p>
        </w:tc>
        <w:tc>
          <w:tcPr>
            <w:tcW w:w="0" w:type="dxa"/>
            <w:vAlign w:val="bottom"/>
          </w:tcPr>
          <w:p>
            <w:pPr>
              <w:spacing w:after="0"/>
              <w:rPr>
                <w:sz w:val="1"/>
                <w:szCs w:val="1"/>
                <w:color w:val="auto"/>
              </w:rPr>
            </w:pPr>
          </w:p>
        </w:tc>
      </w:tr>
      <w:tr>
        <w:trPr>
          <w:trHeight w:val="192"/>
        </w:trPr>
        <w:tc>
          <w:tcPr>
            <w:tcW w:w="4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(effective portion)</w:t>
            </w:r>
          </w:p>
        </w:tc>
        <w:tc>
          <w:tcPr>
            <w:tcW w:w="120" w:type="dxa"/>
            <w:vAlign w:val="bottom"/>
          </w:tcPr>
          <w:p>
            <w:pPr>
              <w:spacing w:after="0"/>
              <w:rPr>
                <w:sz w:val="16"/>
                <w:szCs w:val="16"/>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portion)</w:t>
            </w:r>
          </w:p>
        </w:tc>
        <w:tc>
          <w:tcPr>
            <w:tcW w:w="180" w:type="dxa"/>
            <w:vAlign w:val="bottom"/>
          </w:tcPr>
          <w:p>
            <w:pPr>
              <w:spacing w:after="0"/>
              <w:rPr>
                <w:sz w:val="16"/>
                <w:szCs w:val="16"/>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effectiveness testing)</w:t>
            </w:r>
          </w:p>
        </w:tc>
        <w:tc>
          <w:tcPr>
            <w:tcW w:w="160" w:type="dxa"/>
            <w:vAlign w:val="bottom"/>
          </w:tcPr>
          <w:p>
            <w:pPr>
              <w:spacing w:after="0"/>
              <w:rPr>
                <w:sz w:val="16"/>
                <w:szCs w:val="16"/>
                <w:color w:val="auto"/>
              </w:rPr>
            </w:pPr>
          </w:p>
        </w:tc>
        <w:tc>
          <w:tcPr>
            <w:tcW w:w="1200" w:type="dxa"/>
            <w:vAlign w:val="bottom"/>
          </w:tcPr>
          <w:p>
            <w:pPr>
              <w:jc w:val="center"/>
              <w:ind w:right="75"/>
              <w:spacing w:after="0"/>
              <w:rPr>
                <w:sz w:val="20"/>
                <w:szCs w:val="20"/>
                <w:color w:val="auto"/>
              </w:rPr>
            </w:pPr>
            <w:r>
              <w:rPr>
                <w:rFonts w:ascii="Arial" w:cs="Arial" w:eastAsia="Arial" w:hAnsi="Arial"/>
                <w:sz w:val="14"/>
                <w:szCs w:val="14"/>
                <w:b w:val="1"/>
                <w:bCs w:val="1"/>
                <w:color w:val="auto"/>
                <w:w w:val="89"/>
              </w:rPr>
              <w:t>earnings</w:t>
            </w:r>
          </w:p>
        </w:tc>
        <w:tc>
          <w:tcPr>
            <w:tcW w:w="0" w:type="dxa"/>
            <w:vAlign w:val="bottom"/>
          </w:tcPr>
          <w:p>
            <w:pPr>
              <w:spacing w:after="0"/>
              <w:rPr>
                <w:sz w:val="1"/>
                <w:szCs w:val="1"/>
                <w:color w:val="auto"/>
              </w:rPr>
            </w:pPr>
          </w:p>
        </w:tc>
      </w:tr>
      <w:tr>
        <w:trPr>
          <w:trHeight w:val="250"/>
        </w:trPr>
        <w:tc>
          <w:tcPr>
            <w:tcW w:w="4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designated as cash flow hedging instruments: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7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Commodity contracts</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2"/>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Interest rate swap contracts</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86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derivatives designated as hedging instruments</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not designated as hedging instruments: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Interest rate swap contracts</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59"/>
        </w:trPr>
        <w:tc>
          <w:tcPr>
            <w:tcW w:w="10060" w:type="dxa"/>
            <w:vAlign w:val="bottom"/>
            <w:gridSpan w:val="10"/>
          </w:tcPr>
          <w:p>
            <w:pPr>
              <w:ind w:left="340"/>
              <w:spacing w:after="0"/>
              <w:rPr>
                <w:sz w:val="20"/>
                <w:szCs w:val="20"/>
                <w:color w:val="auto"/>
              </w:rPr>
            </w:pPr>
            <w:r>
              <w:rPr>
                <w:rFonts w:ascii="Arial" w:cs="Arial" w:eastAsia="Arial" w:hAnsi="Arial"/>
                <w:sz w:val="18"/>
                <w:szCs w:val="18"/>
                <w:color w:val="auto"/>
                <w:w w:val="95"/>
              </w:rPr>
              <w:t>The following table discloses the effect of Remy's derivative instruments for the three months ended June 30, 2013 (in millions):</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Amount of gain (loss)</w:t>
            </w:r>
          </w:p>
        </w:tc>
        <w:tc>
          <w:tcPr>
            <w:tcW w:w="180" w:type="dxa"/>
            <w:vAlign w:val="bottom"/>
          </w:tcPr>
          <w:p>
            <w:pPr>
              <w:spacing w:after="0"/>
              <w:rPr>
                <w:sz w:val="24"/>
                <w:szCs w:val="24"/>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Amount of gain (loss)</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5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 of gain (loss)</w:t>
            </w:r>
          </w:p>
        </w:tc>
        <w:tc>
          <w:tcPr>
            <w:tcW w:w="1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recognized in earnings</w:t>
            </w:r>
          </w:p>
        </w:tc>
        <w:tc>
          <w:tcPr>
            <w:tcW w:w="160" w:type="dxa"/>
            <w:vAlign w:val="bottom"/>
          </w:tcPr>
          <w:p>
            <w:pPr>
              <w:spacing w:after="0"/>
              <w:rPr>
                <w:sz w:val="12"/>
                <w:szCs w:val="12"/>
                <w:color w:val="auto"/>
              </w:rPr>
            </w:pPr>
          </w:p>
        </w:tc>
        <w:tc>
          <w:tcPr>
            <w:tcW w:w="120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93"/>
              </w:rPr>
              <w:t>Amount of gain</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17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reclassified from AOCE</w:t>
            </w:r>
          </w:p>
        </w:tc>
        <w:tc>
          <w:tcPr>
            <w:tcW w:w="180" w:type="dxa"/>
            <w:vAlign w:val="bottom"/>
          </w:tcPr>
          <w:p>
            <w:pPr>
              <w:spacing w:after="0"/>
              <w:rPr>
                <w:sz w:val="12"/>
                <w:szCs w:val="12"/>
                <w:color w:val="auto"/>
              </w:rPr>
            </w:pPr>
          </w:p>
        </w:tc>
        <w:tc>
          <w:tcPr>
            <w:tcW w:w="1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(ineffective portion and</w:t>
            </w:r>
          </w:p>
        </w:tc>
        <w:tc>
          <w:tcPr>
            <w:tcW w:w="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5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recognized in AOCE</w:t>
            </w:r>
          </w:p>
        </w:tc>
        <w:tc>
          <w:tcPr>
            <w:tcW w:w="17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into earnings (effective</w:t>
            </w:r>
          </w:p>
        </w:tc>
        <w:tc>
          <w:tcPr>
            <w:tcW w:w="180" w:type="dxa"/>
            <w:vAlign w:val="bottom"/>
          </w:tcPr>
          <w:p>
            <w:pPr>
              <w:spacing w:after="0"/>
              <w:rPr>
                <w:sz w:val="12"/>
                <w:szCs w:val="12"/>
                <w:color w:val="auto"/>
              </w:rPr>
            </w:pPr>
          </w:p>
        </w:tc>
        <w:tc>
          <w:tcPr>
            <w:tcW w:w="1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amount excluded from</w:t>
            </w:r>
          </w:p>
        </w:tc>
        <w:tc>
          <w:tcPr>
            <w:tcW w:w="1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(loss) recognized in</w:t>
            </w:r>
          </w:p>
        </w:tc>
        <w:tc>
          <w:tcPr>
            <w:tcW w:w="0" w:type="dxa"/>
            <w:vAlign w:val="bottom"/>
          </w:tcPr>
          <w:p>
            <w:pPr>
              <w:spacing w:after="0"/>
              <w:rPr>
                <w:sz w:val="1"/>
                <w:szCs w:val="1"/>
                <w:color w:val="auto"/>
              </w:rPr>
            </w:pPr>
          </w:p>
        </w:tc>
      </w:tr>
      <w:tr>
        <w:trPr>
          <w:trHeight w:val="192"/>
        </w:trPr>
        <w:tc>
          <w:tcPr>
            <w:tcW w:w="4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(effective portion)</w:t>
            </w:r>
          </w:p>
        </w:tc>
        <w:tc>
          <w:tcPr>
            <w:tcW w:w="120" w:type="dxa"/>
            <w:vAlign w:val="bottom"/>
          </w:tcPr>
          <w:p>
            <w:pPr>
              <w:spacing w:after="0"/>
              <w:rPr>
                <w:sz w:val="16"/>
                <w:szCs w:val="16"/>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portion)</w:t>
            </w:r>
          </w:p>
        </w:tc>
        <w:tc>
          <w:tcPr>
            <w:tcW w:w="180" w:type="dxa"/>
            <w:vAlign w:val="bottom"/>
          </w:tcPr>
          <w:p>
            <w:pPr>
              <w:spacing w:after="0"/>
              <w:rPr>
                <w:sz w:val="16"/>
                <w:szCs w:val="16"/>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effectiveness testing)</w:t>
            </w:r>
          </w:p>
        </w:tc>
        <w:tc>
          <w:tcPr>
            <w:tcW w:w="160" w:type="dxa"/>
            <w:vAlign w:val="bottom"/>
          </w:tcPr>
          <w:p>
            <w:pPr>
              <w:spacing w:after="0"/>
              <w:rPr>
                <w:sz w:val="16"/>
                <w:szCs w:val="16"/>
                <w:color w:val="auto"/>
              </w:rPr>
            </w:pPr>
          </w:p>
        </w:tc>
        <w:tc>
          <w:tcPr>
            <w:tcW w:w="1200" w:type="dxa"/>
            <w:vAlign w:val="bottom"/>
          </w:tcPr>
          <w:p>
            <w:pPr>
              <w:jc w:val="center"/>
              <w:ind w:right="75"/>
              <w:spacing w:after="0"/>
              <w:rPr>
                <w:sz w:val="20"/>
                <w:szCs w:val="20"/>
                <w:color w:val="auto"/>
              </w:rPr>
            </w:pPr>
            <w:r>
              <w:rPr>
                <w:rFonts w:ascii="Arial" w:cs="Arial" w:eastAsia="Arial" w:hAnsi="Arial"/>
                <w:sz w:val="14"/>
                <w:szCs w:val="14"/>
                <w:b w:val="1"/>
                <w:bCs w:val="1"/>
                <w:color w:val="auto"/>
                <w:w w:val="89"/>
              </w:rPr>
              <w:t>earnings</w:t>
            </w:r>
          </w:p>
        </w:tc>
        <w:tc>
          <w:tcPr>
            <w:tcW w:w="0" w:type="dxa"/>
            <w:vAlign w:val="bottom"/>
          </w:tcPr>
          <w:p>
            <w:pPr>
              <w:spacing w:after="0"/>
              <w:rPr>
                <w:sz w:val="1"/>
                <w:szCs w:val="1"/>
                <w:color w:val="auto"/>
              </w:rPr>
            </w:pPr>
          </w:p>
        </w:tc>
      </w:tr>
      <w:tr>
        <w:trPr>
          <w:trHeight w:val="250"/>
        </w:trPr>
        <w:tc>
          <w:tcPr>
            <w:tcW w:w="4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designated as cash flow hedging instruments: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7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Commodity contracts</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2"/>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Interest rate swap contracts</w:t>
            </w:r>
          </w:p>
        </w:tc>
        <w:tc>
          <w:tcPr>
            <w:tcW w:w="1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86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 designated as hedging instruments</w:t>
            </w: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gridSpan w:val="2"/>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not designated as hedging instruments: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Interest rate swap contracts</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59"/>
        </w:trPr>
        <w:tc>
          <w:tcPr>
            <w:tcW w:w="10060" w:type="dxa"/>
            <w:vAlign w:val="bottom"/>
            <w:gridSpan w:val="10"/>
          </w:tcPr>
          <w:p>
            <w:pPr>
              <w:ind w:left="340"/>
              <w:spacing w:after="0"/>
              <w:rPr>
                <w:sz w:val="20"/>
                <w:szCs w:val="20"/>
                <w:color w:val="auto"/>
              </w:rPr>
            </w:pPr>
            <w:r>
              <w:rPr>
                <w:rFonts w:ascii="Arial" w:cs="Arial" w:eastAsia="Arial" w:hAnsi="Arial"/>
                <w:sz w:val="18"/>
                <w:szCs w:val="18"/>
                <w:color w:val="auto"/>
                <w:w w:val="97"/>
              </w:rPr>
              <w:t>The following table discloses the effect of Remy's derivative instruments for the six months ended June 30, 2014 (in millions):</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Amount of gain (loss)</w:t>
            </w:r>
          </w:p>
        </w:tc>
        <w:tc>
          <w:tcPr>
            <w:tcW w:w="180" w:type="dxa"/>
            <w:vAlign w:val="bottom"/>
          </w:tcPr>
          <w:p>
            <w:pPr>
              <w:spacing w:after="0"/>
              <w:rPr>
                <w:sz w:val="24"/>
                <w:szCs w:val="24"/>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Amount of gain (loss)</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5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 of gain (loss)</w:t>
            </w:r>
          </w:p>
        </w:tc>
        <w:tc>
          <w:tcPr>
            <w:tcW w:w="1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recognized in earnings</w:t>
            </w:r>
          </w:p>
        </w:tc>
        <w:tc>
          <w:tcPr>
            <w:tcW w:w="160" w:type="dxa"/>
            <w:vAlign w:val="bottom"/>
          </w:tcPr>
          <w:p>
            <w:pPr>
              <w:spacing w:after="0"/>
              <w:rPr>
                <w:sz w:val="12"/>
                <w:szCs w:val="12"/>
                <w:color w:val="auto"/>
              </w:rPr>
            </w:pPr>
          </w:p>
        </w:tc>
        <w:tc>
          <w:tcPr>
            <w:tcW w:w="120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93"/>
              </w:rPr>
              <w:t>Amount of gain</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17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reclassified from AOCE</w:t>
            </w:r>
          </w:p>
        </w:tc>
        <w:tc>
          <w:tcPr>
            <w:tcW w:w="180" w:type="dxa"/>
            <w:vAlign w:val="bottom"/>
          </w:tcPr>
          <w:p>
            <w:pPr>
              <w:spacing w:after="0"/>
              <w:rPr>
                <w:sz w:val="12"/>
                <w:szCs w:val="12"/>
                <w:color w:val="auto"/>
              </w:rPr>
            </w:pPr>
          </w:p>
        </w:tc>
        <w:tc>
          <w:tcPr>
            <w:tcW w:w="1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(ineffective portion and</w:t>
            </w:r>
          </w:p>
        </w:tc>
        <w:tc>
          <w:tcPr>
            <w:tcW w:w="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5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recognized in AOCE</w:t>
            </w:r>
          </w:p>
        </w:tc>
        <w:tc>
          <w:tcPr>
            <w:tcW w:w="17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into earnings (effective</w:t>
            </w:r>
          </w:p>
        </w:tc>
        <w:tc>
          <w:tcPr>
            <w:tcW w:w="180" w:type="dxa"/>
            <w:vAlign w:val="bottom"/>
          </w:tcPr>
          <w:p>
            <w:pPr>
              <w:spacing w:after="0"/>
              <w:rPr>
                <w:sz w:val="12"/>
                <w:szCs w:val="12"/>
                <w:color w:val="auto"/>
              </w:rPr>
            </w:pPr>
          </w:p>
        </w:tc>
        <w:tc>
          <w:tcPr>
            <w:tcW w:w="1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amount excluded from</w:t>
            </w:r>
          </w:p>
        </w:tc>
        <w:tc>
          <w:tcPr>
            <w:tcW w:w="1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(loss) recognized in</w:t>
            </w:r>
          </w:p>
        </w:tc>
        <w:tc>
          <w:tcPr>
            <w:tcW w:w="0" w:type="dxa"/>
            <w:vAlign w:val="bottom"/>
          </w:tcPr>
          <w:p>
            <w:pPr>
              <w:spacing w:after="0"/>
              <w:rPr>
                <w:sz w:val="1"/>
                <w:szCs w:val="1"/>
                <w:color w:val="auto"/>
              </w:rPr>
            </w:pPr>
          </w:p>
        </w:tc>
      </w:tr>
      <w:tr>
        <w:trPr>
          <w:trHeight w:val="192"/>
        </w:trPr>
        <w:tc>
          <w:tcPr>
            <w:tcW w:w="4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(effective portion)</w:t>
            </w:r>
          </w:p>
        </w:tc>
        <w:tc>
          <w:tcPr>
            <w:tcW w:w="120" w:type="dxa"/>
            <w:vAlign w:val="bottom"/>
          </w:tcPr>
          <w:p>
            <w:pPr>
              <w:spacing w:after="0"/>
              <w:rPr>
                <w:sz w:val="16"/>
                <w:szCs w:val="16"/>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portion)</w:t>
            </w:r>
          </w:p>
        </w:tc>
        <w:tc>
          <w:tcPr>
            <w:tcW w:w="180" w:type="dxa"/>
            <w:vAlign w:val="bottom"/>
          </w:tcPr>
          <w:p>
            <w:pPr>
              <w:spacing w:after="0"/>
              <w:rPr>
                <w:sz w:val="16"/>
                <w:szCs w:val="16"/>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effectiveness testing)</w:t>
            </w:r>
          </w:p>
        </w:tc>
        <w:tc>
          <w:tcPr>
            <w:tcW w:w="160" w:type="dxa"/>
            <w:vAlign w:val="bottom"/>
          </w:tcPr>
          <w:p>
            <w:pPr>
              <w:spacing w:after="0"/>
              <w:rPr>
                <w:sz w:val="16"/>
                <w:szCs w:val="16"/>
                <w:color w:val="auto"/>
              </w:rPr>
            </w:pPr>
          </w:p>
        </w:tc>
        <w:tc>
          <w:tcPr>
            <w:tcW w:w="1200" w:type="dxa"/>
            <w:vAlign w:val="bottom"/>
          </w:tcPr>
          <w:p>
            <w:pPr>
              <w:jc w:val="center"/>
              <w:ind w:right="75"/>
              <w:spacing w:after="0"/>
              <w:rPr>
                <w:sz w:val="20"/>
                <w:szCs w:val="20"/>
                <w:color w:val="auto"/>
              </w:rPr>
            </w:pPr>
            <w:r>
              <w:rPr>
                <w:rFonts w:ascii="Arial" w:cs="Arial" w:eastAsia="Arial" w:hAnsi="Arial"/>
                <w:sz w:val="14"/>
                <w:szCs w:val="14"/>
                <w:b w:val="1"/>
                <w:bCs w:val="1"/>
                <w:color w:val="auto"/>
                <w:w w:val="89"/>
              </w:rPr>
              <w:t>earnings</w:t>
            </w:r>
          </w:p>
        </w:tc>
        <w:tc>
          <w:tcPr>
            <w:tcW w:w="0" w:type="dxa"/>
            <w:vAlign w:val="bottom"/>
          </w:tcPr>
          <w:p>
            <w:pPr>
              <w:spacing w:after="0"/>
              <w:rPr>
                <w:sz w:val="1"/>
                <w:szCs w:val="1"/>
                <w:color w:val="auto"/>
              </w:rPr>
            </w:pPr>
          </w:p>
        </w:tc>
      </w:tr>
      <w:tr>
        <w:trPr>
          <w:trHeight w:val="250"/>
        </w:trPr>
        <w:tc>
          <w:tcPr>
            <w:tcW w:w="4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designated as cash flow hedging instruments: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7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Commodity contracts</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2"/>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Interest rate swap contracts</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86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derivatives designated as hedging instruments</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not designated as hedging instruments: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Interest rate swap contracts</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1" w:right="2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discloses the effect of Remy's derivative instruments for the six months ended June 30, 2013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0"/>
              </w:rPr>
              <w:t>Amount of gain (loss)</w:t>
            </w:r>
          </w:p>
        </w:tc>
        <w:tc>
          <w:tcPr>
            <w:tcW w:w="220" w:type="dxa"/>
            <w:vAlign w:val="bottom"/>
          </w:tcPr>
          <w:p>
            <w:pPr>
              <w:spacing w:after="0"/>
              <w:rPr>
                <w:sz w:val="14"/>
                <w:szCs w:val="14"/>
                <w:color w:val="auto"/>
              </w:rPr>
            </w:pPr>
          </w:p>
        </w:tc>
        <w:tc>
          <w:tcPr>
            <w:tcW w:w="17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1"/>
              </w:rPr>
              <w:t>Amount of gain (loss)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5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 of gain (loss)</w:t>
            </w:r>
          </w:p>
        </w:tc>
        <w:tc>
          <w:tcPr>
            <w:tcW w:w="17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recognized in earnings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vMerge w:val="restart"/>
          </w:tcPr>
          <w:p>
            <w:pPr>
              <w:jc w:val="center"/>
              <w:ind w:right="72"/>
              <w:spacing w:after="0"/>
              <w:rPr>
                <w:sz w:val="20"/>
                <w:szCs w:val="20"/>
                <w:color w:val="auto"/>
              </w:rPr>
            </w:pPr>
            <w:r>
              <w:rPr>
                <w:rFonts w:ascii="Arial" w:cs="Arial" w:eastAsia="Arial" w:hAnsi="Arial"/>
                <w:sz w:val="14"/>
                <w:szCs w:val="14"/>
                <w:b w:val="1"/>
                <w:bCs w:val="1"/>
                <w:color w:val="auto"/>
                <w:w w:val="93"/>
              </w:rPr>
              <w:t>Amount of gain</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17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reclassified from AOCE</w:t>
            </w:r>
          </w:p>
        </w:tc>
        <w:tc>
          <w:tcPr>
            <w:tcW w:w="220" w:type="dxa"/>
            <w:vAlign w:val="bottom"/>
          </w:tcPr>
          <w:p>
            <w:pPr>
              <w:spacing w:after="0"/>
              <w:rPr>
                <w:sz w:val="12"/>
                <w:szCs w:val="12"/>
                <w:color w:val="auto"/>
              </w:rPr>
            </w:pPr>
          </w:p>
        </w:tc>
        <w:tc>
          <w:tcPr>
            <w:tcW w:w="170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(ineffective portion and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5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recognized in AOCE</w:t>
            </w:r>
          </w:p>
        </w:tc>
        <w:tc>
          <w:tcPr>
            <w:tcW w:w="17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into earnings (effective</w:t>
            </w:r>
          </w:p>
        </w:tc>
        <w:tc>
          <w:tcPr>
            <w:tcW w:w="220" w:type="dxa"/>
            <w:vAlign w:val="bottom"/>
          </w:tcPr>
          <w:p>
            <w:pPr>
              <w:spacing w:after="0"/>
              <w:rPr>
                <w:sz w:val="12"/>
                <w:szCs w:val="12"/>
                <w:color w:val="auto"/>
              </w:rPr>
            </w:pPr>
          </w:p>
        </w:tc>
        <w:tc>
          <w:tcPr>
            <w:tcW w:w="170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amount excluded from</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(loss) recognized in</w:t>
            </w:r>
          </w:p>
        </w:tc>
        <w:tc>
          <w:tcPr>
            <w:tcW w:w="0" w:type="dxa"/>
            <w:vAlign w:val="bottom"/>
          </w:tcPr>
          <w:p>
            <w:pPr>
              <w:spacing w:after="0"/>
              <w:rPr>
                <w:sz w:val="1"/>
                <w:szCs w:val="1"/>
                <w:color w:val="auto"/>
              </w:rPr>
            </w:pPr>
          </w:p>
        </w:tc>
      </w:tr>
      <w:tr>
        <w:trPr>
          <w:trHeight w:val="192"/>
        </w:trPr>
        <w:tc>
          <w:tcPr>
            <w:tcW w:w="4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(effective portion)</w:t>
            </w:r>
          </w:p>
        </w:tc>
        <w:tc>
          <w:tcPr>
            <w:tcW w:w="1260" w:type="dxa"/>
            <w:vAlign w:val="bottom"/>
          </w:tcPr>
          <w:p>
            <w:pPr>
              <w:jc w:val="center"/>
              <w:ind w:left="240"/>
              <w:spacing w:after="0"/>
              <w:rPr>
                <w:sz w:val="20"/>
                <w:szCs w:val="20"/>
                <w:color w:val="auto"/>
              </w:rPr>
            </w:pPr>
            <w:r>
              <w:rPr>
                <w:rFonts w:ascii="Arial" w:cs="Arial" w:eastAsia="Arial" w:hAnsi="Arial"/>
                <w:sz w:val="14"/>
                <w:szCs w:val="14"/>
                <w:b w:val="1"/>
                <w:bCs w:val="1"/>
                <w:color w:val="auto"/>
                <w:w w:val="94"/>
              </w:rPr>
              <w:t>portion)</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7"/>
              </w:rPr>
              <w:t>effectiveness testing)</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center"/>
              <w:ind w:right="72"/>
              <w:spacing w:after="0"/>
              <w:rPr>
                <w:sz w:val="20"/>
                <w:szCs w:val="20"/>
                <w:color w:val="auto"/>
              </w:rPr>
            </w:pPr>
            <w:r>
              <w:rPr>
                <w:rFonts w:ascii="Arial" w:cs="Arial" w:eastAsia="Arial" w:hAnsi="Arial"/>
                <w:sz w:val="14"/>
                <w:szCs w:val="14"/>
                <w:b w:val="1"/>
                <w:bCs w:val="1"/>
                <w:color w:val="auto"/>
                <w:w w:val="89"/>
              </w:rPr>
              <w:t>earnings</w:t>
            </w:r>
          </w:p>
        </w:tc>
        <w:tc>
          <w:tcPr>
            <w:tcW w:w="0" w:type="dxa"/>
            <w:vAlign w:val="bottom"/>
          </w:tcPr>
          <w:p>
            <w:pPr>
              <w:spacing w:after="0"/>
              <w:rPr>
                <w:sz w:val="1"/>
                <w:szCs w:val="1"/>
                <w:color w:val="auto"/>
              </w:rPr>
            </w:pPr>
          </w:p>
        </w:tc>
      </w:tr>
      <w:tr>
        <w:trPr>
          <w:trHeight w:val="250"/>
        </w:trPr>
        <w:tc>
          <w:tcPr>
            <w:tcW w:w="4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designated as cash flow hedging instruments: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Commodity contracts</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260" w:type="dxa"/>
            <w:vAlign w:val="bottom"/>
          </w:tcPr>
          <w:p>
            <w:pPr>
              <w:jc w:val="right"/>
              <w:ind w:right="1060"/>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Interest rate swap contracts</w:t>
            </w:r>
          </w:p>
        </w:tc>
        <w:tc>
          <w:tcPr>
            <w:tcW w:w="1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 designated as hedging instruments</w:t>
            </w: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06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not designated as hedging instruments: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Interest rate swap contracts</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6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51"/>
        </w:trPr>
        <w:tc>
          <w:tcPr>
            <w:tcW w:w="4820" w:type="dxa"/>
            <w:vAlign w:val="bottom"/>
          </w:tcPr>
          <w:p>
            <w:pPr>
              <w:spacing w:after="0"/>
              <w:rPr>
                <w:sz w:val="20"/>
                <w:szCs w:val="20"/>
                <w:color w:val="auto"/>
              </w:rPr>
            </w:pPr>
            <w:r>
              <w:rPr>
                <w:rFonts w:ascii="Arial" w:cs="Arial" w:eastAsia="Arial" w:hAnsi="Arial"/>
                <w:sz w:val="18"/>
                <w:szCs w:val="18"/>
                <w:b w:val="1"/>
                <w:bCs w:val="1"/>
                <w:color w:val="auto"/>
              </w:rPr>
              <w:t>Note F —Notes Payable</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20" w:type="dxa"/>
            <w:vAlign w:val="bottom"/>
          </w:tcPr>
          <w:p>
            <w:pPr>
              <w:ind w:left="280"/>
              <w:spacing w:after="0"/>
              <w:rPr>
                <w:sz w:val="20"/>
                <w:szCs w:val="20"/>
                <w:color w:val="auto"/>
              </w:rPr>
            </w:pPr>
            <w:r>
              <w:rPr>
                <w:rFonts w:ascii="Arial" w:cs="Arial" w:eastAsia="Arial" w:hAnsi="Arial"/>
                <w:sz w:val="18"/>
                <w:szCs w:val="18"/>
                <w:color w:val="auto"/>
              </w:rPr>
              <w:t>Notes payable consists of the following:</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4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2"/>
          </w:tcPr>
          <w:p>
            <w:pPr>
              <w:jc w:val="right"/>
              <w:ind w:right="152"/>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4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472"/>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6"/>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0" w:type="dxa"/>
            <w:vAlign w:val="bottom"/>
            <w:gridSpan w:val="6"/>
          </w:tcPr>
          <w:p>
            <w:pPr>
              <w:jc w:val="right"/>
              <w:ind w:right="952"/>
              <w:spacing w:after="0"/>
              <w:rPr>
                <w:sz w:val="20"/>
                <w:szCs w:val="20"/>
                <w:color w:val="auto"/>
              </w:rPr>
            </w:pPr>
            <w:r>
              <w:rPr>
                <w:rFonts w:ascii="Arial" w:cs="Arial" w:eastAsia="Arial" w:hAnsi="Arial"/>
                <w:sz w:val="18"/>
                <w:szCs w:val="18"/>
                <w:b w:val="1"/>
                <w:bCs w:val="1"/>
                <w:color w:val="auto"/>
              </w:rPr>
              <w:t>(In millions)</w:t>
            </w:r>
          </w:p>
        </w:tc>
        <w:tc>
          <w:tcPr>
            <w:tcW w:w="0" w:type="dxa"/>
            <w:vAlign w:val="bottom"/>
          </w:tcPr>
          <w:p>
            <w:pPr>
              <w:spacing w:after="0"/>
              <w:rPr>
                <w:sz w:val="1"/>
                <w:szCs w:val="1"/>
                <w:color w:val="auto"/>
              </w:rPr>
            </w:pPr>
          </w:p>
        </w:tc>
      </w:tr>
      <w:tr>
        <w:trPr>
          <w:trHeight w:val="270"/>
        </w:trPr>
        <w:tc>
          <w:tcPr>
            <w:tcW w:w="7580" w:type="dxa"/>
            <w:vAlign w:val="bottom"/>
            <w:gridSpan w:val="5"/>
          </w:tcPr>
          <w:p>
            <w:pPr>
              <w:ind w:left="40"/>
              <w:spacing w:after="0"/>
              <w:rPr>
                <w:sz w:val="20"/>
                <w:szCs w:val="20"/>
                <w:color w:val="auto"/>
              </w:rPr>
            </w:pPr>
            <w:r>
              <w:rPr>
                <w:rFonts w:ascii="Arial" w:cs="Arial" w:eastAsia="Arial" w:hAnsi="Arial"/>
                <w:sz w:val="18"/>
                <w:szCs w:val="18"/>
                <w:color w:val="auto"/>
                <w:w w:val="97"/>
              </w:rPr>
              <w:t>Unsecured notes, net of discount, interest payable semi-annually at 5.50%, due September 2022</w:t>
            </w: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3"/>
                <w:szCs w:val="23"/>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3"/>
                <w:szCs w:val="23"/>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7"/>
        </w:trPr>
        <w:tc>
          <w:tcPr>
            <w:tcW w:w="7580" w:type="dxa"/>
            <w:vAlign w:val="bottom"/>
            <w:gridSpan w:val="5"/>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w w:val="90"/>
              </w:rPr>
              <w:t>Unsecured convertible notes, net of discount, interest payable semi-annually at 4.25%, due August 2018</w:t>
            </w: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43"/>
        </w:trPr>
        <w:tc>
          <w:tcPr>
            <w:tcW w:w="7580" w:type="dxa"/>
            <w:vAlign w:val="bottom"/>
            <w:gridSpan w:val="5"/>
          </w:tcPr>
          <w:p>
            <w:pPr>
              <w:ind w:left="40"/>
              <w:spacing w:after="0"/>
              <w:rPr>
                <w:sz w:val="20"/>
                <w:szCs w:val="20"/>
                <w:color w:val="auto"/>
              </w:rPr>
            </w:pPr>
            <w:r>
              <w:rPr>
                <w:rFonts w:ascii="Arial" w:cs="Arial" w:eastAsia="Arial" w:hAnsi="Arial"/>
                <w:sz w:val="18"/>
                <w:szCs w:val="18"/>
                <w:color w:val="auto"/>
              </w:rPr>
              <w:t>Unsecured notes, net of discount, interest payable semi-annually at 6.60%, due May 2017</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
        </w:trPr>
        <w:tc>
          <w:tcPr>
            <w:tcW w:w="8240" w:type="dxa"/>
            <w:vAlign w:val="bottom"/>
            <w:gridSpan w:val="8"/>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240" w:type="dxa"/>
            <w:vAlign w:val="bottom"/>
            <w:gridSpan w:val="8"/>
            <w:shd w:val="clear" w:color="auto" w:fill="CCEEFF"/>
          </w:tcPr>
          <w:p>
            <w:pPr>
              <w:ind w:left="40"/>
              <w:spacing w:after="0"/>
              <w:rPr>
                <w:sz w:val="20"/>
                <w:szCs w:val="20"/>
                <w:color w:val="auto"/>
              </w:rPr>
            </w:pPr>
            <w:r>
              <w:rPr>
                <w:rFonts w:ascii="Arial" w:cs="Arial" w:eastAsia="Arial" w:hAnsi="Arial"/>
                <w:sz w:val="18"/>
                <w:szCs w:val="18"/>
                <w:color w:val="auto"/>
                <w:w w:val="93"/>
              </w:rPr>
              <w:t>Unsecured Black Knight Infoserv notes, including premium, interest payable semi-annually at 5.75%, due April</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40" w:type="dxa"/>
            <w:vAlign w:val="bottom"/>
            <w:gridSpan w:val="8"/>
          </w:tcPr>
          <w:p>
            <w:pPr>
              <w:ind w:left="40"/>
              <w:spacing w:after="0"/>
              <w:rPr>
                <w:sz w:val="20"/>
                <w:szCs w:val="20"/>
                <w:color w:val="auto"/>
              </w:rPr>
            </w:pPr>
            <w:r>
              <w:rPr>
                <w:rFonts w:ascii="Arial" w:cs="Arial" w:eastAsia="Arial" w:hAnsi="Arial"/>
                <w:sz w:val="18"/>
                <w:szCs w:val="18"/>
                <w:color w:val="auto"/>
                <w:w w:val="96"/>
              </w:rPr>
              <w:t>Revolving Credit Facility, unsecured, unused portion of $500 at June 30, 2014, due July 2018 with interest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tcPr>
          <w:p>
            <w:pPr>
              <w:ind w:left="40"/>
              <w:spacing w:after="0"/>
              <w:rPr>
                <w:sz w:val="20"/>
                <w:szCs w:val="20"/>
                <w:color w:val="auto"/>
              </w:rPr>
            </w:pPr>
            <w:r>
              <w:rPr>
                <w:rFonts w:ascii="Arial" w:cs="Arial" w:eastAsia="Arial" w:hAnsi="Arial"/>
                <w:sz w:val="18"/>
                <w:szCs w:val="18"/>
                <w:color w:val="auto"/>
                <w:w w:val="97"/>
              </w:rPr>
              <w:t>payable monthly at LIBOR + 1.45% (1.60% at June 30, 2014)</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20" w:type="dxa"/>
            <w:vAlign w:val="bottom"/>
            <w:gridSpan w:val="7"/>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color w:val="auto"/>
                <w:w w:val="94"/>
              </w:rPr>
              <w:t>FNF Term Loan, interest payable monthly at LIBOR + 1.75% (1.90% at June 30, 2014), due January 2019</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40" w:type="dxa"/>
            <w:vAlign w:val="bottom"/>
            <w:gridSpan w:val="8"/>
          </w:tcPr>
          <w:p>
            <w:pPr>
              <w:ind w:left="40"/>
              <w:spacing w:after="0"/>
              <w:rPr>
                <w:sz w:val="20"/>
                <w:szCs w:val="20"/>
                <w:color w:val="auto"/>
              </w:rPr>
            </w:pPr>
            <w:r>
              <w:rPr>
                <w:rFonts w:ascii="Arial" w:cs="Arial" w:eastAsia="Arial" w:hAnsi="Arial"/>
                <w:sz w:val="18"/>
                <w:szCs w:val="18"/>
                <w:color w:val="auto"/>
                <w:w w:val="97"/>
              </w:rPr>
              <w:t>Remy Amended and Restated Term B Loan, interest payable quarterly at LIBOR (floor of 1.25%) + 3.00%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30"/>
        </w:trPr>
        <w:tc>
          <w:tcPr>
            <w:tcW w:w="4820" w:type="dxa"/>
            <w:vAlign w:val="bottom"/>
          </w:tcPr>
          <w:p>
            <w:pPr>
              <w:ind w:left="40"/>
              <w:spacing w:after="0"/>
              <w:rPr>
                <w:sz w:val="20"/>
                <w:szCs w:val="20"/>
                <w:color w:val="auto"/>
              </w:rPr>
            </w:pPr>
            <w:r>
              <w:rPr>
                <w:rFonts w:ascii="Arial" w:cs="Arial" w:eastAsia="Arial" w:hAnsi="Arial"/>
                <w:sz w:val="18"/>
                <w:szCs w:val="18"/>
                <w:color w:val="auto"/>
              </w:rPr>
              <w:t>(4.25% at June 30, 2014), due March 2020</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240" w:type="dxa"/>
            <w:vAlign w:val="bottom"/>
            <w:gridSpan w:val="8"/>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240" w:type="dxa"/>
            <w:vAlign w:val="bottom"/>
            <w:gridSpan w:val="8"/>
            <w:shd w:val="clear" w:color="auto" w:fill="CCEEFF"/>
          </w:tcPr>
          <w:p>
            <w:pPr>
              <w:ind w:left="40"/>
              <w:spacing w:after="0"/>
              <w:rPr>
                <w:sz w:val="20"/>
                <w:szCs w:val="20"/>
                <w:color w:val="auto"/>
              </w:rPr>
            </w:pPr>
            <w:r>
              <w:rPr>
                <w:rFonts w:ascii="Arial" w:cs="Arial" w:eastAsia="Arial" w:hAnsi="Arial"/>
                <w:sz w:val="18"/>
                <w:szCs w:val="18"/>
                <w:color w:val="auto"/>
                <w:w w:val="96"/>
              </w:rPr>
              <w:t>Remy Revolving Credit Facility, unused portion of $80 at June 30, 2014, due September 2018 with interest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3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w w:val="89"/>
              </w:rPr>
              <w:t>payable monthly at base rate 3.25% + base rate margin .50% (3.75% at June 30, 2014)</w:t>
            </w:r>
          </w:p>
        </w:tc>
        <w:tc>
          <w:tcPr>
            <w:tcW w:w="12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020" w:type="dxa"/>
            <w:vAlign w:val="bottom"/>
            <w:gridSpan w:val="7"/>
          </w:tcPr>
          <w:p>
            <w:pPr>
              <w:ind w:left="40"/>
              <w:spacing w:after="0"/>
              <w:rPr>
                <w:sz w:val="20"/>
                <w:szCs w:val="20"/>
                <w:color w:val="auto"/>
              </w:rPr>
            </w:pPr>
            <w:r>
              <w:rPr>
                <w:rFonts w:ascii="Arial" w:cs="Arial" w:eastAsia="Arial" w:hAnsi="Arial"/>
                <w:sz w:val="18"/>
                <w:szCs w:val="18"/>
                <w:color w:val="auto"/>
                <w:w w:val="96"/>
              </w:rPr>
              <w:t>ABRH Term Loan, interest payable monthly at LIBOR + 3.50% (3.65% at June 30, 2014), due May 2017</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8240" w:type="dxa"/>
            <w:vAlign w:val="bottom"/>
            <w:gridSpan w:val="8"/>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240" w:type="dxa"/>
            <w:vAlign w:val="bottom"/>
            <w:gridSpan w:val="8"/>
            <w:shd w:val="clear" w:color="auto" w:fill="CCEEFF"/>
          </w:tcPr>
          <w:p>
            <w:pPr>
              <w:ind w:left="40"/>
              <w:spacing w:after="0"/>
              <w:rPr>
                <w:sz w:val="20"/>
                <w:szCs w:val="20"/>
                <w:color w:val="auto"/>
              </w:rPr>
            </w:pPr>
            <w:r>
              <w:rPr>
                <w:rFonts w:ascii="Arial" w:cs="Arial" w:eastAsia="Arial" w:hAnsi="Arial"/>
                <w:sz w:val="18"/>
                <w:szCs w:val="18"/>
                <w:color w:val="auto"/>
                <w:w w:val="94"/>
              </w:rPr>
              <w:t>ABRH Revolving Credit Facility, unused portion of $62 at June 30, 2014, due May 2017 with interest payable</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3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w w:val="98"/>
              </w:rPr>
              <w:t>monthly at base rate 3.25% + base rate margin 2.50% (5.75% at June 30, 2014)</w:t>
            </w:r>
          </w:p>
        </w:tc>
        <w:tc>
          <w:tcPr>
            <w:tcW w:w="12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1,323</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At June 30, 2014, the estimated fair value of our long-term debt was approximately $3,650 million or $307 million higher than its carrying value. The fair value of our long-term debt at December 31, 2013 was approximately $1,555 million or $232 million higher than its carrying value. The fair value of our unsecured notes payable was $1,907 million as of June 30, 2014. The fair values of our unsecured notes payable are based on established market prices for the securities on June 30, 2014 and are considered Level 2 financial liabilities. The fair value of our revolving credit facility was $307 million at June 30, 2014. The fair value of our revolving credit facility is based on discounted cash flows and is considered a Level 2 financial liability. The fair value of our FNF Term Loan was $1,100 million at June 30, 2014. The fair value of our FNF Term Loan is based on established market prices for the security on June 30, 2014 and is considered a Level 2 financial liability. The fair value of our Remy Term</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Loan was $266 million based on established market prices for the security on June 30, 2014 and is considered a Level 2 financial liability. The fair value of our Restaurant Group Term Loan was $51 million based on established market prices for the securities on June 30, 2014 and is considered a Level 2 financial liability.</w:t>
      </w:r>
    </w:p>
    <w:p>
      <w:pPr>
        <w:spacing w:after="0" w:line="181"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6"/>
          <w:szCs w:val="16"/>
          <w:color w:val="auto"/>
        </w:rPr>
        <w:t>On January 2, 2014, as a result of the LPS acquisition, FNF acquired $600 million aggregate principal amount of 5.75% Senior Notes due 2023, initially issued by Black Knight Infoserv, LLC (formerly LPS, "Black Knight Infoserv") on October 12, 2012 (the "Black Knight Senior Notes"). The Black Knight Senior Notes were registered under the Securities Act of 1933, as amended, carry an interest rate of 5.75% and will mature on April 15, 2023. Interest is payable semi-annually on the 15th day of April and October. The Black Knight Senior Notes are senior unsecured obligations and were guaranteed by us as of January 2, 2014. At any time and from time to time, prior to October 15, 2015, Black Knight Infoserv may redeem up to a maximum of 35% of the original aggregate principal amount of the Black Knight Senior Notes with the proceeds of one or more equity offerings, at a redemption price equal to 105.75% of the principal amount thereof, plus accrued and unpaid interest thereon, if any, to the redemption date (subject to the right of holders of record on the relevant record date to receive interest due on the relevant interest payment date). Prior to October 15, 2017, Black Knight Infoserv may redeem some or all of the Black Knight Senior Notes by paying a “make-whole” premium based on U.S. Treasury rates. On or after October 15, 2017, Black Knight Infoserv may redeem some or all of the Black Knight Senior Notes at the redemption prices described in the Black Knight Senior Notes indenture, plus accrued and unpaid interest. In addition, if a change of control occurs, Black Knight Infoserv is required to offer to purchase all outstanding Black Knight Senior Notes at a price equal to 101% of the principal amount plus accrued and unpaid interest, if any, to the date of purchase (subject to the right of holders of record on the relevant record date to receive interest due on the relevant interest payment date).The Black Knight Senior Notes contain covenants that, among other things, limit Black Knight Infoserv's ability and the ability of certain of its subsidiaries (a) to incur or guarantee additional indebtedness or issue preferred stock, (b) to make certain restricted payments, including dividends or distributions on equity interests held by persons other than Black Knight Infoserv or certain subsidiaries, in excess of an amount generally equal to 50% of consolidated net income generated since July 1, 2008, (c) to create or incur certain liens, (d) to engage in sale and leaseback transactions, (e) to create restrictions that would prevent or limit the ability of certain subsidiaries to (i) pay dividends or other distributions to Black Knight Infoserv or certain other subsidiaries, (ii) repay any debt or make any loans or advances to Black Knight Infoserv or certain other subsidiaries or (iii) transfer any property or assets to Black Knight Infoserv or certain other subsidiaries, (f) to sell or dispose of assets of Black Knight Infoserv or any restricted subsidiary or enter into merger or consolidation transactions and (g) to engage in certain transactions with affiliates. As a result of our guarantee of the Black Knight Senior Notes on January 2, 2014, the notes became rated investment grade. The indenture provides that certain covenants are suspended while the Black Knight Senior Notes are rated investment grade. Currently covenants (a), (b), (e), certain provisions of (f) and (g) outlined above are suspended. These covenants will continue to be suspended as long as the notes are rated investment grade, as defined in the indenture. These covenants are subject to a number of exceptions, limitations and qualifications in the Black Knight Senior Notes indenture. The Black Knight Senior Notes contain customary events of default, including failure of Black Knight Infoserv (i) to pay principal and interest when due and payable and breach of certain other covenants and (ii) to make an offer to purchase and pay for the Black Knight Senior Notes tendered as required by the Black Knight Senior Notes. Events of default also include defaults with respect to any other debt of Black Knight Infoserv or debt of certain subsidiaries having an outstanding principal amount of $80 million or more in the aggregate for all such debt, arising from (i) failure to make a principal payment when due and such defaulted payment is not made, waived or extended within the applicable grace period or (ii) the occurrence of an event which results in such debt being due and payable prior to its scheduled maturity. Upon the occurrence of an event of default (other than a bankruptcy default with respect to Black Knight Infoserv or certain subsidiaries), the trustee or holders of at least 25% of the Black Knight Senior Notes then outstanding may accelerate the Black Knight Senior Notes by giving us appropriate notice. If, however, a bankruptcy default occurs with respect to Black Knight Infoserv or certain subsidiaries, then the principal of and accrued interest on the Black Knight Senior Notes then outstanding will accelerate immediately without any declaration or other act on the part of the trustee or any holder. Subsequent to year end, on January 16, 2014, we issued an offer to purchase the Black Knight Senior Notes pursuant to the change of control provisions above at a purchase price of 101% of the principal amount plus accrued interest to the purchase date. The offer expired on February 18, 2014. As a result of the offer, bondholders tendered $5 million in principal of the Black Knight Senior Notes, which were subsequently purchased by us on February 24, 2014.</w:t>
      </w:r>
    </w:p>
    <w:p>
      <w:pPr>
        <w:spacing w:after="0" w:line="29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October 24, 2013, FNF entered into a bridge loan commitment letter (the “Bridge Loan Commitment Letter”) with Merrill Lynch, Pierce, Fenner &amp; Smith Incorporated, Bank of America, N.A. (“Bank of America”), J.P. Morgan Securities LLC and JP Morgan Chase Bank, N.A. The Bridge Loan Commitment Letter provided for up to an $800 million short-term loan facility (the “Bridge Facility”). The proceeds of the loans under the Bridge Facility were used to fund, in part, the cash consideration for the acquisition of LPS and pay certain costs, fees and expenses in connection with the LPS merger. Pursuant to the Bridge Loan Commitment Letter, we executed a promissory note in favor of the Bridge Facility lenders on the closing date of the Merger that evidenced the terms of the Bridge Facility. The Bridge Facility matured on the second business day following the funding thereof</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5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and required scheduled amortization payments. Borrowings under the Bridge Facility bear interest at a rate equal to the highest of (i) the Bank of America prime rate, (ii) the federal fund effective rate from time to time plus 0.5% and (iii) the one month adjusted London interbank offered rate ("LIBOR") plus 1.0%. Other than as set forth in this paragraph, the terms of the Bridge Facility are substantially the same as the terms of the Term Loan Agreement discussed below. As part of the acquisition of LPS on January 2, 2014, the Bridge Facility was funded and subsequently repaid the following day.</w:t>
      </w:r>
    </w:p>
    <w:p>
      <w:pPr>
        <w:spacing w:after="0" w:line="46"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On July 11, 2013, FNF entered into a term loan credit agreement with Bank of America, N.A., as administrative agent (in such capacity, the “TL Administrative Agent”), the lenders party thereto and the other agents party thereto (the “Term Loan Agreement”). The Term Loan Agreement permits us to borrow up to $1.1 billion to fund the acquisition of LPS. The term loans under the Term Loan Agreement mature on the date that is five years from the funding date of the term loans under the Term Loan Agreement. Term loans under the Term Loan Agreement generally bear interest at a variable rate based on either (i) the base rate (which is the highest of (a) 0.5% in excess of the federal funds rate, (b) the TL Administrative Agent’s “prime rate”, or (c) the sum of 1.0% plus one-month LIBOR) plus a margin of between 50 basis points and 100 basis points depending on the senior unsecured long-term debt ratings of FNF or (ii) LIBOR plus a margin of between 150 basis points and 200 basis points depending on the senior unsecured long-term debt ratings of FNF. Based on our current Moody’s and Standard &amp; Poor’s senior unsecured long-term debt ratings of Baa3/BBB-, respectively, the applicable margin for term loans subject to LIBOR is 175 basis points over LIBOR. Under the Term Loan Agreement, we are subject to customary affirmative, negative and financial covenants, including, among other things, limits on the creation of liens, limits on the incurrence of indebtedness, restrictions on investments, dispositions and transactions with affiliates, limitations on dividends and other restricted payments, a minimum net worth and a maximum debt to capitalization ratio. The Term Loan Agreement also includes customary events of default for facilities of this type (with customary grace periods, as applicable) and provides that, if an event of default occurs and is continuing, the interest rate on all outstanding obligations may be increased, payments of all outstanding term loans may be accelerated and/or the lenders’ commitments may be terminated. In addition, upon the occurrence of certain insolvency or bankruptcy related events of default, all amounts payable under the Term Loan Agreement shall automatically become immediately due and payable, and the lenders’ commitments will automatically terminate. Under the Term Loan Agreement the financial covenants are the same as under the Revolving Credit Facility. On October 27, 2013, we amended the Term Loan Agreement to permit us to incur the indebtedness in respect of the Bridge Facility and incorporate technical changes to describe the structure of the LPS merger. As part of the acquisition of LPS on January 2, 2014, the Term Loan Agreement was fully funded.</w:t>
      </w:r>
    </w:p>
    <w:p>
      <w:pPr>
        <w:spacing w:after="0" w:line="65"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On June 25, 2013, FNF entered into an agreement to amend and restate our existing $800 million second amended and restated credit agreement (the “Existing Credit Agreement”), dated as of April 16, 2012 with Bank of America, N.A., as administrative agent (in such capacity, the “Administrative Agent”) and the other agents party thereto (the “Revolving Credit Facility”). Among other changes, the Revolving Credit Facility amends the Existing Credit Agreement to permit us to make a borrowing under the Revolving Credit Facility to finance a portion of the acquisition of LPS on a “limited conditionality” basis, incorporates other technical changes to permit us to enter into the Acquisition and extends the maturity of the Existing Credit Agreement. The lenders under the Existing Credit Agreement have agreed to extend the maturity date of their commitments under the credit facility from April 16, 2016 to July 15, 2018 under the Revolving Credit Facility. Revolving loans under the credit facility generally bear interest at a variable rate based on either (i) the base rate (which is the highest of (a) 0.5% in excess of the federal funds rate, (b) the Administrative Agent's “prime rate”, or (c) the sum of 1.0% plus one-month LIBOR) plus a margin of between 32.5 and 60 basis points depending on the senior unsecured long-term debt ratings of FNF or (ii) LIBOR plus a margin of between 132.5 and 160 basis points depending on the senior unsecured long-term debt ratings of FNF. Based on our current Moody’s and Standard &amp; Poor’s senior unsecured long-term debt ratings of Baa3/BBB-, respectively, the applicable margin for revolving loans subject to LIBOR is 145 basis points. In addition, we will pay a facility fee of between 17.5 and 40 basis points on the entire facility, also depending on our senior unsecured long-term debt ratings. Under the Revolving Credit Facility, we are subject to customary affirmative, negative and financial covenants, including, among other things, limits on the creation of liens, limits on the incurrence of indebtedness, restrictions on investments, dispositions and transactions with affiliates, limitations on dividends and other restricted payments, a minimum net worth and a maximum debt to capitalization ratio. The Revolving Credit Facility also includes customary events of default for facilities of this type (with customary grace periods, as applicable) and provides that, if an event of default occurs and is continuing, the interest rate on all outstanding obligations may be increased, payments of all outstanding loans may be accelerated and/or the lenders' commitments may be terminated. These events of default include a cross-default provision that, subject to limited exceptions, permits the lenders to declare the Revolving Credit Facility in default if: (i) (a) we fail to make any payment after the applicable grace period under any indebtedness with a principal amount (including undrawn committed amounts) in excess of 3.0% of our net worth, as defined in the Revolving Credit Facility, or (b) we fail to perform any other term under any such indebtedness, or any other event occurs, as a result of which the holders thereof may cause it to become due and payable prior to its maturity; or (ii) certain termination events occur under significant interest rate, equity or other swap contracts. In addition, upon the occurrence of certain insolvency or bankruptcy related events of default, all amounts payable under the Revolving</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Credit Facility shall automatically become immediately due and payable, and the lenders' commitments will automatically terminate. Under the Revolving Credit Facility the financial covenants remain essentially the same as under the Existing Credit Agreement, except that the total debt to total capitalization ratio limit of 35% will increase to 37.5% for a period of one year after the closing of the LPS acquisition and the net worth test was reset. Also on October 24, 2013, FNF entered into amendments to amend the Revolving Credit Facility to permit us to incur the indebtedness in respect of the Bridge Facility and incorporate other technical changes to describe the structure of the LPS merger. As of June 30, 2014, there was $300 million outstanding balance under the Revolving Credit Facility.</w:t>
      </w:r>
    </w:p>
    <w:p>
      <w:pPr>
        <w:spacing w:after="0" w:line="8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On March 5, 2013, Remy entered into a First Amendment to its existing five year Asset-Based Revolving Credit Facility (the "Remy Credit Facility" and "Remy Credit Facility First Amendment") to extend the maturity date of the Remy Credit Facility from December 17, 2015 to September 5, 2018 and reduce the interest rate. The Remy Credit Facility now bears interest at a defined Base Rate plus 0.50%-1.00% per year or, at Remy's election, at an applicable LIBOR Rate plus 1.50%-2.00% per year and is paid monthly. The Remy Credit Facility First Amendment maintains the current maximum availability at $95 million, which may be increased, under certain circumstances, by $20 million, though the actual amount that may be borrowed is based on the amount of collateral. The Remy Credit Facility is secured by substantially all domestic accounts receivable and inventory held by Remy. Remy will incur an unused commitment fee of 0.375% on the unused amount of commitments under the Remy Credit Facility First Amendment. At June 30, 2014, the Remy Credit Facility balance was zero. Based upon the collateral supporting the Remy Credit Facility, the amount borrowed, and the outstanding letters of credit of $14 million, there was additional availability for borrowing of $80 million on June 30, 2014. The Remy Credit Facility contains various restrictive covenants, which include, among other things: (i) a maximum leverage ratio, decreasing over the term of the facility; (ii) a minimum interest coverage ratio, increasing over the term of the facility; (iii) mandatory prepayments upon certain asset sales and debt issuances; (iv) requirements for minimum liquidity; and (v) limitations on the payment of dividends in excess of a specified amount. During the three months ended June 30, 2014, Remy did not borrow or repay any amounts under this facility. During the six months ended June 30, 2014, Remy borrowed and repaid $4 million under this facility.</w:t>
      </w:r>
    </w:p>
    <w:p>
      <w:pPr>
        <w:spacing w:after="0" w:line="6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March 5, 2013, Remy entered into a $300 million Amended and Restated Term B Loan Credit Agreement ("Term B Amendment") to refinance the existing $287 million Term B Loan, extend the maturity from December 17, 2016 to March 5, 2020, and reduce the interest rate. The Term B Amendment now bears interest paid quarterly at LIBOR (subject to a floor of 1.25%) plus 3% per year, with an original issue discount of approximately $1 million. The Term B Amendment also contains an option to increase the borrowing provided certain conditions are satisfied, including maintaining a maximum leverage ratio. The Term B Amendment is secured by a first priority lien on the stock of Remy's subsidiaries and substantially all domestic assets other than accounts receivable and inventory pledged to the Remy Credit Facility. Principal payments in the amount of approximately $1 million are due at the end of each calendar quarter with termination and final payment no later than March 5, 2020. The Term B Amendment also includes covenants and events of default customary for a facility of this type, including a cross-default provision under which the lenders may declare the loan in default if Remy (i) fails to make a payment when due under any debt having a principal amount greater than $5 million or (ii) breaches any other covenant in any such debt as a result of which the holders of such debt are permitted to accelerate its maturity. Remy is in compliance with all covenants as of June 30, 2014. The Term B Loan is subject to an excess cash calculation which may require the payment of additional principal on an annual basis. At June 30, 2014, the average borrowing rate, including the impact of the interest rate swaps, was 4.25%.</w:t>
      </w:r>
    </w:p>
    <w:p>
      <w:pPr>
        <w:spacing w:after="0" w:line="7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August 28, 2012, FNF completed an offering of $400 million in aggregate principal amount of 5.50% notes due September 2022 (the "5.50% notes"), pursuant to an effective registration statement previously filed with the Securities and Exchange Commission. The notes were priced at 99.513% of par to yield 5.564% annual interest. As such we recorded a discount of $2 million, which is netted against the $400 million aggregate principal amount of the 5.50% notes. The discount is amortized to September 2022 when the 5.50% notes mature. The 5.50% notes will pay interest semi-annually on the 1st of March and September, beginning March 1, 2013. We received net proceeds of $396 million, after expenses, which were used to repay the $237 million aggregate principal amount outstanding of our 5.25% unsecured notes maturing in March 2013, and $50 million outstanding on our revolving credit facility, with the remainder being used for general corporate purposes. These notes contain customary covenants and events of default for investment grade public debt. These events of default include a cross default provision, with respect to any other debt of the Company in an aggregate amount exceeding $100 million for all such debt, arising from (i) failure to make a principal payment when due or (ii) the occurrence of an event which results in such debt being due and payable prior to its scheduled maturity.</w:t>
      </w:r>
    </w:p>
    <w:p>
      <w:pPr>
        <w:spacing w:after="0" w:line="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May 31, 2012, ABRH entered into a credit agreement (the “ABRH Credit Facility”) with Wells Fargo Capital Finance, LLC as administrative agent and swing lender (the “ABRH Administrative Lender”) and the other financial institutions party thereto. The ABRH Credit Facility provides for a maximum revolving loan of $80 million ("the ABRH Revolver") with a maturity date of May 31, 2017. Additionally, the ABRH Credit Facility provides for a maximum term loan ("ABRH Term Loan") of $85</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5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million with quarterly installment repayments through December 25, 2016 and a maturity date of May 31, 2017 for the outstanding unpaid principal balance and all accrued and unpaid interest. On May 31, 2012, ABRH borrowed the entire $85 million under such term loan. Pricing for the ABRH Credit Facility is based on an applicable margin between 300 basis points to 375 basis points over LIBOR. The ABRH Credit Facility is subject to affirmative, negative and financial covenants customary for financings of this type, including, among other things, limits on ABRH's creation of liens, sales of assets, incurrence of indebtedness, restricted payments, transactions with affiliates, and certain amendments. The covenants addressing restricted payments include certain limitations on the declaration or payment of dividends by ABRH to its parent, Fidelity Newport Holdings, LLC (“FNH”), and by FNH to its members, and one such limitation restricts the amount of dividends that ABRH can pay to its parent (and that FNH can in turn pay to its members) to $5 million in the aggregate (outside of certain other permitted dividend payments) in fiscal year 2012 (with varying amounts for subsequent years). The ABRH Credit Facility includes customary events of default for facilities of this type (with customary grace periods, as applicable), which include a cross-default provision whereby an event of default will be deemed to have occurred if (i) ABRH or any of its guarantors, which consists of FNH and certain of its subsidiaries (together, the “Loan Parties”) or any of their subsidiaries default on any agreement with a third party of $2 million or more related to their indebtedness and such default (a) occurs at the final maturity of the obligations thereunder or (b) results in a right by such third party to accelerate such Loan Party's or its subsidiary's obligations or (ii) a default or an early termination occurs with respect to certain hedge agreements to which a Loan Party or its subsidiaries is a party involving an amount of $0.75 million or more. The ABRH Credit Facility provides that, upon the occurrence of an event of default, the ABRH Administrative Lender may (i) declare the principal of, and any and all accrued and unpaid interest and fees in respect of, the loans immediately due and payable, (ii) terminate loan commitments and (iii) exercise all other rights and remedies available to the ABRH Administrative Lender or the lenders under the loan documents. As of June 30, 2014, the balance of the term loan was $51 million and there was no outstanding balance on the revolving loan. ABRH had $18 million of outstanding letters of credit and $62 million of remaining borrowing capacity under our revolving credit facility as of June 30, 2014.</w:t>
      </w:r>
    </w:p>
    <w:p>
      <w:pPr>
        <w:spacing w:after="0" w:line="65"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On August 2, 2011, FNF completed an offering of $300 million in aggregate principal amount of 4.25% convertible senior notes due August 2018 (the "Notes") in an offering conducted in accordance with Rule 144A under the Securities Act of 1933, as amended. The Notes contain customary event-of-default provisions which, subject to certain notice and cure-period conditions, can result in the acceleration of the principal amount of, and accrued interest on, all outstanding Notes if we breach the terms of the Notes or the indenture pursuant to which the Notes were issued. The Notes are unsecured and unsubordinated obligations and (i) rank senior in right of payment to any of our existing or future unsecured indebtedness that is expressly subordinated in right of payment to the Notes; (ii) rank equal in right of payment to our existing and future unsecured indebtedness that is not so subordinated; (iii) are effectively subordinated in right of payment to any of our secured indebtedness to the extent of the value of the assets securing such indebtedness; and (iv) are structurally subordinated to all existing and future indebtedness and liabilities of our subsidiaries. Interest is payable on the principal amount of the Notes, semi-annually in arrears in cash on February 15 and August 15 of each year, commencing February 15, 2012. The Notes mature on August 15, 2018, unless earlier purchased by us or converted. The Notes were issued for cash at 100% of their principal amount. However, for financial reporting purposes, the notes were deemed to have been issued at 92.818% of par value, and as such we recorded a discount of $22 million to be amortized to August 2018, when the Notes mature. The Notes will be convertible into cash, shares of common stock, or a combination of cash and shares of common stock, at our election, based on an initial conversion rate, subject to adjustment, of 46.387 shares per $1,000 principal amount of the Notes (which represents an initial conversion price of approximately $21.56 per share), only in the following circumstances and to the following extent: (i) during any calendar quarter commencing after December 31, 2011, if, for each of at least 20 trading days (whether or not consecutive) during the 30 consecutive trading day period ending on, and including, the last trading day of the immediately preceding calendar quarter, the last reported sale price per share of our common stock on such trading day is greater than or equal to 130% of the applicable conversion price on such trading day; (ii) during the five consecutive business day period immediately following any ten consecutive trading day period (the “measurement period”) in which, for each trading day of the measurement period, the trading price per $1,000 principal amount of notes was less than 98% of the product of the last reported sale price per share of our common stock on such trading day and the applicable conversion rate on such trading day; (iii) upon the occurrence of specified corporate transactions; or (iv) at any time on and after May 15, 2018. However, in all cases, the Notes will cease to be convertible at the close of business on the second scheduled trading day immediately preceding the maturity date. It is our intent and policy to settle conversions through “net-share settlement”. Generally, under “net-share settlement,” the conversion value is settled in cash, up to the principal amount being converted, and the conversion value in excess of the principal amount is settled in shares of our common stock. As of October 1, 2013, these notes were convertible under the 130% Sale Price Condition described above. On March 28, 2014, $42 thousand in principal of these bonds were converted at the election of the bondholder. These bonds had a fair value of $65 thousand. The conversion was completed in the second quarter of 2014.</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5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Remy has revolving credit facilities with three Korean banks with a total facility amount of approximately $13 million, of which $2 million is borrowed at average interest rates of 3.43% at June 30, 2014. In Hungary, there is one revolving credit facility with one bank for a total facility amount of $1 million, of which nothing is borrowed at June 30, 2014. Remy also has a revolving credit facility in China with one bank for a total credit facility of $10 million, of which $5 million was borrowed at an average interest rate of 4.15% at June 30, 2014. During the three and six-months ended June 30, 2014, Remy borrowed $3 million and $5 million, respectively under this facility, and did not make any repayments.</w:t>
      </w:r>
    </w:p>
    <w:p>
      <w:pPr>
        <w:spacing w:after="0" w:line="5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May 5, 2010, FNF completed an offering of $300 million in aggregate principal amount of our 6.60% notes due May 2017 (the "6.60% Notes"), pursuant to an effective registration statement previously filed with the Securities and Exchange Commission. The 6.60% Notes were priced at 99.897% of par to yield 6.61% annual interest. We received net proceeds of $297 million, after expenses, which were used to repay outstanding borrowings under our credit agreement. Interest is payable semi-annually. These notes contain customary covenants and events of default for investment grade public debt. These events of default include a cross default provision, with respect to any other debt of the Company in an aggregate amount exceeding $100 million for all such debt, arising from (i) failure to make a principal payment when due or (ii) the occurrence of an event which results in such debt being due and payable prior to its scheduled maturity.</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0020" w:type="dxa"/>
            <w:vAlign w:val="bottom"/>
          </w:tcPr>
          <w:p>
            <w:pPr>
              <w:ind w:left="300"/>
              <w:spacing w:after="0"/>
              <w:rPr>
                <w:sz w:val="20"/>
                <w:szCs w:val="20"/>
                <w:color w:val="auto"/>
              </w:rPr>
            </w:pPr>
            <w:r>
              <w:rPr>
                <w:rFonts w:ascii="Arial" w:cs="Arial" w:eastAsia="Arial" w:hAnsi="Arial"/>
                <w:sz w:val="18"/>
                <w:szCs w:val="18"/>
                <w:color w:val="auto"/>
              </w:rPr>
              <w:t>Gross principal maturities of notes payable at June 30, 2014 are as follows (in millions):</w:t>
            </w: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0"/>
        </w:trPr>
        <w:tc>
          <w:tcPr>
            <w:tcW w:w="10020" w:type="dxa"/>
            <w:vAlign w:val="bottom"/>
          </w:tcPr>
          <w:p>
            <w:pPr>
              <w:ind w:left="20"/>
              <w:spacing w:after="0"/>
              <w:rPr>
                <w:sz w:val="20"/>
                <w:szCs w:val="20"/>
                <w:color w:val="auto"/>
              </w:rPr>
            </w:pPr>
            <w:r>
              <w:rPr>
                <w:rFonts w:ascii="Arial" w:cs="Arial" w:eastAsia="Arial" w:hAnsi="Arial"/>
                <w:sz w:val="18"/>
                <w:szCs w:val="18"/>
                <w:color w:val="auto"/>
              </w:rPr>
              <w:t>2014 (remaining)</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7"/>
        </w:trPr>
        <w:tc>
          <w:tcPr>
            <w:tcW w:w="10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2015</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r>
      <w:tr>
        <w:trPr>
          <w:trHeight w:val="243"/>
        </w:trPr>
        <w:tc>
          <w:tcPr>
            <w:tcW w:w="10020" w:type="dxa"/>
            <w:vAlign w:val="bottom"/>
          </w:tcPr>
          <w:p>
            <w:pPr>
              <w:ind w:left="20"/>
              <w:spacing w:after="0"/>
              <w:rPr>
                <w:sz w:val="20"/>
                <w:szCs w:val="20"/>
                <w:color w:val="auto"/>
              </w:rPr>
            </w:pPr>
            <w:r>
              <w:rPr>
                <w:rFonts w:ascii="Arial" w:cs="Arial" w:eastAsia="Arial" w:hAnsi="Arial"/>
                <w:sz w:val="18"/>
                <w:szCs w:val="18"/>
                <w:color w:val="auto"/>
              </w:rPr>
              <w:t>2016</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178</w:t>
            </w:r>
          </w:p>
        </w:tc>
      </w:tr>
      <w:tr>
        <w:trPr>
          <w:trHeight w:val="27"/>
        </w:trPr>
        <w:tc>
          <w:tcPr>
            <w:tcW w:w="10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552</w:t>
            </w:r>
          </w:p>
        </w:tc>
      </w:tr>
      <w:tr>
        <w:trPr>
          <w:trHeight w:val="243"/>
        </w:trPr>
        <w:tc>
          <w:tcPr>
            <w:tcW w:w="10020" w:type="dxa"/>
            <w:vAlign w:val="bottom"/>
          </w:tcPr>
          <w:p>
            <w:pPr>
              <w:ind w:left="20"/>
              <w:spacing w:after="0"/>
              <w:rPr>
                <w:sz w:val="20"/>
                <w:szCs w:val="20"/>
                <w:color w:val="auto"/>
              </w:rPr>
            </w:pPr>
            <w:r>
              <w:rPr>
                <w:rFonts w:ascii="Arial" w:cs="Arial" w:eastAsia="Arial" w:hAnsi="Arial"/>
                <w:sz w:val="18"/>
                <w:szCs w:val="18"/>
                <w:color w:val="auto"/>
              </w:rPr>
              <w:t>2018</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824</w:t>
            </w:r>
          </w:p>
        </w:tc>
      </w:tr>
      <w:tr>
        <w:trPr>
          <w:trHeight w:val="27"/>
        </w:trPr>
        <w:tc>
          <w:tcPr>
            <w:tcW w:w="10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10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1,645</w:t>
            </w:r>
          </w:p>
        </w:tc>
      </w:tr>
      <w:tr>
        <w:trPr>
          <w:trHeight w:val="237"/>
        </w:trPr>
        <w:tc>
          <w:tcPr>
            <w:tcW w:w="100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3,341</w:t>
            </w:r>
          </w:p>
        </w:tc>
      </w:tr>
      <w:tr>
        <w:trPr>
          <w:trHeight w:val="27"/>
        </w:trPr>
        <w:tc>
          <w:tcPr>
            <w:tcW w:w="100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100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and Regulatory Contingencies</w:t>
      </w:r>
    </w:p>
    <w:p>
      <w:pPr>
        <w:spacing w:after="0" w:line="11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the ordinary course of business, we are involved in various pending and threatened litigation matters related to our title operations, some of which include claims for punitive or exemplary damages. This customary litigation includes but is not limited to a wide variety of cases arising out of or related to title and escrow claims, for which we make provisions through our loss reserves. Additionally, like other insurance companies, our ordinary course litigation includes a number of class action and purported class action lawsuits, which make allegations related to aspects of our insurance operations. We believe that no actions, other than the matters discussed below, depart from customary litigation incidental to our insurance business.</w:t>
      </w:r>
    </w:p>
    <w:p>
      <w:pPr>
        <w:spacing w:after="0" w:line="3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Remy is a defendant from time to time in various legal proceedings arising in the ordinary course of business, including claims relating to commercial transactions, product liability, safety, health, taxes, environmental, intellectual property and other matters.</w:t>
      </w:r>
    </w:p>
    <w:p>
      <w:pPr>
        <w:spacing w:after="0" w:line="3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Restaurant Group companies are a defendant from time to time in various legal proceedings arising in the ordinary course of business, including claims relating to injury or wrongful death under “dram shop” laws that allow a person to sue us based on any injury caused by an intoxicated person who was wrongfully served alcoholic beverages at one of the restaurants and claims from guests or employees alleging illness, injury or other food quality, health or operational concerns. These companies are also subject to compliance with extensive government laws and regulations related to employment practices and policies and the manufacture, preparation, and sale of food and alcohol.</w:t>
      </w:r>
    </w:p>
    <w:p>
      <w:pPr>
        <w:spacing w:after="0" w:line="5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review lawsuits and other legal and regulatory matters (collectively “legal proceedings”) on an ongoing basis when making accrual and disclosure decisions. When assessing reasonably possible and probable outcomes, management bases its decision on its assessment of the ultimate outcome assuming all appeals have been exhausted. For legal proceedings where it has been determined that a loss is both probable and reasonably estimable, a liability based on known facts and which represents our best estimate has been recorded. Our accrual for legal and regulatory matters was $87 million as of June 30, 2014 and $9 million as of December 31, 2013. Of this accrual, $78 million relates to historical LPS matters. As discussed elsewhere, LPS was acquired on January 2, 2014. None of the amounts we have currently recorded are considered to be individually or in the aggregate material to our financial condition. Actual losses may materially differ from the amounts recorded and the ultimate outcome of our pending cases is generally not yet determinable. While some of these matters could be material to our operating results or cash flows for</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any particular period if an unfavorable outcome results, at present we do not believe that the ultimate resolution of currently pending legal proceedings, either individually or in the aggregate, will have a material adverse effect on our financial condition.</w:t>
      </w:r>
    </w:p>
    <w:p>
      <w:pPr>
        <w:spacing w:after="0" w:line="3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Following a review by the Board of Governors of the Federal Reserve System, the Federal Deposit Insurance Corporation, the Office of the Comptroller of the Currency and the Office of Thrift Supervision (collectively, the “banking agencies”), LPS entered into a consent order (the “Order”) dated April 13, 2011 with the banking agencies. The banking agencies' review of LPS' services included the services provided by its default operations to mortgage servicers regulated by the banking agencies, including document execution services. The Order does not make any findings of fact or conclusions of wrongdoing, nor does LPS admit any fault or liability. Under the Order, LPS agreed to further study the issues identified in the review and to enhance its compliance, internal audit, risk management and board oversight plans with respect to those businesses. LPS also agreed to engage an independent third party to conduct a risk assessment and review of its default management businesses and the document execution services we provided to servicers from January 1, 2008 through December 31, 2010. The document execution review by the independent third party is likely to take longer than previously anticipated. LPS accrued for the additional fees and costs expected to be charged by the independent third party to complete the review. To the extent such review, once completed, requires additional remediation of mortgage documents or identifies any financial injury from the document execution services LPS provided, LPS agreed to implement an appropriate plan to address the issues. The Order contains various deadlines by which LPS has agreed to accomplish the undertakings set forth therein, including the preparation of a remediation plan following the completion of the document execution review. LPS agreed and we will continue to make periodic reports to the banking agencies on our progress with respect to each of the undertakings in the Order. The Order does not include any fine or other monetary penalty, although the banking agencies have not yet concluded their assessment of whether any civil monetary penalties may be imposed.</w:t>
      </w:r>
    </w:p>
    <w:p>
      <w:pPr>
        <w:spacing w:after="0" w:line="14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On December 16, 2013, LPS received notice that Merion Capital, L.P. and Merion Capital II, L.P. (together "Merion Capital") were asserting their appraisal right relative to their ownership of 5,682,276 shares of LPS stock. On January 2, 2014, the date of the acquisition of LPS, we deposited approximately 1.6 million shares of common stock and approximately $160 million in cash to the exchange fund as merger consideration for Merion Capital's LPS ownership, which Merion Capital did not accept. Under Delaware state law, holders of LPS common stock who follow applicable Delaware law procedure relating to appraisal rights are entitled, in lieu of receiving the merger consideration, to have the "fair value" of their shares determined by the Delaware Court of Chancery paid to them in cash together with a statutory rate of interest unless decided otherwise by the Delaware Court of Chancery. On February 6, 2014, </w:t>
      </w:r>
      <w:r>
        <w:rPr>
          <w:rFonts w:ascii="Arial" w:cs="Arial" w:eastAsia="Arial" w:hAnsi="Arial"/>
          <w:sz w:val="17"/>
          <w:szCs w:val="17"/>
          <w:i w:val="1"/>
          <w:iCs w:val="1"/>
          <w:color w:val="auto"/>
        </w:rPr>
        <w:t>Merion Capital LP and Merion Capital II, LP v. Lender Processing Services, Inc. n/k/a Black Knight InfoServ, LLC ("LPS")</w:t>
      </w:r>
      <w:r>
        <w:rPr>
          <w:rFonts w:ascii="Arial" w:cs="Arial" w:eastAsia="Arial" w:hAnsi="Arial"/>
          <w:sz w:val="17"/>
          <w:szCs w:val="17"/>
          <w:color w:val="auto"/>
        </w:rPr>
        <w:t xml:space="preserve"> was filed in the Court of Chancery in Delaware. This suit involves a demand upon LPS for appraisal of their 5,682,276 shares of common stock under Delaware law. LPS filed an answer to this suit on March 3, 2014. The matter is in the initial stages and the parties are engaging in discovery. We do not believe this matter will have a material impact on our results of operations. The resolution of this matter may impact our cash flow in the future if we are required to remit the entire merger consideration in cash. We intend to vigorously defend this action.</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September 2008, Remy filed suit against Tecnomatic in the U.S. District Court, Southern District of Indiana, Indianapolis Division (Civil Action No.: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1:08-CV-1227-SEB-JMS), titled </w:t>
      </w:r>
      <w:r>
        <w:rPr>
          <w:rFonts w:ascii="Arial" w:cs="Arial" w:eastAsia="Arial" w:hAnsi="Arial"/>
          <w:sz w:val="16"/>
          <w:szCs w:val="16"/>
          <w:i w:val="1"/>
          <w:iCs w:val="1"/>
          <w:color w:val="auto"/>
        </w:rPr>
        <w:t>Remy, Inc. v. Tecnomatic S.p.A.</w:t>
      </w:r>
      <w:r>
        <w:rPr>
          <w:rFonts w:ascii="Arial" w:cs="Arial" w:eastAsia="Arial" w:hAnsi="Arial"/>
          <w:sz w:val="16"/>
          <w:szCs w:val="16"/>
          <w:color w:val="auto"/>
        </w:rPr>
        <w:t xml:space="preserve"> for breach of contract, among other claims, with respect to a machine Tecnomatic sold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Remy to build an engine component. In March 2011, Tecnomatic filed a lawsuit in U.S. District Court, N.D. of Illinois, against Remy, its Mexican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subsidiaries and two other entities alleging breach of contract and the misappropriation of trade secrets, and requested damages of $110 million. In June 2011,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Illinois Court granted Remy's motion to transfer the case to U.S. District Court, Southern District of Indiana, Indianapolis Division, and the two pending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actions were consolidated. After multiple motions by the respective parties and rulings by the Court on the pleadings, certain original claims by Tecnomatic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have been dismissed or narrowed. The Court has permitted Tecnomatic to amend its Complaint to add other new claims. Most recently and in response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Remy's motion to dismiss, on June 24, 2014, the Court dismissed three of Tecnomatic’s claims, but allowed other claims, including Tecnomatic’s claims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misappropriation of trade secrets and breach of contract to proceed to trial. On July 18, 2014, Remy filed its answer to Tecnomatic’s amended complaint. No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trial date has been set, but it is anticipated to commence during 2015. Due to the current stage of this case, it is not possible to make a meaningful estimate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amount or range of loss that could result from this case at this time. We intend to vigorously defend this case.</w:t>
      </w:r>
    </w:p>
    <w:p>
      <w:pPr>
        <w:spacing w:after="0" w:line="10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From time to time we receive inquiries and requests for information from state insurance departments, attorneys general and other regulatory agencies about various matters relating to our business. Sometimes these take the form of civil investigative demands or subpoenas. We cooperate with all such inquiries and we have responded to or are currently responding to inquiries from multiple governmental agencies. Also, regulators and courts have been dealing with issues arising from foreclosures and related processes and documentation. Various governmental entities are studying the title insurance product, market, pricing, and business practices, and potential regulatory and legislative changes, which may materially affect our business and operations. From time to time, we are assessed fines for violations of regulations or other matters or enter into settlements with such authorities which may require us to pay fines or claims or take other actions.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10000" w:type="dxa"/>
            <w:vAlign w:val="bottom"/>
            <w:gridSpan w:val="3"/>
          </w:tcPr>
          <w:p>
            <w:pPr>
              <w:spacing w:after="0"/>
              <w:rPr>
                <w:rFonts w:ascii="Arial" w:cs="Arial" w:eastAsia="Arial" w:hAnsi="Arial"/>
                <w:sz w:val="18"/>
                <w:szCs w:val="18"/>
                <w:b w:val="1"/>
                <w:bCs w:val="1"/>
                <w:color w:val="0000EE"/>
              </w:rPr>
            </w:pPr>
            <w:hyperlink w:anchor="page1">
              <w:r>
                <w:rPr>
                  <w:rFonts w:ascii="Arial" w:cs="Arial" w:eastAsia="Arial" w:hAnsi="Arial"/>
                  <w:sz w:val="18"/>
                  <w:szCs w:val="18"/>
                  <w:b w:val="1"/>
                  <w:bCs w:val="1"/>
                  <w:color w:val="0000EE"/>
                </w:rPr>
                <w:t>Table of Contents</w:t>
              </w:r>
            </w:hyperlink>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542"/>
        </w:trPr>
        <w:tc>
          <w:tcPr>
            <w:tcW w:w="220" w:type="dxa"/>
            <w:vAlign w:val="bottom"/>
            <w:tcBorders>
              <w:top w:val="single" w:sz="8" w:color="0000EE"/>
            </w:tcBorders>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8640" w:type="dxa"/>
            <w:vAlign w:val="bottom"/>
          </w:tcPr>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34"/>
        </w:trPr>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640" w:type="dxa"/>
            <w:vAlign w:val="bottom"/>
          </w:tcPr>
          <w:p>
            <w:pPr>
              <w:jc w:val="center"/>
              <w:spacing w:after="0"/>
              <w:rPr>
                <w:sz w:val="20"/>
                <w:szCs w:val="20"/>
                <w:color w:val="auto"/>
              </w:rPr>
            </w:pPr>
            <w:r>
              <w:rPr>
                <w:rFonts w:ascii="Arial" w:cs="Arial" w:eastAsia="Arial" w:hAnsi="Arial"/>
                <w:sz w:val="18"/>
                <w:szCs w:val="18"/>
                <w:b w:val="1"/>
                <w:bCs w:val="1"/>
                <w:color w:val="auto"/>
                <w:w w:val="98"/>
              </w:rPr>
              <w:t>NOTES TO CONDENSED CONSOLIDATED FINANCIAL STATEMENTS (UNAUDITED) — continued</w:t>
            </w: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675"/>
        </w:trPr>
        <w:tc>
          <w:tcPr>
            <w:tcW w:w="100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Operating Leases</w:t>
            </w: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24"/>
        </w:trPr>
        <w:tc>
          <w:tcPr>
            <w:tcW w:w="220" w:type="dxa"/>
            <w:vAlign w:val="bottom"/>
          </w:tcPr>
          <w:p>
            <w:pPr>
              <w:spacing w:after="0"/>
              <w:rPr>
                <w:sz w:val="24"/>
                <w:szCs w:val="24"/>
                <w:color w:val="auto"/>
              </w:rPr>
            </w:pPr>
          </w:p>
        </w:tc>
        <w:tc>
          <w:tcPr>
            <w:tcW w:w="9780" w:type="dxa"/>
            <w:vAlign w:val="bottom"/>
            <w:gridSpan w:val="2"/>
          </w:tcPr>
          <w:p>
            <w:pPr>
              <w:ind w:left="120"/>
              <w:spacing w:after="0"/>
              <w:rPr>
                <w:sz w:val="20"/>
                <w:szCs w:val="20"/>
                <w:color w:val="auto"/>
              </w:rPr>
            </w:pPr>
            <w:r>
              <w:rPr>
                <w:rFonts w:ascii="Arial" w:cs="Arial" w:eastAsia="Arial" w:hAnsi="Arial"/>
                <w:sz w:val="18"/>
                <w:szCs w:val="18"/>
                <w:color w:val="auto"/>
              </w:rPr>
              <w:t>Future minimum operating lease payments are as follows (in millions):</w:t>
            </w: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43"/>
        </w:trPr>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6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50"/>
        </w:trPr>
        <w:tc>
          <w:tcPr>
            <w:tcW w:w="220" w:type="dxa"/>
            <w:vAlign w:val="bottom"/>
          </w:tcPr>
          <w:p>
            <w:pPr>
              <w:spacing w:after="0"/>
              <w:rPr>
                <w:sz w:val="21"/>
                <w:szCs w:val="21"/>
                <w:color w:val="auto"/>
              </w:rPr>
            </w:pPr>
          </w:p>
        </w:tc>
        <w:tc>
          <w:tcPr>
            <w:tcW w:w="9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2014 (remaining)</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w:t>
            </w:r>
          </w:p>
        </w:tc>
      </w:tr>
      <w:tr>
        <w:trPr>
          <w:trHeight w:val="243"/>
        </w:trPr>
        <w:tc>
          <w:tcPr>
            <w:tcW w:w="1360" w:type="dxa"/>
            <w:vAlign w:val="bottom"/>
            <w:gridSpan w:val="2"/>
          </w:tcPr>
          <w:p>
            <w:pPr>
              <w:ind w:left="240"/>
              <w:spacing w:after="0"/>
              <w:rPr>
                <w:sz w:val="20"/>
                <w:szCs w:val="20"/>
                <w:color w:val="auto"/>
              </w:rPr>
            </w:pPr>
            <w:r>
              <w:rPr>
                <w:rFonts w:ascii="Arial" w:cs="Arial" w:eastAsia="Arial" w:hAnsi="Arial"/>
                <w:sz w:val="18"/>
                <w:szCs w:val="18"/>
                <w:color w:val="auto"/>
              </w:rPr>
              <w:t>2015</w:t>
            </w:r>
          </w:p>
        </w:tc>
        <w:tc>
          <w:tcPr>
            <w:tcW w:w="86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174</w:t>
            </w:r>
          </w:p>
        </w:tc>
      </w:tr>
      <w:tr>
        <w:trPr>
          <w:trHeight w:val="27"/>
        </w:trPr>
        <w:tc>
          <w:tcPr>
            <w:tcW w:w="1360" w:type="dxa"/>
            <w:vAlign w:val="bottom"/>
            <w:gridSpan w:val="2"/>
          </w:tcPr>
          <w:p>
            <w:pPr>
              <w:spacing w:after="0"/>
              <w:rPr>
                <w:sz w:val="2"/>
                <w:szCs w:val="2"/>
                <w:color w:val="auto"/>
              </w:rPr>
            </w:pPr>
          </w:p>
        </w:tc>
        <w:tc>
          <w:tcPr>
            <w:tcW w:w="8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220" w:type="dxa"/>
            <w:vAlign w:val="bottom"/>
          </w:tcPr>
          <w:p>
            <w:pPr>
              <w:spacing w:after="0"/>
              <w:rPr>
                <w:sz w:val="21"/>
                <w:szCs w:val="21"/>
                <w:color w:val="auto"/>
              </w:rPr>
            </w:pPr>
          </w:p>
        </w:tc>
        <w:tc>
          <w:tcPr>
            <w:tcW w:w="1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86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w:t>
            </w:r>
          </w:p>
        </w:tc>
      </w:tr>
      <w:tr>
        <w:trPr>
          <w:trHeight w:val="243"/>
        </w:trPr>
        <w:tc>
          <w:tcPr>
            <w:tcW w:w="1360" w:type="dxa"/>
            <w:vAlign w:val="bottom"/>
            <w:gridSpan w:val="2"/>
          </w:tcPr>
          <w:p>
            <w:pPr>
              <w:ind w:left="240"/>
              <w:spacing w:after="0"/>
              <w:rPr>
                <w:sz w:val="20"/>
                <w:szCs w:val="20"/>
                <w:color w:val="auto"/>
              </w:rPr>
            </w:pPr>
            <w:r>
              <w:rPr>
                <w:rFonts w:ascii="Arial" w:cs="Arial" w:eastAsia="Arial" w:hAnsi="Arial"/>
                <w:sz w:val="18"/>
                <w:szCs w:val="18"/>
                <w:color w:val="auto"/>
              </w:rPr>
              <w:t>2017</w:t>
            </w:r>
          </w:p>
        </w:tc>
        <w:tc>
          <w:tcPr>
            <w:tcW w:w="86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120</w:t>
            </w:r>
          </w:p>
        </w:tc>
      </w:tr>
      <w:tr>
        <w:trPr>
          <w:trHeight w:val="27"/>
        </w:trPr>
        <w:tc>
          <w:tcPr>
            <w:tcW w:w="1360" w:type="dxa"/>
            <w:vAlign w:val="bottom"/>
            <w:gridSpan w:val="2"/>
          </w:tcPr>
          <w:p>
            <w:pPr>
              <w:spacing w:after="0"/>
              <w:rPr>
                <w:sz w:val="2"/>
                <w:szCs w:val="2"/>
                <w:color w:val="auto"/>
              </w:rPr>
            </w:pPr>
          </w:p>
        </w:tc>
        <w:tc>
          <w:tcPr>
            <w:tcW w:w="8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220" w:type="dxa"/>
            <w:vAlign w:val="bottom"/>
          </w:tcPr>
          <w:p>
            <w:pPr>
              <w:spacing w:after="0"/>
              <w:rPr>
                <w:sz w:val="21"/>
                <w:szCs w:val="21"/>
                <w:color w:val="auto"/>
              </w:rPr>
            </w:pPr>
          </w:p>
        </w:tc>
        <w:tc>
          <w:tcPr>
            <w:tcW w:w="1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86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w:t>
            </w:r>
          </w:p>
        </w:tc>
      </w:tr>
      <w:tr>
        <w:trPr>
          <w:trHeight w:val="243"/>
        </w:trPr>
        <w:tc>
          <w:tcPr>
            <w:tcW w:w="220" w:type="dxa"/>
            <w:vAlign w:val="bottom"/>
          </w:tcPr>
          <w:p>
            <w:pPr>
              <w:spacing w:after="0"/>
              <w:rPr>
                <w:sz w:val="21"/>
                <w:szCs w:val="21"/>
                <w:color w:val="auto"/>
              </w:rPr>
            </w:pPr>
          </w:p>
        </w:tc>
        <w:tc>
          <w:tcPr>
            <w:tcW w:w="9780" w:type="dxa"/>
            <w:vAlign w:val="bottom"/>
            <w:gridSpan w:val="2"/>
          </w:tcPr>
          <w:p>
            <w:pPr>
              <w:ind w:left="20"/>
              <w:spacing w:after="0"/>
              <w:rPr>
                <w:sz w:val="20"/>
                <w:szCs w:val="20"/>
                <w:color w:val="auto"/>
              </w:rPr>
            </w:pPr>
            <w:r>
              <w:rPr>
                <w:rFonts w:ascii="Arial" w:cs="Arial" w:eastAsia="Arial" w:hAnsi="Arial"/>
                <w:sz w:val="18"/>
                <w:szCs w:val="18"/>
                <w:color w:val="auto"/>
              </w:rPr>
              <w:t>Thereafter</w:t>
            </w:r>
          </w:p>
        </w:tc>
        <w:tc>
          <w:tcPr>
            <w:tcW w:w="4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314</w:t>
            </w:r>
          </w:p>
        </w:tc>
      </w:tr>
      <w:tr>
        <w:trPr>
          <w:trHeight w:val="27"/>
        </w:trPr>
        <w:tc>
          <w:tcPr>
            <w:tcW w:w="220" w:type="dxa"/>
            <w:vAlign w:val="bottom"/>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86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7"/>
        </w:trPr>
        <w:tc>
          <w:tcPr>
            <w:tcW w:w="220" w:type="dxa"/>
            <w:vAlign w:val="bottom"/>
          </w:tcPr>
          <w:p>
            <w:pPr>
              <w:spacing w:after="0"/>
              <w:rPr>
                <w:sz w:val="22"/>
                <w:szCs w:val="22"/>
                <w:color w:val="auto"/>
              </w:rPr>
            </w:pPr>
          </w:p>
        </w:tc>
        <w:tc>
          <w:tcPr>
            <w:tcW w:w="9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future minimum operating lease payments</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993</w:t>
            </w:r>
          </w:p>
        </w:tc>
      </w:tr>
      <w:tr>
        <w:trPr>
          <w:trHeight w:val="20"/>
        </w:trPr>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Dividends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July 21, 2014, our Board of Directors declared cash dividends of $0.18 per share, payable on September 30, 2014, to FNF Group common shareholders of record as of September 16,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Segment Information</w:t>
      </w:r>
    </w:p>
    <w:p>
      <w:pPr>
        <w:spacing w:after="0" w:line="12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Summarized financial information concerning our reportable segments is shown in the following tables. During the fourth quarter of 2013, we determined that the Corporate and Other segment would be split in order to differentiate operations and costs related to our FNF Core businesses from those associated with FNFV. As a result, we reorganized our reporting segments to reflect this change. On January 2, 2014, we acquired LPS. As a result we have a new segment, BKFS, which contains the technology, data and analytics operations of the former LPS company. We have combined the acquired transaction services business of LPS with our existing ServiceLink operations which reside in the Title segment. There are several intercompany corporate related arrangements between our various FNF Core businesses. The effects of these arrangements including intercompany notes and related interest and any other non-operational intercompany revenues and expenses have been eliminated in the segment presentations below.</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08"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three months ended June 30, 2014:</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0"/>
              </w:rPr>
              <w:t>Total FNF</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3"/>
                <w:szCs w:val="13"/>
                <w:color w:val="auto"/>
                <w:w w:val="94"/>
              </w:rPr>
              <w:t>FNFV</w:t>
            </w:r>
          </w:p>
        </w:tc>
        <w:tc>
          <w:tcPr>
            <w:tcW w:w="140" w:type="dxa"/>
            <w:vAlign w:val="bottom"/>
          </w:tcPr>
          <w:p>
            <w:pPr>
              <w:spacing w:after="0"/>
              <w:rPr>
                <w:sz w:val="13"/>
                <w:szCs w:val="13"/>
                <w:color w:val="auto"/>
              </w:rPr>
            </w:pPr>
          </w:p>
        </w:tc>
        <w:tc>
          <w:tcPr>
            <w:tcW w:w="64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9"/>
              </w:rPr>
              <w:t>Total</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ind w:left="20"/>
              <w:spacing w:after="0" w:line="131" w:lineRule="exact"/>
              <w:rPr>
                <w:sz w:val="20"/>
                <w:szCs w:val="20"/>
                <w:color w:val="auto"/>
              </w:rPr>
            </w:pPr>
            <w:r>
              <w:rPr>
                <w:rFonts w:ascii="Arial" w:cs="Arial" w:eastAsia="Arial" w:hAnsi="Arial"/>
                <w:sz w:val="13"/>
                <w:szCs w:val="13"/>
                <w:color w:val="auto"/>
              </w:rPr>
              <w:t>FNF Corporate</w:t>
            </w:r>
          </w:p>
        </w:tc>
        <w:tc>
          <w:tcPr>
            <w:tcW w:w="1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240"/>
              <w:spacing w:after="0" w:line="131" w:lineRule="exact"/>
              <w:rPr>
                <w:sz w:val="20"/>
                <w:szCs w:val="20"/>
                <w:color w:val="auto"/>
              </w:rPr>
            </w:pPr>
            <w:r>
              <w:rPr>
                <w:rFonts w:ascii="Arial" w:cs="Arial" w:eastAsia="Arial" w:hAnsi="Arial"/>
                <w:sz w:val="13"/>
                <w:szCs w:val="13"/>
                <w:color w:val="auto"/>
                <w:w w:val="84"/>
              </w:rPr>
              <w:t>Restaurant</w:t>
            </w:r>
          </w:p>
        </w:tc>
        <w:tc>
          <w:tcPr>
            <w:tcW w:w="120" w:type="dxa"/>
            <w:vAlign w:val="bottom"/>
          </w:tcPr>
          <w:p>
            <w:pPr>
              <w:spacing w:after="0"/>
              <w:rPr>
                <w:sz w:val="11"/>
                <w:szCs w:val="11"/>
                <w:color w:val="auto"/>
              </w:rPr>
            </w:pPr>
          </w:p>
        </w:tc>
        <w:tc>
          <w:tcPr>
            <w:tcW w:w="760" w:type="dxa"/>
            <w:vAlign w:val="bottom"/>
            <w:gridSpan w:val="2"/>
          </w:tcPr>
          <w:p>
            <w:pPr>
              <w:jc w:val="center"/>
              <w:ind w:right="220"/>
              <w:spacing w:after="0" w:line="131" w:lineRule="exact"/>
              <w:rPr>
                <w:sz w:val="20"/>
                <w:szCs w:val="20"/>
                <w:color w:val="auto"/>
              </w:rPr>
            </w:pPr>
            <w:r>
              <w:rPr>
                <w:rFonts w:ascii="Arial" w:cs="Arial" w:eastAsia="Arial" w:hAnsi="Arial"/>
                <w:sz w:val="13"/>
                <w:szCs w:val="13"/>
                <w:color w:val="auto"/>
                <w:w w:val="86"/>
              </w:rPr>
              <w:t>Corporate</w:t>
            </w:r>
          </w:p>
        </w:tc>
        <w:tc>
          <w:tcPr>
            <w:tcW w:w="14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3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color w:val="auto"/>
              </w:rPr>
              <w:t>Title</w:t>
            </w: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color w:val="auto"/>
              </w:rPr>
              <w:t>BKFS</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color w:val="auto"/>
              </w:rPr>
              <w:t>and Other</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7"/>
              </w:rPr>
              <w:t>Core</w:t>
            </w: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color w:val="auto"/>
              </w:rPr>
              <w:t>Remy</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color w:val="auto"/>
                <w:w w:val="88"/>
              </w:rPr>
              <w:t>Group</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color w:val="auto"/>
                <w:w w:val="86"/>
              </w:rPr>
              <w:t>and Other</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94"/>
              </w:rPr>
              <w:t>FNFV</w:t>
            </w: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color w:val="auto"/>
              </w:rPr>
              <w:t>Eliminations</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1"/>
        </w:trPr>
        <w:tc>
          <w:tcPr>
            <w:tcW w:w="2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gridSpan w:val="5"/>
          </w:tcPr>
          <w:p>
            <w:pPr>
              <w:ind w:left="280"/>
              <w:spacing w:after="0"/>
              <w:rPr>
                <w:sz w:val="20"/>
                <w:szCs w:val="20"/>
                <w:color w:val="auto"/>
              </w:rPr>
            </w:pPr>
            <w:r>
              <w:rPr>
                <w:rFonts w:ascii="Arial" w:cs="Arial" w:eastAsia="Arial" w:hAnsi="Arial"/>
                <w:sz w:val="13"/>
                <w:szCs w:val="13"/>
                <w:b w:val="1"/>
                <w:bCs w:val="1"/>
                <w:color w:val="auto"/>
              </w:rPr>
              <w:t>(In millions)</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Title premiums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951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951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951</w:t>
            </w:r>
          </w:p>
        </w:tc>
        <w:tc>
          <w:tcPr>
            <w:tcW w:w="0" w:type="dxa"/>
            <w:vAlign w:val="bottom"/>
          </w:tcPr>
          <w:p>
            <w:pPr>
              <w:spacing w:after="0"/>
              <w:rPr>
                <w:sz w:val="1"/>
                <w:szCs w:val="1"/>
                <w:color w:val="auto"/>
              </w:rPr>
            </w:pP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color w:val="auto"/>
              </w:rPr>
              <w:t>Other revenues</w:t>
            </w:r>
          </w:p>
        </w:tc>
        <w:tc>
          <w:tcPr>
            <w:tcW w:w="200" w:type="dxa"/>
            <w:vAlign w:val="bottom"/>
          </w:tcPr>
          <w:p>
            <w:pPr>
              <w:spacing w:after="0"/>
              <w:rPr>
                <w:sz w:val="22"/>
                <w:szCs w:val="22"/>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482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201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b w:val="1"/>
                <w:bCs w:val="1"/>
                <w:color w:val="auto"/>
              </w:rPr>
              <w:t>689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b w:val="1"/>
                <w:bCs w:val="1"/>
                <w:color w:val="auto"/>
              </w:rPr>
              <w:t>27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716</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Auto parts revenues</w:t>
            </w:r>
          </w:p>
        </w:tc>
        <w:tc>
          <w:tcPr>
            <w:tcW w:w="2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300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300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300</w:t>
            </w:r>
          </w:p>
        </w:tc>
        <w:tc>
          <w:tcPr>
            <w:tcW w:w="0" w:type="dxa"/>
            <w:vAlign w:val="bottom"/>
          </w:tcPr>
          <w:p>
            <w:pPr>
              <w:spacing w:after="0"/>
              <w:rPr>
                <w:sz w:val="1"/>
                <w:szCs w:val="1"/>
                <w:color w:val="auto"/>
              </w:rPr>
            </w:pPr>
          </w:p>
        </w:tc>
      </w:tr>
      <w:tr>
        <w:trPr>
          <w:trHeight w:val="264"/>
        </w:trPr>
        <w:tc>
          <w:tcPr>
            <w:tcW w:w="23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Restaurant revenues</w:t>
            </w:r>
          </w:p>
        </w:tc>
        <w:tc>
          <w:tcPr>
            <w:tcW w:w="2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358</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358</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358</w:t>
            </w:r>
          </w:p>
        </w:tc>
        <w:tc>
          <w:tcPr>
            <w:tcW w:w="0" w:type="dxa"/>
            <w:vAlign w:val="bottom"/>
          </w:tcPr>
          <w:p>
            <w:pPr>
              <w:spacing w:after="0"/>
              <w:rPr>
                <w:sz w:val="1"/>
                <w:szCs w:val="1"/>
                <w:color w:val="auto"/>
              </w:rPr>
            </w:pPr>
          </w:p>
        </w:tc>
      </w:tr>
      <w:tr>
        <w:trPr>
          <w:trHeight w:val="256"/>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from external customers</w:t>
            </w:r>
          </w:p>
        </w:tc>
        <w:tc>
          <w:tcPr>
            <w:tcW w:w="20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1,433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201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1,640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300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358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685</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2,325</w:t>
            </w:r>
          </w:p>
        </w:tc>
        <w:tc>
          <w:tcPr>
            <w:tcW w:w="0" w:type="dxa"/>
            <w:vAlign w:val="bottom"/>
          </w:tcPr>
          <w:p>
            <w:pPr>
              <w:spacing w:after="0"/>
              <w:rPr>
                <w:sz w:val="1"/>
                <w:szCs w:val="1"/>
                <w:color w:val="auto"/>
              </w:rPr>
            </w:pPr>
          </w:p>
        </w:tc>
      </w:tr>
      <w:tr>
        <w:trPr>
          <w:trHeight w:val="157"/>
        </w:trPr>
        <w:tc>
          <w:tcPr>
            <w:tcW w:w="2300" w:type="dxa"/>
            <w:vAlign w:val="bottom"/>
          </w:tcPr>
          <w:p>
            <w:pPr>
              <w:ind w:left="40"/>
              <w:spacing w:after="0" w:line="157" w:lineRule="exact"/>
              <w:rPr>
                <w:sz w:val="20"/>
                <w:szCs w:val="20"/>
                <w:color w:val="auto"/>
              </w:rPr>
            </w:pPr>
            <w:r>
              <w:rPr>
                <w:rFonts w:ascii="Arial" w:cs="Arial" w:eastAsia="Arial" w:hAnsi="Arial"/>
                <w:sz w:val="14"/>
                <w:szCs w:val="14"/>
                <w:color w:val="auto"/>
                <w:w w:val="94"/>
              </w:rPr>
              <w:t>Interest and investment income (loss),</w:t>
            </w: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rPr>
              <w:t>33</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34</w:t>
            </w:r>
          </w:p>
        </w:tc>
        <w:tc>
          <w:tcPr>
            <w:tcW w:w="0" w:type="dxa"/>
            <w:vAlign w:val="bottom"/>
          </w:tcPr>
          <w:p>
            <w:pPr>
              <w:spacing w:after="0"/>
              <w:rPr>
                <w:sz w:val="1"/>
                <w:szCs w:val="1"/>
                <w:color w:val="auto"/>
              </w:rPr>
            </w:pPr>
          </w:p>
        </w:tc>
      </w:tr>
      <w:tr>
        <w:trPr>
          <w:trHeight w:val="188"/>
        </w:trPr>
        <w:tc>
          <w:tcPr>
            <w:tcW w:w="23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including realized gains and losses</w:t>
            </w: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33</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revenues</w:t>
            </w:r>
          </w:p>
        </w:tc>
        <w:tc>
          <w:tcPr>
            <w:tcW w:w="20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1,466</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201</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1,673</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301</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357</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686</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2,359</w:t>
            </w:r>
          </w:p>
        </w:tc>
        <w:tc>
          <w:tcPr>
            <w:tcW w:w="0" w:type="dxa"/>
            <w:vAlign w:val="bottom"/>
          </w:tcPr>
          <w:p>
            <w:pPr>
              <w:spacing w:after="0"/>
              <w:rPr>
                <w:sz w:val="1"/>
                <w:szCs w:val="1"/>
                <w:color w:val="auto"/>
              </w:rPr>
            </w:pPr>
          </w:p>
        </w:tc>
      </w:tr>
      <w:tr>
        <w:trPr>
          <w:trHeight w:val="250"/>
        </w:trPr>
        <w:tc>
          <w:tcPr>
            <w:tcW w:w="2300" w:type="dxa"/>
            <w:vAlign w:val="bottom"/>
          </w:tcPr>
          <w:p>
            <w:pPr>
              <w:ind w:left="40"/>
              <w:spacing w:after="0"/>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21"/>
                <w:szCs w:val="21"/>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b w:val="1"/>
                <w:bCs w:val="1"/>
                <w:color w:val="auto"/>
              </w:rPr>
              <w:t>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b w:val="1"/>
                <w:bCs w:val="1"/>
                <w:color w:val="auto"/>
              </w:rPr>
              <w:t>17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85</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2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31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38</w:t>
            </w:r>
          </w:p>
        </w:tc>
        <w:tc>
          <w:tcPr>
            <w:tcW w:w="0" w:type="dxa"/>
            <w:vAlign w:val="bottom"/>
          </w:tcPr>
          <w:p>
            <w:pPr>
              <w:spacing w:after="0"/>
              <w:rPr>
                <w:sz w:val="1"/>
                <w:szCs w:val="1"/>
                <w:color w:val="auto"/>
              </w:rPr>
            </w:pPr>
          </w:p>
        </w:tc>
      </w:tr>
      <w:tr>
        <w:trPr>
          <w:trHeight w:val="157"/>
        </w:trPr>
        <w:tc>
          <w:tcPr>
            <w:tcW w:w="2300" w:type="dxa"/>
            <w:vAlign w:val="bottom"/>
          </w:tcPr>
          <w:p>
            <w:pPr>
              <w:ind w:left="40"/>
              <w:spacing w:after="0" w:line="157" w:lineRule="exact"/>
              <w:rPr>
                <w:sz w:val="20"/>
                <w:szCs w:val="20"/>
                <w:color w:val="auto"/>
              </w:rPr>
            </w:pPr>
            <w:r>
              <w:rPr>
                <w:rFonts w:ascii="Arial" w:cs="Arial" w:eastAsia="Arial" w:hAnsi="Arial"/>
                <w:sz w:val="14"/>
                <w:szCs w:val="14"/>
                <w:color w:val="auto"/>
              </w:rPr>
              <w:t>Earnings (loss) from continuing</w:t>
            </w: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40"/>
              <w:spacing w:after="0" w:line="149" w:lineRule="exact"/>
              <w:rPr>
                <w:sz w:val="20"/>
                <w:szCs w:val="20"/>
                <w:color w:val="auto"/>
              </w:rPr>
            </w:pPr>
            <w:r>
              <w:rPr>
                <w:rFonts w:ascii="Arial" w:cs="Arial" w:eastAsia="Arial" w:hAnsi="Arial"/>
                <w:sz w:val="14"/>
                <w:szCs w:val="14"/>
                <w:color w:val="auto"/>
                <w:w w:val="98"/>
              </w:rPr>
              <w:t>operations, before income taxes and</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40"/>
              <w:spacing w:after="0" w:line="149" w:lineRule="exact"/>
              <w:rPr>
                <w:sz w:val="20"/>
                <w:szCs w:val="20"/>
                <w:color w:val="auto"/>
              </w:rPr>
            </w:pPr>
            <w:r>
              <w:rPr>
                <w:rFonts w:ascii="Arial" w:cs="Arial" w:eastAsia="Arial" w:hAnsi="Arial"/>
                <w:sz w:val="14"/>
                <w:szCs w:val="14"/>
                <w:color w:val="auto"/>
              </w:rPr>
              <w:t>equity in earnings (loss) of</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rPr>
              <w:t>152</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16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168</w:t>
            </w:r>
          </w:p>
        </w:tc>
        <w:tc>
          <w:tcPr>
            <w:tcW w:w="0" w:type="dxa"/>
            <w:vAlign w:val="bottom"/>
          </w:tcPr>
          <w:p>
            <w:pPr>
              <w:spacing w:after="0"/>
              <w:rPr>
                <w:sz w:val="1"/>
                <w:szCs w:val="1"/>
                <w:color w:val="auto"/>
              </w:rPr>
            </w:pPr>
          </w:p>
        </w:tc>
      </w:tr>
      <w:tr>
        <w:trPr>
          <w:trHeight w:val="188"/>
        </w:trPr>
        <w:tc>
          <w:tcPr>
            <w:tcW w:w="2300" w:type="dxa"/>
            <w:vAlign w:val="bottom"/>
          </w:tcPr>
          <w:p>
            <w:pPr>
              <w:ind w:left="40"/>
              <w:spacing w:after="0"/>
              <w:rPr>
                <w:sz w:val="20"/>
                <w:szCs w:val="20"/>
                <w:color w:val="auto"/>
              </w:rPr>
            </w:pPr>
            <w:r>
              <w:rPr>
                <w:rFonts w:ascii="Arial" w:cs="Arial" w:eastAsia="Arial" w:hAnsi="Arial"/>
                <w:sz w:val="14"/>
                <w:szCs w:val="14"/>
                <w:color w:val="auto"/>
              </w:rPr>
              <w:t>unconsolidated affiliates</w:t>
            </w:r>
          </w:p>
        </w:tc>
        <w:tc>
          <w:tcPr>
            <w:tcW w:w="200" w:type="dxa"/>
            <w:vAlign w:val="bottom"/>
          </w:tcPr>
          <w:p>
            <w:pPr>
              <w:spacing w:after="0"/>
              <w:rPr>
                <w:sz w:val="16"/>
                <w:szCs w:val="16"/>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181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expense (benefit)</w:t>
            </w: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56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57</w:t>
            </w:r>
          </w:p>
        </w:tc>
        <w:tc>
          <w:tcPr>
            <w:tcW w:w="0" w:type="dxa"/>
            <w:vAlign w:val="bottom"/>
          </w:tcPr>
          <w:p>
            <w:pPr>
              <w:spacing w:after="0"/>
              <w:rPr>
                <w:sz w:val="1"/>
                <w:szCs w:val="1"/>
                <w:color w:val="auto"/>
              </w:rPr>
            </w:pPr>
          </w:p>
        </w:tc>
      </w:tr>
      <w:tr>
        <w:trPr>
          <w:trHeight w:val="137"/>
        </w:trPr>
        <w:tc>
          <w:tcPr>
            <w:tcW w:w="2300" w:type="dxa"/>
            <w:vAlign w:val="bottom"/>
          </w:tcPr>
          <w:p>
            <w:pPr>
              <w:ind w:left="40"/>
              <w:spacing w:after="0" w:line="137" w:lineRule="exact"/>
              <w:rPr>
                <w:sz w:val="20"/>
                <w:szCs w:val="20"/>
                <w:color w:val="auto"/>
              </w:rPr>
            </w:pPr>
            <w:r>
              <w:rPr>
                <w:rFonts w:ascii="Arial" w:cs="Arial" w:eastAsia="Arial" w:hAnsi="Arial"/>
                <w:sz w:val="14"/>
                <w:szCs w:val="14"/>
                <w:color w:val="auto"/>
              </w:rPr>
              <w:t>Earnings (loss) from continuing</w:t>
            </w:r>
          </w:p>
        </w:tc>
        <w:tc>
          <w:tcPr>
            <w:tcW w:w="2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40"/>
              <w:spacing w:after="0" w:line="149" w:lineRule="exact"/>
              <w:rPr>
                <w:sz w:val="20"/>
                <w:szCs w:val="20"/>
                <w:color w:val="auto"/>
              </w:rPr>
            </w:pPr>
            <w:r>
              <w:rPr>
                <w:rFonts w:ascii="Arial" w:cs="Arial" w:eastAsia="Arial" w:hAnsi="Arial"/>
                <w:sz w:val="14"/>
                <w:szCs w:val="14"/>
                <w:color w:val="auto"/>
                <w:w w:val="98"/>
              </w:rPr>
              <w:t>operations, before equity in earnings</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rPr>
              <w:t>96</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15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111</w:t>
            </w:r>
          </w:p>
        </w:tc>
        <w:tc>
          <w:tcPr>
            <w:tcW w:w="0" w:type="dxa"/>
            <w:vAlign w:val="bottom"/>
          </w:tcPr>
          <w:p>
            <w:pPr>
              <w:spacing w:after="0"/>
              <w:rPr>
                <w:sz w:val="1"/>
                <w:szCs w:val="1"/>
                <w:color w:val="auto"/>
              </w:rPr>
            </w:pPr>
          </w:p>
        </w:tc>
      </w:tr>
      <w:tr>
        <w:trPr>
          <w:trHeight w:val="188"/>
        </w:trPr>
        <w:tc>
          <w:tcPr>
            <w:tcW w:w="2300" w:type="dxa"/>
            <w:vAlign w:val="bottom"/>
          </w:tcPr>
          <w:p>
            <w:pPr>
              <w:ind w:left="40"/>
              <w:spacing w:after="0"/>
              <w:rPr>
                <w:sz w:val="20"/>
                <w:szCs w:val="20"/>
                <w:color w:val="auto"/>
              </w:rPr>
            </w:pPr>
            <w:r>
              <w:rPr>
                <w:rFonts w:ascii="Arial" w:cs="Arial" w:eastAsia="Arial" w:hAnsi="Arial"/>
                <w:sz w:val="14"/>
                <w:szCs w:val="14"/>
                <w:color w:val="auto"/>
              </w:rPr>
              <w:t>(loss) of unconsolidated affiliates</w:t>
            </w:r>
          </w:p>
        </w:tc>
        <w:tc>
          <w:tcPr>
            <w:tcW w:w="200" w:type="dxa"/>
            <w:vAlign w:val="bottom"/>
          </w:tcPr>
          <w:p>
            <w:pPr>
              <w:spacing w:after="0"/>
              <w:rPr>
                <w:sz w:val="16"/>
                <w:szCs w:val="16"/>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130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earnings (loss) of</w:t>
            </w: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2</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(7)</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w:t>
            </w:r>
          </w:p>
        </w:tc>
        <w:tc>
          <w:tcPr>
            <w:tcW w:w="0" w:type="dxa"/>
            <w:vAlign w:val="bottom"/>
          </w:tcPr>
          <w:p>
            <w:pPr>
              <w:spacing w:after="0"/>
              <w:rPr>
                <w:sz w:val="1"/>
                <w:szCs w:val="1"/>
                <w:color w:val="auto"/>
              </w:rPr>
            </w:pPr>
          </w:p>
        </w:tc>
      </w:tr>
      <w:tr>
        <w:trPr>
          <w:trHeight w:val="194"/>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unconsolidated affiliates</w:t>
            </w:r>
          </w:p>
        </w:tc>
        <w:tc>
          <w:tcPr>
            <w:tcW w:w="2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300" w:type="dxa"/>
            <w:vAlign w:val="bottom"/>
          </w:tcPr>
          <w:p>
            <w:pPr>
              <w:ind w:left="40"/>
              <w:spacing w:after="0" w:line="137" w:lineRule="exact"/>
              <w:rPr>
                <w:sz w:val="20"/>
                <w:szCs w:val="20"/>
                <w:color w:val="auto"/>
              </w:rPr>
            </w:pPr>
            <w:r>
              <w:rPr>
                <w:rFonts w:ascii="Arial" w:cs="Arial" w:eastAsia="Arial" w:hAnsi="Arial"/>
                <w:sz w:val="14"/>
                <w:szCs w:val="14"/>
                <w:color w:val="auto"/>
              </w:rPr>
              <w:t>Earnings (loss) from continuing</w:t>
            </w: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49"/>
              <w:spacing w:after="0"/>
              <w:rPr>
                <w:sz w:val="20"/>
                <w:szCs w:val="20"/>
                <w:color w:val="auto"/>
              </w:rPr>
            </w:pPr>
            <w:r>
              <w:rPr>
                <w:rFonts w:ascii="Arial" w:cs="Arial" w:eastAsia="Arial" w:hAnsi="Arial"/>
                <w:sz w:val="14"/>
                <w:szCs w:val="14"/>
                <w:color w:val="auto"/>
              </w:rPr>
              <w:t>131</w:t>
            </w:r>
          </w:p>
        </w:tc>
        <w:tc>
          <w:tcPr>
            <w:tcW w:w="120" w:type="dxa"/>
            <w:vAlign w:val="bottom"/>
          </w:tcPr>
          <w:p>
            <w:pPr>
              <w:spacing w:after="0"/>
              <w:rPr>
                <w:sz w:val="11"/>
                <w:szCs w:val="11"/>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49"/>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1"/>
                <w:szCs w:val="11"/>
                <w:color w:val="auto"/>
              </w:rPr>
            </w:pPr>
          </w:p>
        </w:tc>
        <w:tc>
          <w:tcPr>
            <w:tcW w:w="1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9"/>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rPr>
              <w:t>98</w:t>
            </w:r>
          </w:p>
        </w:tc>
        <w:tc>
          <w:tcPr>
            <w:tcW w:w="120" w:type="dxa"/>
            <w:vAlign w:val="bottom"/>
          </w:tcPr>
          <w:p>
            <w:pPr>
              <w:spacing w:after="0"/>
              <w:rPr>
                <w:sz w:val="11"/>
                <w:szCs w:val="11"/>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29"/>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29"/>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8</w:t>
            </w:r>
          </w:p>
        </w:tc>
        <w:tc>
          <w:tcPr>
            <w:tcW w:w="12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106</w:t>
            </w:r>
          </w:p>
        </w:tc>
        <w:tc>
          <w:tcPr>
            <w:tcW w:w="0" w:type="dxa"/>
            <w:vAlign w:val="bottom"/>
          </w:tcPr>
          <w:p>
            <w:pPr>
              <w:spacing w:after="0"/>
              <w:rPr>
                <w:sz w:val="1"/>
                <w:szCs w:val="1"/>
                <w:color w:val="auto"/>
              </w:rPr>
            </w:pPr>
          </w:p>
        </w:tc>
      </w:tr>
      <w:tr>
        <w:trPr>
          <w:trHeight w:val="221"/>
        </w:trPr>
        <w:tc>
          <w:tcPr>
            <w:tcW w:w="2300" w:type="dxa"/>
            <w:vAlign w:val="bottom"/>
          </w:tcPr>
          <w:p>
            <w:pPr>
              <w:ind w:left="40"/>
              <w:spacing w:after="0"/>
              <w:rPr>
                <w:sz w:val="20"/>
                <w:szCs w:val="20"/>
                <w:color w:val="auto"/>
              </w:rPr>
            </w:pPr>
            <w:r>
              <w:rPr>
                <w:rFonts w:ascii="Arial" w:cs="Arial" w:eastAsia="Arial" w:hAnsi="Arial"/>
                <w:sz w:val="14"/>
                <w:szCs w:val="14"/>
                <w:color w:val="auto"/>
              </w:rPr>
              <w:t>operations</w:t>
            </w:r>
          </w:p>
        </w:tc>
        <w:tc>
          <w:tcPr>
            <w:tcW w:w="20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5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8,357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3,596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149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12,102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1,314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688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772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2,774</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14,843</w:t>
            </w:r>
          </w:p>
        </w:tc>
        <w:tc>
          <w:tcPr>
            <w:tcW w:w="0" w:type="dxa"/>
            <w:vAlign w:val="bottom"/>
          </w:tcPr>
          <w:p>
            <w:pPr>
              <w:spacing w:after="0"/>
              <w:rPr>
                <w:sz w:val="1"/>
                <w:szCs w:val="1"/>
                <w:color w:val="auto"/>
              </w:rPr>
            </w:pPr>
          </w:p>
        </w:tc>
      </w:tr>
      <w:tr>
        <w:trPr>
          <w:trHeight w:val="258"/>
        </w:trPr>
        <w:tc>
          <w:tcPr>
            <w:tcW w:w="2300" w:type="dxa"/>
            <w:vAlign w:val="bottom"/>
          </w:tcPr>
          <w:p>
            <w:pPr>
              <w:ind w:left="40"/>
              <w:spacing w:after="0"/>
              <w:rPr>
                <w:sz w:val="20"/>
                <w:szCs w:val="20"/>
                <w:color w:val="auto"/>
              </w:rPr>
            </w:pPr>
            <w:r>
              <w:rPr>
                <w:rFonts w:ascii="Arial" w:cs="Arial" w:eastAsia="Arial" w:hAnsi="Arial"/>
                <w:sz w:val="14"/>
                <w:szCs w:val="14"/>
                <w:color w:val="auto"/>
              </w:rPr>
              <w:t>Goodwill</w:t>
            </w:r>
          </w:p>
        </w:tc>
        <w:tc>
          <w:tcPr>
            <w:tcW w:w="200" w:type="dxa"/>
            <w:vAlign w:val="bottom"/>
          </w:tcPr>
          <w:p>
            <w:pPr>
              <w:spacing w:after="0"/>
              <w:rPr>
                <w:sz w:val="22"/>
                <w:szCs w:val="22"/>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2,257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2,180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b w:val="1"/>
                <w:bCs w:val="1"/>
                <w:color w:val="auto"/>
              </w:rPr>
              <w:t>4,441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262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118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b w:val="1"/>
                <w:bCs w:val="1"/>
                <w:color w:val="auto"/>
              </w:rPr>
              <w:t>476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4,917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three months ended June 30, 2013:</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0"/>
              </w:rPr>
              <w:t>Total FNF</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color w:val="auto"/>
                <w:w w:val="94"/>
              </w:rPr>
              <w:t>FNFV</w:t>
            </w:r>
          </w:p>
        </w:tc>
        <w:tc>
          <w:tcPr>
            <w:tcW w:w="100" w:type="dxa"/>
            <w:vAlign w:val="bottom"/>
          </w:tcPr>
          <w:p>
            <w:pPr>
              <w:spacing w:after="0"/>
              <w:rPr>
                <w:sz w:val="13"/>
                <w:szCs w:val="13"/>
                <w:color w:val="auto"/>
              </w:rPr>
            </w:pPr>
          </w:p>
        </w:tc>
        <w:tc>
          <w:tcPr>
            <w:tcW w:w="56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9"/>
              </w:rPr>
              <w:t>Total</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ind w:left="20"/>
              <w:spacing w:after="0" w:line="131" w:lineRule="exact"/>
              <w:rPr>
                <w:sz w:val="20"/>
                <w:szCs w:val="20"/>
                <w:color w:val="auto"/>
              </w:rPr>
            </w:pPr>
            <w:r>
              <w:rPr>
                <w:rFonts w:ascii="Arial" w:cs="Arial" w:eastAsia="Arial" w:hAnsi="Arial"/>
                <w:sz w:val="13"/>
                <w:szCs w:val="13"/>
                <w:color w:val="auto"/>
              </w:rPr>
              <w:t>FNF Corporate</w:t>
            </w:r>
          </w:p>
        </w:tc>
        <w:tc>
          <w:tcPr>
            <w:tcW w:w="1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240"/>
              <w:spacing w:after="0" w:line="131" w:lineRule="exact"/>
              <w:rPr>
                <w:sz w:val="20"/>
                <w:szCs w:val="20"/>
                <w:color w:val="auto"/>
              </w:rPr>
            </w:pPr>
            <w:r>
              <w:rPr>
                <w:rFonts w:ascii="Arial" w:cs="Arial" w:eastAsia="Arial" w:hAnsi="Arial"/>
                <w:sz w:val="13"/>
                <w:szCs w:val="13"/>
                <w:color w:val="auto"/>
                <w:w w:val="84"/>
              </w:rPr>
              <w:t>Restaurant</w:t>
            </w:r>
          </w:p>
        </w:tc>
        <w:tc>
          <w:tcPr>
            <w:tcW w:w="120" w:type="dxa"/>
            <w:vAlign w:val="bottom"/>
          </w:tcPr>
          <w:p>
            <w:pPr>
              <w:spacing w:after="0"/>
              <w:rPr>
                <w:sz w:val="11"/>
                <w:szCs w:val="11"/>
                <w:color w:val="auto"/>
              </w:rPr>
            </w:pPr>
          </w:p>
        </w:tc>
        <w:tc>
          <w:tcPr>
            <w:tcW w:w="780" w:type="dxa"/>
            <w:vAlign w:val="bottom"/>
            <w:gridSpan w:val="2"/>
          </w:tcPr>
          <w:p>
            <w:pPr>
              <w:jc w:val="center"/>
              <w:ind w:right="240"/>
              <w:spacing w:after="0" w:line="131" w:lineRule="exact"/>
              <w:rPr>
                <w:sz w:val="20"/>
                <w:szCs w:val="20"/>
                <w:color w:val="auto"/>
              </w:rPr>
            </w:pPr>
            <w:r>
              <w:rPr>
                <w:rFonts w:ascii="Arial" w:cs="Arial" w:eastAsia="Arial" w:hAnsi="Arial"/>
                <w:sz w:val="13"/>
                <w:szCs w:val="13"/>
                <w:color w:val="auto"/>
                <w:w w:val="86"/>
              </w:rPr>
              <w:t>Corporate</w:t>
            </w:r>
          </w:p>
        </w:tc>
        <w:tc>
          <w:tcPr>
            <w:tcW w:w="10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33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color w:val="auto"/>
              </w:rPr>
              <w:t>Title</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color w:val="auto"/>
              </w:rPr>
              <w:t>and Other</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7"/>
              </w:rPr>
              <w:t>Core</w:t>
            </w: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color w:val="auto"/>
              </w:rPr>
              <w:t>Remy</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color w:val="auto"/>
                <w:w w:val="93"/>
              </w:rPr>
              <w:t>Group</w:t>
            </w: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color w:val="auto"/>
                <w:w w:val="86"/>
              </w:rPr>
              <w:t>and Other</w:t>
            </w: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rPr>
              <w:t>FNFV</w:t>
            </w: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color w:val="auto"/>
              </w:rPr>
              <w:t>Eliminations</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1"/>
        </w:trPr>
        <w:tc>
          <w:tcPr>
            <w:tcW w:w="3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00" w:type="dxa"/>
            <w:vAlign w:val="bottom"/>
            <w:gridSpan w:val="4"/>
          </w:tcPr>
          <w:p>
            <w:pPr>
              <w:ind w:left="80"/>
              <w:spacing w:after="0"/>
              <w:rPr>
                <w:sz w:val="20"/>
                <w:szCs w:val="20"/>
                <w:color w:val="auto"/>
              </w:rPr>
            </w:pPr>
            <w:r>
              <w:rPr>
                <w:rFonts w:ascii="Arial" w:cs="Arial" w:eastAsia="Arial" w:hAnsi="Arial"/>
                <w:sz w:val="13"/>
                <w:szCs w:val="13"/>
                <w:b w:val="1"/>
                <w:bCs w:val="1"/>
                <w:color w:val="auto"/>
              </w:rPr>
              <w:t>(In millions)</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Title premiums</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1,117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1,117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1,117</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Other revenues</w:t>
            </w:r>
          </w:p>
        </w:tc>
        <w:tc>
          <w:tcPr>
            <w:tcW w:w="180" w:type="dxa"/>
            <w:vAlign w:val="bottom"/>
          </w:tcPr>
          <w:p>
            <w:pPr>
              <w:spacing w:after="0"/>
              <w:rPr>
                <w:sz w:val="22"/>
                <w:szCs w:val="22"/>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451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b w:val="1"/>
                <w:bCs w:val="1"/>
                <w:color w:val="auto"/>
              </w:rPr>
              <w:t>468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ind w:right="29"/>
              <w:spacing w:after="0"/>
              <w:rPr>
                <w:sz w:val="20"/>
                <w:szCs w:val="20"/>
                <w:color w:val="auto"/>
              </w:rPr>
            </w:pPr>
            <w:r>
              <w:rPr>
                <w:rFonts w:ascii="Arial" w:cs="Arial" w:eastAsia="Arial" w:hAnsi="Arial"/>
                <w:sz w:val="14"/>
                <w:szCs w:val="14"/>
                <w:b w:val="1"/>
                <w:bCs w:val="1"/>
                <w:color w:val="auto"/>
              </w:rPr>
              <w:t>21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489</w:t>
            </w: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Auto parts revenues</w:t>
            </w:r>
          </w:p>
        </w:tc>
        <w:tc>
          <w:tcPr>
            <w:tcW w:w="18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284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284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284</w:t>
            </w: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Restaurant revenues</w:t>
            </w: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347</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347</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347</w:t>
            </w:r>
          </w:p>
        </w:tc>
        <w:tc>
          <w:tcPr>
            <w:tcW w:w="0" w:type="dxa"/>
            <w:vAlign w:val="bottom"/>
          </w:tcPr>
          <w:p>
            <w:pPr>
              <w:spacing w:after="0"/>
              <w:rPr>
                <w:sz w:val="1"/>
                <w:szCs w:val="1"/>
                <w:color w:val="auto"/>
              </w:rPr>
            </w:pPr>
          </w:p>
        </w:tc>
      </w:tr>
      <w:tr>
        <w:trPr>
          <w:trHeight w:val="25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from external customers</w:t>
            </w: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1,568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1,585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284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347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652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2,237</w:t>
            </w:r>
          </w:p>
        </w:tc>
        <w:tc>
          <w:tcPr>
            <w:tcW w:w="0" w:type="dxa"/>
            <w:vAlign w:val="bottom"/>
          </w:tcPr>
          <w:p>
            <w:pPr>
              <w:spacing w:after="0"/>
              <w:rPr>
                <w:sz w:val="1"/>
                <w:szCs w:val="1"/>
                <w:color w:val="auto"/>
              </w:rPr>
            </w:pPr>
          </w:p>
        </w:tc>
      </w:tr>
      <w:tr>
        <w:trPr>
          <w:trHeight w:val="157"/>
        </w:trPr>
        <w:tc>
          <w:tcPr>
            <w:tcW w:w="3340" w:type="dxa"/>
            <w:vAlign w:val="bottom"/>
          </w:tcPr>
          <w:p>
            <w:pPr>
              <w:ind w:left="40"/>
              <w:spacing w:after="0" w:line="157" w:lineRule="exact"/>
              <w:rPr>
                <w:sz w:val="20"/>
                <w:szCs w:val="20"/>
                <w:color w:val="auto"/>
              </w:rPr>
            </w:pPr>
            <w:r>
              <w:rPr>
                <w:rFonts w:ascii="Arial" w:cs="Arial" w:eastAsia="Arial" w:hAnsi="Arial"/>
                <w:sz w:val="14"/>
                <w:szCs w:val="14"/>
                <w:color w:val="auto"/>
                <w:w w:val="94"/>
              </w:rPr>
              <w:t>Interest and investment income (loss), including realized</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rPr>
              <w:t>44</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42</w:t>
            </w:r>
          </w:p>
        </w:tc>
        <w:tc>
          <w:tcPr>
            <w:tcW w:w="0" w:type="dxa"/>
            <w:vAlign w:val="bottom"/>
          </w:tcPr>
          <w:p>
            <w:pPr>
              <w:spacing w:after="0"/>
              <w:rPr>
                <w:sz w:val="1"/>
                <w:szCs w:val="1"/>
                <w:color w:val="auto"/>
              </w:rPr>
            </w:pPr>
          </w:p>
        </w:tc>
      </w:tr>
      <w:tr>
        <w:trPr>
          <w:trHeight w:val="188"/>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gains and losses</w:t>
            </w: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43</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revenues</w:t>
            </w:r>
          </w:p>
        </w:tc>
        <w:tc>
          <w:tcPr>
            <w:tcW w:w="1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1,611</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1,629</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280</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347</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650</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2,279</w:t>
            </w:r>
          </w:p>
        </w:tc>
        <w:tc>
          <w:tcPr>
            <w:tcW w:w="0" w:type="dxa"/>
            <w:vAlign w:val="bottom"/>
          </w:tcPr>
          <w:p>
            <w:pPr>
              <w:spacing w:after="0"/>
              <w:rPr>
                <w:sz w:val="1"/>
                <w:szCs w:val="1"/>
                <w:color w:val="auto"/>
              </w:rPr>
            </w:pPr>
          </w:p>
        </w:tc>
      </w:tr>
      <w:tr>
        <w:trPr>
          <w:trHeight w:val="250"/>
        </w:trPr>
        <w:tc>
          <w:tcPr>
            <w:tcW w:w="3340" w:type="dxa"/>
            <w:vAlign w:val="bottom"/>
          </w:tcPr>
          <w:p>
            <w:pPr>
              <w:ind w:left="40"/>
              <w:spacing w:after="0"/>
              <w:rPr>
                <w:sz w:val="20"/>
                <w:szCs w:val="20"/>
                <w:color w:val="auto"/>
              </w:rPr>
            </w:pPr>
            <w:r>
              <w:rPr>
                <w:rFonts w:ascii="Arial" w:cs="Arial" w:eastAsia="Arial" w:hAnsi="Arial"/>
                <w:sz w:val="14"/>
                <w:szCs w:val="14"/>
                <w:color w:val="auto"/>
              </w:rPr>
              <w:t>Depreciation and amortization</w:t>
            </w:r>
          </w:p>
        </w:tc>
        <w:tc>
          <w:tcPr>
            <w:tcW w:w="180" w:type="dxa"/>
            <w:vAlign w:val="bottom"/>
          </w:tcPr>
          <w:p>
            <w:pPr>
              <w:spacing w:after="0"/>
              <w:rPr>
                <w:sz w:val="21"/>
                <w:szCs w:val="21"/>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b w:val="1"/>
                <w:bCs w:val="1"/>
                <w:color w:val="auto"/>
              </w:rPr>
              <w:t>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29"/>
              <w:spacing w:after="0"/>
              <w:rPr>
                <w:sz w:val="20"/>
                <w:szCs w:val="20"/>
                <w:color w:val="auto"/>
              </w:rPr>
            </w:pPr>
            <w:r>
              <w:rPr>
                <w:rFonts w:ascii="Arial" w:cs="Arial" w:eastAsia="Arial" w:hAnsi="Arial"/>
                <w:sz w:val="14"/>
                <w:szCs w:val="14"/>
                <w:b w:val="1"/>
                <w:bCs w:val="1"/>
                <w:color w:val="auto"/>
              </w:rPr>
              <w:t>18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35</w:t>
            </w: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18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21</w:t>
            </w:r>
          </w:p>
        </w:tc>
        <w:tc>
          <w:tcPr>
            <w:tcW w:w="0" w:type="dxa"/>
            <w:vAlign w:val="bottom"/>
          </w:tcPr>
          <w:p>
            <w:pPr>
              <w:spacing w:after="0"/>
              <w:rPr>
                <w:sz w:val="1"/>
                <w:szCs w:val="1"/>
                <w:color w:val="auto"/>
              </w:rPr>
            </w:pPr>
          </w:p>
        </w:tc>
      </w:tr>
      <w:tr>
        <w:trPr>
          <w:trHeight w:val="157"/>
        </w:trPr>
        <w:tc>
          <w:tcPr>
            <w:tcW w:w="3340" w:type="dxa"/>
            <w:vAlign w:val="bottom"/>
          </w:tcPr>
          <w:p>
            <w:pPr>
              <w:ind w:left="40"/>
              <w:spacing w:after="0" w:line="157" w:lineRule="exact"/>
              <w:rPr>
                <w:sz w:val="20"/>
                <w:szCs w:val="20"/>
                <w:color w:val="auto"/>
              </w:rPr>
            </w:pPr>
            <w:r>
              <w:rPr>
                <w:rFonts w:ascii="Arial" w:cs="Arial" w:eastAsia="Arial" w:hAnsi="Arial"/>
                <w:sz w:val="14"/>
                <w:szCs w:val="14"/>
                <w:color w:val="auto"/>
              </w:rPr>
              <w:t>Earnings (loss) from continuing operations, before</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40" w:type="dxa"/>
            <w:vAlign w:val="bottom"/>
          </w:tcPr>
          <w:p>
            <w:pPr>
              <w:ind w:left="40"/>
              <w:spacing w:after="0" w:line="149" w:lineRule="exact"/>
              <w:rPr>
                <w:sz w:val="20"/>
                <w:szCs w:val="20"/>
                <w:color w:val="auto"/>
              </w:rPr>
            </w:pPr>
            <w:r>
              <w:rPr>
                <w:rFonts w:ascii="Arial" w:cs="Arial" w:eastAsia="Arial" w:hAnsi="Arial"/>
                <w:sz w:val="14"/>
                <w:szCs w:val="14"/>
                <w:color w:val="auto"/>
              </w:rPr>
              <w:t>income taxes and equity in earnings (loss) of</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rPr>
              <w:t>223</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223</w:t>
            </w:r>
          </w:p>
        </w:tc>
        <w:tc>
          <w:tcPr>
            <w:tcW w:w="0" w:type="dxa"/>
            <w:vAlign w:val="bottom"/>
          </w:tcPr>
          <w:p>
            <w:pPr>
              <w:spacing w:after="0"/>
              <w:rPr>
                <w:sz w:val="1"/>
                <w:szCs w:val="1"/>
                <w:color w:val="auto"/>
              </w:rPr>
            </w:pPr>
          </w:p>
        </w:tc>
      </w:tr>
      <w:tr>
        <w:trPr>
          <w:trHeight w:val="188"/>
        </w:trPr>
        <w:tc>
          <w:tcPr>
            <w:tcW w:w="3340" w:type="dxa"/>
            <w:vAlign w:val="bottom"/>
          </w:tcPr>
          <w:p>
            <w:pPr>
              <w:ind w:left="40"/>
              <w:spacing w:after="0"/>
              <w:rPr>
                <w:sz w:val="20"/>
                <w:szCs w:val="20"/>
                <w:color w:val="auto"/>
              </w:rPr>
            </w:pPr>
            <w:r>
              <w:rPr>
                <w:rFonts w:ascii="Arial" w:cs="Arial" w:eastAsia="Arial" w:hAnsi="Arial"/>
                <w:sz w:val="14"/>
                <w:szCs w:val="14"/>
                <w:color w:val="auto"/>
              </w:rPr>
              <w:t>unconsolidated affiliates</w:t>
            </w:r>
          </w:p>
        </w:tc>
        <w:tc>
          <w:tcPr>
            <w:tcW w:w="180" w:type="dxa"/>
            <w:vAlign w:val="bottom"/>
          </w:tcPr>
          <w:p>
            <w:pPr>
              <w:spacing w:after="0"/>
              <w:rPr>
                <w:sz w:val="16"/>
                <w:szCs w:val="16"/>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273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expense (benefit)</w:t>
            </w: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82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72</w:t>
            </w:r>
          </w:p>
        </w:tc>
        <w:tc>
          <w:tcPr>
            <w:tcW w:w="0" w:type="dxa"/>
            <w:vAlign w:val="bottom"/>
          </w:tcPr>
          <w:p>
            <w:pPr>
              <w:spacing w:after="0"/>
              <w:rPr>
                <w:sz w:val="1"/>
                <w:szCs w:val="1"/>
                <w:color w:val="auto"/>
              </w:rPr>
            </w:pPr>
          </w:p>
        </w:tc>
      </w:tr>
      <w:tr>
        <w:trPr>
          <w:trHeight w:val="137"/>
        </w:trPr>
        <w:tc>
          <w:tcPr>
            <w:tcW w:w="3340" w:type="dxa"/>
            <w:vAlign w:val="bottom"/>
          </w:tcPr>
          <w:p>
            <w:pPr>
              <w:ind w:left="40"/>
              <w:spacing w:after="0" w:line="137" w:lineRule="exact"/>
              <w:rPr>
                <w:sz w:val="20"/>
                <w:szCs w:val="20"/>
                <w:color w:val="auto"/>
              </w:rPr>
            </w:pPr>
            <w:r>
              <w:rPr>
                <w:rFonts w:ascii="Arial" w:cs="Arial" w:eastAsia="Arial" w:hAnsi="Arial"/>
                <w:sz w:val="14"/>
                <w:szCs w:val="14"/>
                <w:color w:val="auto"/>
              </w:rPr>
              <w:t>Earnings (loss) from continuing operations, before</w:t>
            </w:r>
          </w:p>
        </w:tc>
        <w:tc>
          <w:tcPr>
            <w:tcW w:w="1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vMerge w:val="restart"/>
          </w:tcPr>
          <w:p>
            <w:pPr>
              <w:jc w:val="right"/>
              <w:ind w:right="49"/>
              <w:spacing w:after="0"/>
              <w:rPr>
                <w:sz w:val="20"/>
                <w:szCs w:val="20"/>
                <w:color w:val="auto"/>
              </w:rPr>
            </w:pPr>
            <w:r>
              <w:rPr>
                <w:rFonts w:ascii="Arial" w:cs="Arial" w:eastAsia="Arial" w:hAnsi="Arial"/>
                <w:sz w:val="14"/>
                <w:szCs w:val="14"/>
                <w:b w:val="1"/>
                <w:bCs w:val="1"/>
                <w:color w:val="auto"/>
              </w:rPr>
              <w:t>141</w:t>
            </w: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b w:val="1"/>
                <w:bCs w:val="1"/>
                <w:color w:val="auto"/>
              </w:rPr>
              <w:t>10</w:t>
            </w: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b w:val="1"/>
                <w:bCs w:val="1"/>
                <w:color w:val="auto"/>
              </w:rPr>
              <w:t>151</w:t>
            </w:r>
          </w:p>
        </w:tc>
        <w:tc>
          <w:tcPr>
            <w:tcW w:w="0" w:type="dxa"/>
            <w:vAlign w:val="bottom"/>
          </w:tcPr>
          <w:p>
            <w:pPr>
              <w:spacing w:after="0"/>
              <w:rPr>
                <w:sz w:val="1"/>
                <w:szCs w:val="1"/>
                <w:color w:val="auto"/>
              </w:rPr>
            </w:pPr>
          </w:p>
        </w:tc>
      </w:tr>
      <w:tr>
        <w:trPr>
          <w:trHeight w:val="188"/>
        </w:trPr>
        <w:tc>
          <w:tcPr>
            <w:tcW w:w="3340" w:type="dxa"/>
            <w:vAlign w:val="bottom"/>
          </w:tcPr>
          <w:p>
            <w:pPr>
              <w:ind w:left="40"/>
              <w:spacing w:after="0"/>
              <w:rPr>
                <w:sz w:val="20"/>
                <w:szCs w:val="20"/>
                <w:color w:val="auto"/>
              </w:rPr>
            </w:pPr>
            <w:r>
              <w:rPr>
                <w:rFonts w:ascii="Arial" w:cs="Arial" w:eastAsia="Arial" w:hAnsi="Arial"/>
                <w:sz w:val="14"/>
                <w:szCs w:val="14"/>
                <w:color w:val="auto"/>
              </w:rPr>
              <w:t>equity in earnings (loss) of unconsolidated affiliates</w:t>
            </w:r>
          </w:p>
        </w:tc>
        <w:tc>
          <w:tcPr>
            <w:tcW w:w="180" w:type="dxa"/>
            <w:vAlign w:val="bottom"/>
          </w:tcPr>
          <w:p>
            <w:pPr>
              <w:spacing w:after="0"/>
              <w:rPr>
                <w:sz w:val="16"/>
                <w:szCs w:val="16"/>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174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earnings (loss) of unconsolidated affiliates</w:t>
            </w:r>
          </w:p>
        </w:tc>
        <w:tc>
          <w:tcPr>
            <w:tcW w:w="1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2</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283"/>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Earnings (loss) from continuing operations</w:t>
            </w: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176</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(33)</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143</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5</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148</w:t>
            </w:r>
          </w:p>
        </w:tc>
        <w:tc>
          <w:tcPr>
            <w:tcW w:w="0" w:type="dxa"/>
            <w:vAlign w:val="bottom"/>
          </w:tcPr>
          <w:p>
            <w:pPr>
              <w:spacing w:after="0"/>
              <w:rPr>
                <w:sz w:val="1"/>
                <w:szCs w:val="1"/>
                <w:color w:val="auto"/>
              </w:rPr>
            </w:pPr>
          </w:p>
        </w:tc>
      </w:tr>
      <w:tr>
        <w:trPr>
          <w:trHeight w:val="224"/>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6,991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532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7,523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1,230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672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661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w w:val="91"/>
              </w:rPr>
              <w:t>2,563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10,019</w:t>
            </w:r>
          </w:p>
        </w:tc>
        <w:tc>
          <w:tcPr>
            <w:tcW w:w="0" w:type="dxa"/>
            <w:vAlign w:val="bottom"/>
          </w:tcPr>
          <w:p>
            <w:pPr>
              <w:spacing w:after="0"/>
              <w:rPr>
                <w:sz w:val="1"/>
                <w:szCs w:val="1"/>
                <w:color w:val="auto"/>
              </w:rPr>
            </w:pPr>
          </w:p>
        </w:tc>
      </w:tr>
      <w:tr>
        <w:trPr>
          <w:trHeight w:val="258"/>
        </w:trPr>
        <w:tc>
          <w:tcPr>
            <w:tcW w:w="3340" w:type="dxa"/>
            <w:vAlign w:val="bottom"/>
          </w:tcPr>
          <w:p>
            <w:pPr>
              <w:ind w:left="40"/>
              <w:spacing w:after="0"/>
              <w:rPr>
                <w:sz w:val="20"/>
                <w:szCs w:val="20"/>
                <w:color w:val="auto"/>
              </w:rPr>
            </w:pPr>
            <w:r>
              <w:rPr>
                <w:rFonts w:ascii="Arial" w:cs="Arial" w:eastAsia="Arial" w:hAnsi="Arial"/>
                <w:sz w:val="14"/>
                <w:szCs w:val="14"/>
                <w:color w:val="auto"/>
              </w:rPr>
              <w:t>Goodwill</w:t>
            </w:r>
          </w:p>
        </w:tc>
        <w:tc>
          <w:tcPr>
            <w:tcW w:w="180" w:type="dxa"/>
            <w:vAlign w:val="bottom"/>
          </w:tcPr>
          <w:p>
            <w:pPr>
              <w:spacing w:after="0"/>
              <w:rPr>
                <w:sz w:val="22"/>
                <w:szCs w:val="22"/>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1,434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b w:val="1"/>
                <w:bCs w:val="1"/>
                <w:color w:val="auto"/>
              </w:rPr>
              <w:t>1,437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248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ind w:right="29"/>
              <w:spacing w:after="0"/>
              <w:rPr>
                <w:sz w:val="20"/>
                <w:szCs w:val="20"/>
                <w:color w:val="auto"/>
              </w:rPr>
            </w:pPr>
            <w:r>
              <w:rPr>
                <w:rFonts w:ascii="Arial" w:cs="Arial" w:eastAsia="Arial" w:hAnsi="Arial"/>
                <w:sz w:val="14"/>
                <w:szCs w:val="14"/>
                <w:b w:val="1"/>
                <w:bCs w:val="1"/>
                <w:color w:val="auto"/>
              </w:rPr>
              <w:t>446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1,883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six months ended June 30, 2014:</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0"/>
              </w:rPr>
              <w:t>Total FNF</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3"/>
                <w:szCs w:val="13"/>
                <w:color w:val="auto"/>
                <w:w w:val="94"/>
              </w:rPr>
              <w:t>FNFV</w:t>
            </w:r>
          </w:p>
        </w:tc>
        <w:tc>
          <w:tcPr>
            <w:tcW w:w="140" w:type="dxa"/>
            <w:vAlign w:val="bottom"/>
          </w:tcPr>
          <w:p>
            <w:pPr>
              <w:spacing w:after="0"/>
              <w:rPr>
                <w:sz w:val="13"/>
                <w:szCs w:val="13"/>
                <w:color w:val="auto"/>
              </w:rPr>
            </w:pPr>
          </w:p>
        </w:tc>
        <w:tc>
          <w:tcPr>
            <w:tcW w:w="64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9"/>
              </w:rPr>
              <w:t>Total</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ind w:left="20"/>
              <w:spacing w:after="0" w:line="131" w:lineRule="exact"/>
              <w:rPr>
                <w:sz w:val="20"/>
                <w:szCs w:val="20"/>
                <w:color w:val="auto"/>
              </w:rPr>
            </w:pPr>
            <w:r>
              <w:rPr>
                <w:rFonts w:ascii="Arial" w:cs="Arial" w:eastAsia="Arial" w:hAnsi="Arial"/>
                <w:sz w:val="13"/>
                <w:szCs w:val="13"/>
                <w:color w:val="auto"/>
              </w:rPr>
              <w:t>FNF Corporate</w:t>
            </w:r>
          </w:p>
        </w:tc>
        <w:tc>
          <w:tcPr>
            <w:tcW w:w="1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240"/>
              <w:spacing w:after="0" w:line="131" w:lineRule="exact"/>
              <w:rPr>
                <w:sz w:val="20"/>
                <w:szCs w:val="20"/>
                <w:color w:val="auto"/>
              </w:rPr>
            </w:pPr>
            <w:r>
              <w:rPr>
                <w:rFonts w:ascii="Arial" w:cs="Arial" w:eastAsia="Arial" w:hAnsi="Arial"/>
                <w:sz w:val="13"/>
                <w:szCs w:val="13"/>
                <w:color w:val="auto"/>
                <w:w w:val="84"/>
              </w:rPr>
              <w:t>Restaurant</w:t>
            </w:r>
          </w:p>
        </w:tc>
        <w:tc>
          <w:tcPr>
            <w:tcW w:w="120" w:type="dxa"/>
            <w:vAlign w:val="bottom"/>
          </w:tcPr>
          <w:p>
            <w:pPr>
              <w:spacing w:after="0"/>
              <w:rPr>
                <w:sz w:val="11"/>
                <w:szCs w:val="11"/>
                <w:color w:val="auto"/>
              </w:rPr>
            </w:pPr>
          </w:p>
        </w:tc>
        <w:tc>
          <w:tcPr>
            <w:tcW w:w="760" w:type="dxa"/>
            <w:vAlign w:val="bottom"/>
            <w:gridSpan w:val="2"/>
          </w:tcPr>
          <w:p>
            <w:pPr>
              <w:jc w:val="center"/>
              <w:ind w:right="220"/>
              <w:spacing w:after="0" w:line="131" w:lineRule="exact"/>
              <w:rPr>
                <w:sz w:val="20"/>
                <w:szCs w:val="20"/>
                <w:color w:val="auto"/>
              </w:rPr>
            </w:pPr>
            <w:r>
              <w:rPr>
                <w:rFonts w:ascii="Arial" w:cs="Arial" w:eastAsia="Arial" w:hAnsi="Arial"/>
                <w:sz w:val="13"/>
                <w:szCs w:val="13"/>
                <w:color w:val="auto"/>
                <w:w w:val="86"/>
              </w:rPr>
              <w:t>Corporate</w:t>
            </w:r>
          </w:p>
        </w:tc>
        <w:tc>
          <w:tcPr>
            <w:tcW w:w="14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3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color w:val="auto"/>
              </w:rPr>
              <w:t>Title</w:t>
            </w: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color w:val="auto"/>
              </w:rPr>
              <w:t>BKFS</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color w:val="auto"/>
              </w:rPr>
              <w:t>and Other</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7"/>
              </w:rPr>
              <w:t>Core</w:t>
            </w: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color w:val="auto"/>
              </w:rPr>
              <w:t>Remy</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color w:val="auto"/>
                <w:w w:val="88"/>
              </w:rPr>
              <w:t>Group</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color w:val="auto"/>
                <w:w w:val="86"/>
              </w:rPr>
              <w:t>and Other</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94"/>
              </w:rPr>
              <w:t>FNFV</w:t>
            </w: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color w:val="auto"/>
              </w:rPr>
              <w:t>Eliminations</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1"/>
        </w:trPr>
        <w:tc>
          <w:tcPr>
            <w:tcW w:w="2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gridSpan w:val="5"/>
          </w:tcPr>
          <w:p>
            <w:pPr>
              <w:ind w:left="280"/>
              <w:spacing w:after="0"/>
              <w:rPr>
                <w:sz w:val="20"/>
                <w:szCs w:val="20"/>
                <w:color w:val="auto"/>
              </w:rPr>
            </w:pPr>
            <w:r>
              <w:rPr>
                <w:rFonts w:ascii="Arial" w:cs="Arial" w:eastAsia="Arial" w:hAnsi="Arial"/>
                <w:sz w:val="13"/>
                <w:szCs w:val="13"/>
                <w:b w:val="1"/>
                <w:bCs w:val="1"/>
                <w:color w:val="auto"/>
              </w:rPr>
              <w:t>(In millions)</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Title premiums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1,706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1,706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1,706</w:t>
            </w:r>
          </w:p>
        </w:tc>
        <w:tc>
          <w:tcPr>
            <w:tcW w:w="0" w:type="dxa"/>
            <w:vAlign w:val="bottom"/>
          </w:tcPr>
          <w:p>
            <w:pPr>
              <w:spacing w:after="0"/>
              <w:rPr>
                <w:sz w:val="1"/>
                <w:szCs w:val="1"/>
                <w:color w:val="auto"/>
              </w:rPr>
            </w:pP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color w:val="auto"/>
              </w:rPr>
              <w:t>Other revenues</w:t>
            </w:r>
          </w:p>
        </w:tc>
        <w:tc>
          <w:tcPr>
            <w:tcW w:w="200" w:type="dxa"/>
            <w:vAlign w:val="bottom"/>
          </w:tcPr>
          <w:p>
            <w:pPr>
              <w:spacing w:after="0"/>
              <w:rPr>
                <w:sz w:val="22"/>
                <w:szCs w:val="22"/>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905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388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b w:val="1"/>
                <w:bCs w:val="1"/>
                <w:color w:val="auto"/>
              </w:rPr>
              <w:t>1,307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b w:val="1"/>
                <w:bCs w:val="1"/>
                <w:color w:val="auto"/>
              </w:rPr>
              <w:t>55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1,362</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Auto parts revenues</w:t>
            </w:r>
          </w:p>
        </w:tc>
        <w:tc>
          <w:tcPr>
            <w:tcW w:w="2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602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602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602</w:t>
            </w:r>
          </w:p>
        </w:tc>
        <w:tc>
          <w:tcPr>
            <w:tcW w:w="0" w:type="dxa"/>
            <w:vAlign w:val="bottom"/>
          </w:tcPr>
          <w:p>
            <w:pPr>
              <w:spacing w:after="0"/>
              <w:rPr>
                <w:sz w:val="1"/>
                <w:szCs w:val="1"/>
                <w:color w:val="auto"/>
              </w:rPr>
            </w:pPr>
          </w:p>
        </w:tc>
      </w:tr>
      <w:tr>
        <w:trPr>
          <w:trHeight w:val="264"/>
        </w:trPr>
        <w:tc>
          <w:tcPr>
            <w:tcW w:w="23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Restaurant revenues</w:t>
            </w:r>
          </w:p>
        </w:tc>
        <w:tc>
          <w:tcPr>
            <w:tcW w:w="2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712</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712</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712</w:t>
            </w:r>
          </w:p>
        </w:tc>
        <w:tc>
          <w:tcPr>
            <w:tcW w:w="0" w:type="dxa"/>
            <w:vAlign w:val="bottom"/>
          </w:tcPr>
          <w:p>
            <w:pPr>
              <w:spacing w:after="0"/>
              <w:rPr>
                <w:sz w:val="1"/>
                <w:szCs w:val="1"/>
                <w:color w:val="auto"/>
              </w:rPr>
            </w:pPr>
          </w:p>
        </w:tc>
      </w:tr>
      <w:tr>
        <w:trPr>
          <w:trHeight w:val="256"/>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from external customers</w:t>
            </w:r>
          </w:p>
        </w:tc>
        <w:tc>
          <w:tcPr>
            <w:tcW w:w="20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2,611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388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3,013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602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712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1,369</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4,382</w:t>
            </w:r>
          </w:p>
        </w:tc>
        <w:tc>
          <w:tcPr>
            <w:tcW w:w="0" w:type="dxa"/>
            <w:vAlign w:val="bottom"/>
          </w:tcPr>
          <w:p>
            <w:pPr>
              <w:spacing w:after="0"/>
              <w:rPr>
                <w:sz w:val="1"/>
                <w:szCs w:val="1"/>
                <w:color w:val="auto"/>
              </w:rPr>
            </w:pPr>
          </w:p>
        </w:tc>
      </w:tr>
      <w:tr>
        <w:trPr>
          <w:trHeight w:val="157"/>
        </w:trPr>
        <w:tc>
          <w:tcPr>
            <w:tcW w:w="2300" w:type="dxa"/>
            <w:vAlign w:val="bottom"/>
          </w:tcPr>
          <w:p>
            <w:pPr>
              <w:ind w:left="40"/>
              <w:spacing w:after="0" w:line="157" w:lineRule="exact"/>
              <w:rPr>
                <w:sz w:val="20"/>
                <w:szCs w:val="20"/>
                <w:color w:val="auto"/>
              </w:rPr>
            </w:pPr>
            <w:r>
              <w:rPr>
                <w:rFonts w:ascii="Arial" w:cs="Arial" w:eastAsia="Arial" w:hAnsi="Arial"/>
                <w:sz w:val="14"/>
                <w:szCs w:val="14"/>
                <w:color w:val="auto"/>
                <w:w w:val="94"/>
              </w:rPr>
              <w:t>Interest and investment income (loss),</w:t>
            </w: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rPr>
              <w:t>63</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66</w:t>
            </w:r>
          </w:p>
        </w:tc>
        <w:tc>
          <w:tcPr>
            <w:tcW w:w="0" w:type="dxa"/>
            <w:vAlign w:val="bottom"/>
          </w:tcPr>
          <w:p>
            <w:pPr>
              <w:spacing w:after="0"/>
              <w:rPr>
                <w:sz w:val="1"/>
                <w:szCs w:val="1"/>
                <w:color w:val="auto"/>
              </w:rPr>
            </w:pPr>
          </w:p>
        </w:tc>
      </w:tr>
      <w:tr>
        <w:trPr>
          <w:trHeight w:val="188"/>
        </w:trPr>
        <w:tc>
          <w:tcPr>
            <w:tcW w:w="23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including realized gains and losses</w:t>
            </w: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63</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revenues</w:t>
            </w:r>
          </w:p>
        </w:tc>
        <w:tc>
          <w:tcPr>
            <w:tcW w:w="20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2,674</w:t>
            </w:r>
          </w:p>
        </w:tc>
        <w:tc>
          <w:tcPr>
            <w:tcW w:w="1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388</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3,076</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603</w:t>
            </w: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711</w:t>
            </w: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1,372</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4,448</w:t>
            </w:r>
          </w:p>
        </w:tc>
        <w:tc>
          <w:tcPr>
            <w:tcW w:w="0" w:type="dxa"/>
            <w:vAlign w:val="bottom"/>
          </w:tcPr>
          <w:p>
            <w:pPr>
              <w:spacing w:after="0"/>
              <w:rPr>
                <w:sz w:val="1"/>
                <w:szCs w:val="1"/>
                <w:color w:val="auto"/>
              </w:rPr>
            </w:pP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22"/>
                <w:szCs w:val="22"/>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b w:val="1"/>
                <w:bCs w:val="1"/>
                <w:color w:val="auto"/>
              </w:rPr>
              <w:t>169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b w:val="1"/>
                <w:bCs w:val="1"/>
                <w:color w:val="auto"/>
              </w:rPr>
              <w:t>34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203</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2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61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74</w:t>
            </w:r>
          </w:p>
        </w:tc>
        <w:tc>
          <w:tcPr>
            <w:tcW w:w="0" w:type="dxa"/>
            <w:vAlign w:val="bottom"/>
          </w:tcPr>
          <w:p>
            <w:pPr>
              <w:spacing w:after="0"/>
              <w:rPr>
                <w:sz w:val="1"/>
                <w:szCs w:val="1"/>
                <w:color w:val="auto"/>
              </w:rPr>
            </w:pPr>
          </w:p>
        </w:tc>
      </w:tr>
      <w:tr>
        <w:trPr>
          <w:trHeight w:val="157"/>
        </w:trPr>
        <w:tc>
          <w:tcPr>
            <w:tcW w:w="2300" w:type="dxa"/>
            <w:vAlign w:val="bottom"/>
          </w:tcPr>
          <w:p>
            <w:pPr>
              <w:ind w:left="40"/>
              <w:spacing w:after="0" w:line="157" w:lineRule="exact"/>
              <w:rPr>
                <w:sz w:val="20"/>
                <w:szCs w:val="20"/>
                <w:color w:val="auto"/>
              </w:rPr>
            </w:pPr>
            <w:r>
              <w:rPr>
                <w:rFonts w:ascii="Arial" w:cs="Arial" w:eastAsia="Arial" w:hAnsi="Arial"/>
                <w:sz w:val="14"/>
                <w:szCs w:val="14"/>
                <w:color w:val="auto"/>
              </w:rPr>
              <w:t>Earnings (loss) from continuing</w:t>
            </w: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40"/>
              <w:spacing w:after="0" w:line="149" w:lineRule="exact"/>
              <w:rPr>
                <w:sz w:val="20"/>
                <w:szCs w:val="20"/>
                <w:color w:val="auto"/>
              </w:rPr>
            </w:pPr>
            <w:r>
              <w:rPr>
                <w:rFonts w:ascii="Arial" w:cs="Arial" w:eastAsia="Arial" w:hAnsi="Arial"/>
                <w:sz w:val="14"/>
                <w:szCs w:val="14"/>
                <w:color w:val="auto"/>
                <w:w w:val="98"/>
              </w:rPr>
              <w:t>operations, before income taxes and</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40"/>
              <w:spacing w:after="0" w:line="149" w:lineRule="exact"/>
              <w:rPr>
                <w:sz w:val="20"/>
                <w:szCs w:val="20"/>
                <w:color w:val="auto"/>
              </w:rPr>
            </w:pPr>
            <w:r>
              <w:rPr>
                <w:rFonts w:ascii="Arial" w:cs="Arial" w:eastAsia="Arial" w:hAnsi="Arial"/>
                <w:sz w:val="14"/>
                <w:szCs w:val="14"/>
                <w:color w:val="auto"/>
              </w:rPr>
              <w:t>equity in earnings (loss) of</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rPr>
              <w:t>52</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37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89</w:t>
            </w:r>
          </w:p>
        </w:tc>
        <w:tc>
          <w:tcPr>
            <w:tcW w:w="0" w:type="dxa"/>
            <w:vAlign w:val="bottom"/>
          </w:tcPr>
          <w:p>
            <w:pPr>
              <w:spacing w:after="0"/>
              <w:rPr>
                <w:sz w:val="1"/>
                <w:szCs w:val="1"/>
                <w:color w:val="auto"/>
              </w:rPr>
            </w:pPr>
          </w:p>
        </w:tc>
      </w:tr>
      <w:tr>
        <w:trPr>
          <w:trHeight w:val="188"/>
        </w:trPr>
        <w:tc>
          <w:tcPr>
            <w:tcW w:w="2300" w:type="dxa"/>
            <w:vAlign w:val="bottom"/>
          </w:tcPr>
          <w:p>
            <w:pPr>
              <w:ind w:left="40"/>
              <w:spacing w:after="0"/>
              <w:rPr>
                <w:sz w:val="20"/>
                <w:szCs w:val="20"/>
                <w:color w:val="auto"/>
              </w:rPr>
            </w:pPr>
            <w:r>
              <w:rPr>
                <w:rFonts w:ascii="Arial" w:cs="Arial" w:eastAsia="Arial" w:hAnsi="Arial"/>
                <w:sz w:val="14"/>
                <w:szCs w:val="14"/>
                <w:color w:val="auto"/>
              </w:rPr>
              <w:t>unconsolidated affiliates</w:t>
            </w:r>
          </w:p>
        </w:tc>
        <w:tc>
          <w:tcPr>
            <w:tcW w:w="200" w:type="dxa"/>
            <w:vAlign w:val="bottom"/>
          </w:tcPr>
          <w:p>
            <w:pPr>
              <w:spacing w:after="0"/>
              <w:rPr>
                <w:sz w:val="16"/>
                <w:szCs w:val="16"/>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166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expense (benefit)</w:t>
            </w: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20</w:t>
            </w:r>
          </w:p>
        </w:tc>
        <w:tc>
          <w:tcPr>
            <w:tcW w:w="0" w:type="dxa"/>
            <w:vAlign w:val="bottom"/>
          </w:tcPr>
          <w:p>
            <w:pPr>
              <w:spacing w:after="0"/>
              <w:rPr>
                <w:sz w:val="1"/>
                <w:szCs w:val="1"/>
                <w:color w:val="auto"/>
              </w:rPr>
            </w:pPr>
          </w:p>
        </w:tc>
      </w:tr>
      <w:tr>
        <w:trPr>
          <w:trHeight w:val="137"/>
        </w:trPr>
        <w:tc>
          <w:tcPr>
            <w:tcW w:w="2300" w:type="dxa"/>
            <w:vAlign w:val="bottom"/>
          </w:tcPr>
          <w:p>
            <w:pPr>
              <w:ind w:left="40"/>
              <w:spacing w:after="0" w:line="137" w:lineRule="exact"/>
              <w:rPr>
                <w:sz w:val="20"/>
                <w:szCs w:val="20"/>
                <w:color w:val="auto"/>
              </w:rPr>
            </w:pPr>
            <w:r>
              <w:rPr>
                <w:rFonts w:ascii="Arial" w:cs="Arial" w:eastAsia="Arial" w:hAnsi="Arial"/>
                <w:sz w:val="14"/>
                <w:szCs w:val="14"/>
                <w:color w:val="auto"/>
              </w:rPr>
              <w:t>Earnings (loss) from continuing</w:t>
            </w:r>
          </w:p>
        </w:tc>
        <w:tc>
          <w:tcPr>
            <w:tcW w:w="2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40"/>
              <w:spacing w:after="0" w:line="149" w:lineRule="exact"/>
              <w:rPr>
                <w:sz w:val="20"/>
                <w:szCs w:val="20"/>
                <w:color w:val="auto"/>
              </w:rPr>
            </w:pPr>
            <w:r>
              <w:rPr>
                <w:rFonts w:ascii="Arial" w:cs="Arial" w:eastAsia="Arial" w:hAnsi="Arial"/>
                <w:sz w:val="14"/>
                <w:szCs w:val="14"/>
                <w:color w:val="auto"/>
                <w:w w:val="98"/>
              </w:rPr>
              <w:t>operations, before equity in earnings</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rPr>
              <w:t>33</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36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69</w:t>
            </w:r>
          </w:p>
        </w:tc>
        <w:tc>
          <w:tcPr>
            <w:tcW w:w="0" w:type="dxa"/>
            <w:vAlign w:val="bottom"/>
          </w:tcPr>
          <w:p>
            <w:pPr>
              <w:spacing w:after="0"/>
              <w:rPr>
                <w:sz w:val="1"/>
                <w:szCs w:val="1"/>
                <w:color w:val="auto"/>
              </w:rPr>
            </w:pPr>
          </w:p>
        </w:tc>
      </w:tr>
      <w:tr>
        <w:trPr>
          <w:trHeight w:val="188"/>
        </w:trPr>
        <w:tc>
          <w:tcPr>
            <w:tcW w:w="2300" w:type="dxa"/>
            <w:vAlign w:val="bottom"/>
          </w:tcPr>
          <w:p>
            <w:pPr>
              <w:ind w:left="40"/>
              <w:spacing w:after="0"/>
              <w:rPr>
                <w:sz w:val="20"/>
                <w:szCs w:val="20"/>
                <w:color w:val="auto"/>
              </w:rPr>
            </w:pPr>
            <w:r>
              <w:rPr>
                <w:rFonts w:ascii="Arial" w:cs="Arial" w:eastAsia="Arial" w:hAnsi="Arial"/>
                <w:sz w:val="14"/>
                <w:szCs w:val="14"/>
                <w:color w:val="auto"/>
              </w:rPr>
              <w:t>(loss) of unconsolidated affiliates</w:t>
            </w:r>
          </w:p>
        </w:tc>
        <w:tc>
          <w:tcPr>
            <w:tcW w:w="200" w:type="dxa"/>
            <w:vAlign w:val="bottom"/>
          </w:tcPr>
          <w:p>
            <w:pPr>
              <w:spacing w:after="0"/>
              <w:rPr>
                <w:sz w:val="16"/>
                <w:szCs w:val="16"/>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earnings (loss) of</w:t>
            </w: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2</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(38)</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(36)</w:t>
            </w:r>
          </w:p>
        </w:tc>
        <w:tc>
          <w:tcPr>
            <w:tcW w:w="0" w:type="dxa"/>
            <w:vAlign w:val="bottom"/>
          </w:tcPr>
          <w:p>
            <w:pPr>
              <w:spacing w:after="0"/>
              <w:rPr>
                <w:sz w:val="1"/>
                <w:szCs w:val="1"/>
                <w:color w:val="auto"/>
              </w:rPr>
            </w:pPr>
          </w:p>
        </w:tc>
      </w:tr>
      <w:tr>
        <w:trPr>
          <w:trHeight w:val="194"/>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unconsolidated affiliates</w:t>
            </w:r>
          </w:p>
        </w:tc>
        <w:tc>
          <w:tcPr>
            <w:tcW w:w="2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300" w:type="dxa"/>
            <w:vAlign w:val="bottom"/>
          </w:tcPr>
          <w:p>
            <w:pPr>
              <w:ind w:left="40"/>
              <w:spacing w:after="0" w:line="137" w:lineRule="exact"/>
              <w:rPr>
                <w:sz w:val="20"/>
                <w:szCs w:val="20"/>
                <w:color w:val="auto"/>
              </w:rPr>
            </w:pPr>
            <w:r>
              <w:rPr>
                <w:rFonts w:ascii="Arial" w:cs="Arial" w:eastAsia="Arial" w:hAnsi="Arial"/>
                <w:sz w:val="14"/>
                <w:szCs w:val="14"/>
                <w:color w:val="auto"/>
              </w:rPr>
              <w:t>Earnings (loss) from continuing</w:t>
            </w: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49"/>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11"/>
                <w:szCs w:val="11"/>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9"/>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11"/>
                <w:szCs w:val="11"/>
                <w:color w:val="auto"/>
              </w:rPr>
            </w:pPr>
          </w:p>
        </w:tc>
        <w:tc>
          <w:tcPr>
            <w:tcW w:w="1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9"/>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rPr>
              <w:t>35</w:t>
            </w:r>
          </w:p>
        </w:tc>
        <w:tc>
          <w:tcPr>
            <w:tcW w:w="120" w:type="dxa"/>
            <w:vAlign w:val="bottom"/>
          </w:tcPr>
          <w:p>
            <w:pPr>
              <w:spacing w:after="0"/>
              <w:rPr>
                <w:sz w:val="11"/>
                <w:szCs w:val="11"/>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29"/>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29"/>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33</w:t>
            </w:r>
          </w:p>
        </w:tc>
        <w:tc>
          <w:tcPr>
            <w:tcW w:w="0" w:type="dxa"/>
            <w:vAlign w:val="bottom"/>
          </w:tcPr>
          <w:p>
            <w:pPr>
              <w:spacing w:after="0"/>
              <w:rPr>
                <w:sz w:val="1"/>
                <w:szCs w:val="1"/>
                <w:color w:val="auto"/>
              </w:rPr>
            </w:pPr>
          </w:p>
        </w:tc>
      </w:tr>
      <w:tr>
        <w:trPr>
          <w:trHeight w:val="221"/>
        </w:trPr>
        <w:tc>
          <w:tcPr>
            <w:tcW w:w="2300" w:type="dxa"/>
            <w:vAlign w:val="bottom"/>
          </w:tcPr>
          <w:p>
            <w:pPr>
              <w:ind w:left="40"/>
              <w:spacing w:after="0"/>
              <w:rPr>
                <w:sz w:val="20"/>
                <w:szCs w:val="20"/>
                <w:color w:val="auto"/>
              </w:rPr>
            </w:pPr>
            <w:r>
              <w:rPr>
                <w:rFonts w:ascii="Arial" w:cs="Arial" w:eastAsia="Arial" w:hAnsi="Arial"/>
                <w:sz w:val="14"/>
                <w:szCs w:val="14"/>
                <w:color w:val="auto"/>
              </w:rPr>
              <w:t>operations</w:t>
            </w:r>
          </w:p>
        </w:tc>
        <w:tc>
          <w:tcPr>
            <w:tcW w:w="20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5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8,357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3,596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149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12,102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1,314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688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772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2,774</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14,843</w:t>
            </w:r>
          </w:p>
        </w:tc>
        <w:tc>
          <w:tcPr>
            <w:tcW w:w="0" w:type="dxa"/>
            <w:vAlign w:val="bottom"/>
          </w:tcPr>
          <w:p>
            <w:pPr>
              <w:spacing w:after="0"/>
              <w:rPr>
                <w:sz w:val="1"/>
                <w:szCs w:val="1"/>
                <w:color w:val="auto"/>
              </w:rPr>
            </w:pPr>
          </w:p>
        </w:tc>
      </w:tr>
      <w:tr>
        <w:trPr>
          <w:trHeight w:val="258"/>
        </w:trPr>
        <w:tc>
          <w:tcPr>
            <w:tcW w:w="2300" w:type="dxa"/>
            <w:vAlign w:val="bottom"/>
          </w:tcPr>
          <w:p>
            <w:pPr>
              <w:ind w:left="40"/>
              <w:spacing w:after="0"/>
              <w:rPr>
                <w:sz w:val="20"/>
                <w:szCs w:val="20"/>
                <w:color w:val="auto"/>
              </w:rPr>
            </w:pPr>
            <w:r>
              <w:rPr>
                <w:rFonts w:ascii="Arial" w:cs="Arial" w:eastAsia="Arial" w:hAnsi="Arial"/>
                <w:sz w:val="14"/>
                <w:szCs w:val="14"/>
                <w:color w:val="auto"/>
              </w:rPr>
              <w:t>Goodwill</w:t>
            </w:r>
          </w:p>
        </w:tc>
        <w:tc>
          <w:tcPr>
            <w:tcW w:w="200" w:type="dxa"/>
            <w:vAlign w:val="bottom"/>
          </w:tcPr>
          <w:p>
            <w:pPr>
              <w:spacing w:after="0"/>
              <w:rPr>
                <w:sz w:val="22"/>
                <w:szCs w:val="22"/>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2,257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2,180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b w:val="1"/>
                <w:bCs w:val="1"/>
                <w:color w:val="auto"/>
              </w:rPr>
              <w:t>4,441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262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118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b w:val="1"/>
                <w:bCs w:val="1"/>
                <w:color w:val="auto"/>
              </w:rPr>
              <w:t>476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4,917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21" w:right="23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six months ended June 30, 2013:</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0"/>
              </w:rPr>
              <w:t>Total FNF</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color w:val="auto"/>
                <w:w w:val="94"/>
              </w:rPr>
              <w:t>FNFV</w:t>
            </w:r>
          </w:p>
        </w:tc>
        <w:tc>
          <w:tcPr>
            <w:tcW w:w="100" w:type="dxa"/>
            <w:vAlign w:val="bottom"/>
          </w:tcPr>
          <w:p>
            <w:pPr>
              <w:spacing w:after="0"/>
              <w:rPr>
                <w:sz w:val="13"/>
                <w:szCs w:val="13"/>
                <w:color w:val="auto"/>
              </w:rPr>
            </w:pPr>
          </w:p>
        </w:tc>
        <w:tc>
          <w:tcPr>
            <w:tcW w:w="5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3"/>
              </w:rPr>
              <w:t>Total</w:t>
            </w: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ind w:left="20"/>
              <w:spacing w:after="0" w:line="131" w:lineRule="exact"/>
              <w:rPr>
                <w:sz w:val="20"/>
                <w:szCs w:val="20"/>
                <w:color w:val="auto"/>
              </w:rPr>
            </w:pPr>
            <w:r>
              <w:rPr>
                <w:rFonts w:ascii="Arial" w:cs="Arial" w:eastAsia="Arial" w:hAnsi="Arial"/>
                <w:sz w:val="13"/>
                <w:szCs w:val="13"/>
                <w:color w:val="auto"/>
              </w:rPr>
              <w:t>FNF Corporate</w:t>
            </w:r>
          </w:p>
        </w:tc>
        <w:tc>
          <w:tcPr>
            <w:tcW w:w="1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240"/>
              <w:spacing w:after="0" w:line="131" w:lineRule="exact"/>
              <w:rPr>
                <w:sz w:val="20"/>
                <w:szCs w:val="20"/>
                <w:color w:val="auto"/>
              </w:rPr>
            </w:pPr>
            <w:r>
              <w:rPr>
                <w:rFonts w:ascii="Arial" w:cs="Arial" w:eastAsia="Arial" w:hAnsi="Arial"/>
                <w:sz w:val="13"/>
                <w:szCs w:val="13"/>
                <w:color w:val="auto"/>
                <w:w w:val="84"/>
              </w:rPr>
              <w:t>Restaurant</w:t>
            </w:r>
          </w:p>
        </w:tc>
        <w:tc>
          <w:tcPr>
            <w:tcW w:w="120" w:type="dxa"/>
            <w:vAlign w:val="bottom"/>
          </w:tcPr>
          <w:p>
            <w:pPr>
              <w:spacing w:after="0"/>
              <w:rPr>
                <w:sz w:val="11"/>
                <w:szCs w:val="11"/>
                <w:color w:val="auto"/>
              </w:rPr>
            </w:pPr>
          </w:p>
        </w:tc>
        <w:tc>
          <w:tcPr>
            <w:tcW w:w="780" w:type="dxa"/>
            <w:vAlign w:val="bottom"/>
            <w:gridSpan w:val="2"/>
          </w:tcPr>
          <w:p>
            <w:pPr>
              <w:jc w:val="center"/>
              <w:ind w:right="240"/>
              <w:spacing w:after="0" w:line="131" w:lineRule="exact"/>
              <w:rPr>
                <w:sz w:val="20"/>
                <w:szCs w:val="20"/>
                <w:color w:val="auto"/>
              </w:rPr>
            </w:pPr>
            <w:r>
              <w:rPr>
                <w:rFonts w:ascii="Arial" w:cs="Arial" w:eastAsia="Arial" w:hAnsi="Arial"/>
                <w:sz w:val="13"/>
                <w:szCs w:val="13"/>
                <w:color w:val="auto"/>
                <w:w w:val="86"/>
              </w:rPr>
              <w:t>Corporate</w:t>
            </w:r>
          </w:p>
        </w:tc>
        <w:tc>
          <w:tcPr>
            <w:tcW w:w="10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3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color w:val="auto"/>
              </w:rPr>
              <w:t>Title</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color w:val="auto"/>
              </w:rPr>
              <w:t>and Other</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7"/>
              </w:rPr>
              <w:t>Core</w:t>
            </w: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color w:val="auto"/>
              </w:rPr>
              <w:t>Remy</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color w:val="auto"/>
                <w:w w:val="88"/>
              </w:rPr>
              <w:t>Group</w:t>
            </w: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color w:val="auto"/>
                <w:w w:val="86"/>
              </w:rPr>
              <w:t>and Other</w:t>
            </w: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rPr>
              <w:t>FNFV</w:t>
            </w: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color w:val="auto"/>
              </w:rPr>
              <w:t>Eliminations</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1"/>
        </w:trPr>
        <w:tc>
          <w:tcPr>
            <w:tcW w:w="3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tcPr>
          <w:p>
            <w:pPr>
              <w:ind w:left="40"/>
              <w:spacing w:after="0"/>
              <w:rPr>
                <w:sz w:val="20"/>
                <w:szCs w:val="20"/>
                <w:color w:val="auto"/>
              </w:rPr>
            </w:pPr>
            <w:r>
              <w:rPr>
                <w:rFonts w:ascii="Arial" w:cs="Arial" w:eastAsia="Arial" w:hAnsi="Arial"/>
                <w:sz w:val="13"/>
                <w:szCs w:val="13"/>
                <w:b w:val="1"/>
                <w:bCs w:val="1"/>
                <w:color w:val="auto"/>
              </w:rPr>
              <w:t>(In millions)</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Title premiums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2,054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2,054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2,054</w:t>
            </w:r>
          </w:p>
        </w:tc>
        <w:tc>
          <w:tcPr>
            <w:tcW w:w="0" w:type="dxa"/>
            <w:vAlign w:val="bottom"/>
          </w:tcPr>
          <w:p>
            <w:pPr>
              <w:spacing w:after="0"/>
              <w:rPr>
                <w:sz w:val="1"/>
                <w:szCs w:val="1"/>
                <w:color w:val="auto"/>
              </w:rPr>
            </w:pPr>
          </w:p>
        </w:tc>
      </w:tr>
      <w:tr>
        <w:trPr>
          <w:trHeight w:val="264"/>
        </w:trPr>
        <w:tc>
          <w:tcPr>
            <w:tcW w:w="3200" w:type="dxa"/>
            <w:vAlign w:val="bottom"/>
          </w:tcPr>
          <w:p>
            <w:pPr>
              <w:ind w:left="40"/>
              <w:spacing w:after="0"/>
              <w:rPr>
                <w:sz w:val="20"/>
                <w:szCs w:val="20"/>
                <w:color w:val="auto"/>
              </w:rPr>
            </w:pPr>
            <w:r>
              <w:rPr>
                <w:rFonts w:ascii="Arial" w:cs="Arial" w:eastAsia="Arial" w:hAnsi="Arial"/>
                <w:sz w:val="14"/>
                <w:szCs w:val="14"/>
                <w:color w:val="auto"/>
              </w:rPr>
              <w:t>Other revenues</w:t>
            </w:r>
          </w:p>
        </w:tc>
        <w:tc>
          <w:tcPr>
            <w:tcW w:w="200" w:type="dxa"/>
            <w:vAlign w:val="bottom"/>
          </w:tcPr>
          <w:p>
            <w:pPr>
              <w:spacing w:after="0"/>
              <w:rPr>
                <w:sz w:val="22"/>
                <w:szCs w:val="22"/>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857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b w:val="1"/>
                <w:bCs w:val="1"/>
                <w:color w:val="auto"/>
              </w:rPr>
              <w:t>884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ind w:right="29"/>
              <w:spacing w:after="0"/>
              <w:rPr>
                <w:sz w:val="20"/>
                <w:szCs w:val="20"/>
                <w:color w:val="auto"/>
              </w:rPr>
            </w:pPr>
            <w:r>
              <w:rPr>
                <w:rFonts w:ascii="Arial" w:cs="Arial" w:eastAsia="Arial" w:hAnsi="Arial"/>
                <w:sz w:val="14"/>
                <w:szCs w:val="14"/>
                <w:b w:val="1"/>
                <w:bCs w:val="1"/>
                <w:color w:val="auto"/>
              </w:rPr>
              <w:t>40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924</w:t>
            </w:r>
          </w:p>
        </w:tc>
        <w:tc>
          <w:tcPr>
            <w:tcW w:w="0" w:type="dxa"/>
            <w:vAlign w:val="bottom"/>
          </w:tcPr>
          <w:p>
            <w:pPr>
              <w:spacing w:after="0"/>
              <w:rPr>
                <w:sz w:val="1"/>
                <w:szCs w:val="1"/>
                <w:color w:val="auto"/>
              </w:rPr>
            </w:pPr>
          </w:p>
        </w:tc>
      </w:tr>
      <w:tr>
        <w:trPr>
          <w:trHeight w:val="276"/>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Auto parts revenues</w:t>
            </w:r>
          </w:p>
        </w:tc>
        <w:tc>
          <w:tcPr>
            <w:tcW w:w="2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568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568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568</w:t>
            </w:r>
          </w:p>
        </w:tc>
        <w:tc>
          <w:tcPr>
            <w:tcW w:w="0" w:type="dxa"/>
            <w:vAlign w:val="bottom"/>
          </w:tcPr>
          <w:p>
            <w:pPr>
              <w:spacing w:after="0"/>
              <w:rPr>
                <w:sz w:val="1"/>
                <w:szCs w:val="1"/>
                <w:color w:val="auto"/>
              </w:rPr>
            </w:pPr>
          </w:p>
        </w:tc>
      </w:tr>
      <w:tr>
        <w:trPr>
          <w:trHeight w:val="264"/>
        </w:trPr>
        <w:tc>
          <w:tcPr>
            <w:tcW w:w="32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Restaurant revenues</w:t>
            </w:r>
          </w:p>
        </w:tc>
        <w:tc>
          <w:tcPr>
            <w:tcW w:w="2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701</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701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701</w:t>
            </w:r>
          </w:p>
        </w:tc>
        <w:tc>
          <w:tcPr>
            <w:tcW w:w="0" w:type="dxa"/>
            <w:vAlign w:val="bottom"/>
          </w:tcPr>
          <w:p>
            <w:pPr>
              <w:spacing w:after="0"/>
              <w:rPr>
                <w:sz w:val="1"/>
                <w:szCs w:val="1"/>
                <w:color w:val="auto"/>
              </w:rPr>
            </w:pPr>
          </w:p>
        </w:tc>
      </w:tr>
      <w:tr>
        <w:trPr>
          <w:trHeight w:val="256"/>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from external customers</w:t>
            </w:r>
          </w:p>
        </w:tc>
        <w:tc>
          <w:tcPr>
            <w:tcW w:w="20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2,911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2,938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568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701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w w:val="91"/>
              </w:rPr>
              <w:t>1,309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4,247</w:t>
            </w:r>
          </w:p>
        </w:tc>
        <w:tc>
          <w:tcPr>
            <w:tcW w:w="0" w:type="dxa"/>
            <w:vAlign w:val="bottom"/>
          </w:tcPr>
          <w:p>
            <w:pPr>
              <w:spacing w:after="0"/>
              <w:rPr>
                <w:sz w:val="1"/>
                <w:szCs w:val="1"/>
                <w:color w:val="auto"/>
              </w:rPr>
            </w:pPr>
          </w:p>
        </w:tc>
      </w:tr>
      <w:tr>
        <w:trPr>
          <w:trHeight w:val="157"/>
        </w:trPr>
        <w:tc>
          <w:tcPr>
            <w:tcW w:w="3200" w:type="dxa"/>
            <w:vAlign w:val="bottom"/>
          </w:tcPr>
          <w:p>
            <w:pPr>
              <w:ind w:left="40"/>
              <w:spacing w:after="0" w:line="157" w:lineRule="exact"/>
              <w:rPr>
                <w:sz w:val="20"/>
                <w:szCs w:val="20"/>
                <w:color w:val="auto"/>
              </w:rPr>
            </w:pPr>
            <w:r>
              <w:rPr>
                <w:rFonts w:ascii="Arial" w:cs="Arial" w:eastAsia="Arial" w:hAnsi="Arial"/>
                <w:sz w:val="14"/>
                <w:szCs w:val="14"/>
                <w:color w:val="auto"/>
              </w:rPr>
              <w:t>Interest and investment income (loss), including</w:t>
            </w: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rPr>
              <w:t>76</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73</w:t>
            </w:r>
          </w:p>
        </w:tc>
        <w:tc>
          <w:tcPr>
            <w:tcW w:w="0" w:type="dxa"/>
            <w:vAlign w:val="bottom"/>
          </w:tcPr>
          <w:p>
            <w:pPr>
              <w:spacing w:after="0"/>
              <w:rPr>
                <w:sz w:val="1"/>
                <w:szCs w:val="1"/>
                <w:color w:val="auto"/>
              </w:rPr>
            </w:pPr>
          </w:p>
        </w:tc>
      </w:tr>
      <w:tr>
        <w:trPr>
          <w:trHeight w:val="188"/>
        </w:trPr>
        <w:tc>
          <w:tcPr>
            <w:tcW w:w="32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realized gains and losses</w:t>
            </w: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75</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revenues</w:t>
            </w:r>
          </w:p>
        </w:tc>
        <w:tc>
          <w:tcPr>
            <w:tcW w:w="20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2,986</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3,014</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565</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699</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w w:val="91"/>
              </w:rPr>
              <w:t>1,306</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4,320</w:t>
            </w:r>
          </w:p>
        </w:tc>
        <w:tc>
          <w:tcPr>
            <w:tcW w:w="0" w:type="dxa"/>
            <w:vAlign w:val="bottom"/>
          </w:tcPr>
          <w:p>
            <w:pPr>
              <w:spacing w:after="0"/>
              <w:rPr>
                <w:sz w:val="1"/>
                <w:szCs w:val="1"/>
                <w:color w:val="auto"/>
              </w:rPr>
            </w:pPr>
          </w:p>
        </w:tc>
      </w:tr>
      <w:tr>
        <w:trPr>
          <w:trHeight w:val="250"/>
        </w:trPr>
        <w:tc>
          <w:tcPr>
            <w:tcW w:w="3200" w:type="dxa"/>
            <w:vAlign w:val="bottom"/>
          </w:tcPr>
          <w:p>
            <w:pPr>
              <w:ind w:left="40"/>
              <w:spacing w:after="0"/>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21"/>
                <w:szCs w:val="21"/>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b w:val="1"/>
                <w:bCs w:val="1"/>
                <w:color w:val="auto"/>
              </w:rPr>
              <w:t>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29"/>
              <w:spacing w:after="0"/>
              <w:rPr>
                <w:sz w:val="20"/>
                <w:szCs w:val="20"/>
                <w:color w:val="auto"/>
              </w:rPr>
            </w:pPr>
            <w:r>
              <w:rPr>
                <w:rFonts w:ascii="Arial" w:cs="Arial" w:eastAsia="Arial" w:hAnsi="Arial"/>
                <w:sz w:val="14"/>
                <w:szCs w:val="14"/>
                <w:b w:val="1"/>
                <w:bCs w:val="1"/>
                <w:color w:val="auto"/>
              </w:rPr>
              <w:t>34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68</w:t>
            </w:r>
          </w:p>
        </w:tc>
        <w:tc>
          <w:tcPr>
            <w:tcW w:w="0" w:type="dxa"/>
            <w:vAlign w:val="bottom"/>
          </w:tcPr>
          <w:p>
            <w:pPr>
              <w:spacing w:after="0"/>
              <w:rPr>
                <w:sz w:val="1"/>
                <w:szCs w:val="1"/>
                <w:color w:val="auto"/>
              </w:rPr>
            </w:pPr>
          </w:p>
        </w:tc>
      </w:tr>
      <w:tr>
        <w:trPr>
          <w:trHeight w:val="276"/>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2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32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44</w:t>
            </w:r>
          </w:p>
        </w:tc>
        <w:tc>
          <w:tcPr>
            <w:tcW w:w="0" w:type="dxa"/>
            <w:vAlign w:val="bottom"/>
          </w:tcPr>
          <w:p>
            <w:pPr>
              <w:spacing w:after="0"/>
              <w:rPr>
                <w:sz w:val="1"/>
                <w:szCs w:val="1"/>
                <w:color w:val="auto"/>
              </w:rPr>
            </w:pPr>
          </w:p>
        </w:tc>
      </w:tr>
      <w:tr>
        <w:trPr>
          <w:trHeight w:val="157"/>
        </w:trPr>
        <w:tc>
          <w:tcPr>
            <w:tcW w:w="3200" w:type="dxa"/>
            <w:vAlign w:val="bottom"/>
          </w:tcPr>
          <w:p>
            <w:pPr>
              <w:ind w:left="40"/>
              <w:spacing w:after="0" w:line="157" w:lineRule="exact"/>
              <w:rPr>
                <w:sz w:val="20"/>
                <w:szCs w:val="20"/>
                <w:color w:val="auto"/>
              </w:rPr>
            </w:pPr>
            <w:r>
              <w:rPr>
                <w:rFonts w:ascii="Arial" w:cs="Arial" w:eastAsia="Arial" w:hAnsi="Arial"/>
                <w:sz w:val="14"/>
                <w:szCs w:val="14"/>
                <w:color w:val="auto"/>
              </w:rPr>
              <w:t>Earnings (loss) from continuing operations, before</w:t>
            </w: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00" w:type="dxa"/>
            <w:vAlign w:val="bottom"/>
          </w:tcPr>
          <w:p>
            <w:pPr>
              <w:ind w:left="40"/>
              <w:spacing w:after="0" w:line="149" w:lineRule="exact"/>
              <w:rPr>
                <w:sz w:val="20"/>
                <w:szCs w:val="20"/>
                <w:color w:val="auto"/>
              </w:rPr>
            </w:pPr>
            <w:r>
              <w:rPr>
                <w:rFonts w:ascii="Arial" w:cs="Arial" w:eastAsia="Arial" w:hAnsi="Arial"/>
                <w:sz w:val="14"/>
                <w:szCs w:val="14"/>
                <w:color w:val="auto"/>
              </w:rPr>
              <w:t>income taxes and equity in earnings (loss) of</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rPr>
              <w:t>369</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360</w:t>
            </w:r>
          </w:p>
        </w:tc>
        <w:tc>
          <w:tcPr>
            <w:tcW w:w="0" w:type="dxa"/>
            <w:vAlign w:val="bottom"/>
          </w:tcPr>
          <w:p>
            <w:pPr>
              <w:spacing w:after="0"/>
              <w:rPr>
                <w:sz w:val="1"/>
                <w:szCs w:val="1"/>
                <w:color w:val="auto"/>
              </w:rPr>
            </w:pPr>
          </w:p>
        </w:tc>
      </w:tr>
      <w:tr>
        <w:trPr>
          <w:trHeight w:val="188"/>
        </w:trPr>
        <w:tc>
          <w:tcPr>
            <w:tcW w:w="3200" w:type="dxa"/>
            <w:vAlign w:val="bottom"/>
          </w:tcPr>
          <w:p>
            <w:pPr>
              <w:ind w:left="40"/>
              <w:spacing w:after="0"/>
              <w:rPr>
                <w:sz w:val="20"/>
                <w:szCs w:val="20"/>
                <w:color w:val="auto"/>
              </w:rPr>
            </w:pPr>
            <w:r>
              <w:rPr>
                <w:rFonts w:ascii="Arial" w:cs="Arial" w:eastAsia="Arial" w:hAnsi="Arial"/>
                <w:sz w:val="14"/>
                <w:szCs w:val="14"/>
                <w:color w:val="auto"/>
              </w:rPr>
              <w:t>unconsolidated affiliates</w:t>
            </w:r>
          </w:p>
        </w:tc>
        <w:tc>
          <w:tcPr>
            <w:tcW w:w="200" w:type="dxa"/>
            <w:vAlign w:val="bottom"/>
          </w:tcPr>
          <w:p>
            <w:pPr>
              <w:spacing w:after="0"/>
              <w:rPr>
                <w:sz w:val="16"/>
                <w:szCs w:val="16"/>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442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expense (benefit)</w:t>
            </w:r>
          </w:p>
        </w:tc>
        <w:tc>
          <w:tcPr>
            <w:tcW w:w="2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159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134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118</w:t>
            </w:r>
          </w:p>
        </w:tc>
        <w:tc>
          <w:tcPr>
            <w:tcW w:w="0" w:type="dxa"/>
            <w:vAlign w:val="bottom"/>
          </w:tcPr>
          <w:p>
            <w:pPr>
              <w:spacing w:after="0"/>
              <w:rPr>
                <w:sz w:val="1"/>
                <w:szCs w:val="1"/>
                <w:color w:val="auto"/>
              </w:rPr>
            </w:pPr>
          </w:p>
        </w:tc>
      </w:tr>
      <w:tr>
        <w:trPr>
          <w:trHeight w:val="137"/>
        </w:trPr>
        <w:tc>
          <w:tcPr>
            <w:tcW w:w="3200" w:type="dxa"/>
            <w:vAlign w:val="bottom"/>
          </w:tcPr>
          <w:p>
            <w:pPr>
              <w:ind w:left="40"/>
              <w:spacing w:after="0" w:line="137" w:lineRule="exact"/>
              <w:rPr>
                <w:sz w:val="20"/>
                <w:szCs w:val="20"/>
                <w:color w:val="auto"/>
              </w:rPr>
            </w:pPr>
            <w:r>
              <w:rPr>
                <w:rFonts w:ascii="Arial" w:cs="Arial" w:eastAsia="Arial" w:hAnsi="Arial"/>
                <w:sz w:val="14"/>
                <w:szCs w:val="14"/>
                <w:color w:val="auto"/>
              </w:rPr>
              <w:t>Earnings (loss) from continuing operations, before</w:t>
            </w:r>
          </w:p>
        </w:tc>
        <w:tc>
          <w:tcPr>
            <w:tcW w:w="2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vMerge w:val="restart"/>
          </w:tcPr>
          <w:p>
            <w:pPr>
              <w:jc w:val="right"/>
              <w:ind w:right="49"/>
              <w:spacing w:after="0"/>
              <w:rPr>
                <w:sz w:val="20"/>
                <w:szCs w:val="20"/>
                <w:color w:val="auto"/>
              </w:rPr>
            </w:pPr>
            <w:r>
              <w:rPr>
                <w:rFonts w:ascii="Arial" w:cs="Arial" w:eastAsia="Arial" w:hAnsi="Arial"/>
                <w:sz w:val="14"/>
                <w:szCs w:val="14"/>
                <w:b w:val="1"/>
                <w:bCs w:val="1"/>
                <w:color w:val="auto"/>
              </w:rPr>
              <w:t>235</w:t>
            </w: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b w:val="1"/>
                <w:bCs w:val="1"/>
                <w:color w:val="auto"/>
              </w:rPr>
              <w:t>7</w:t>
            </w: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b w:val="1"/>
                <w:bCs w:val="1"/>
                <w:color w:val="auto"/>
              </w:rPr>
              <w:t>242</w:t>
            </w:r>
          </w:p>
        </w:tc>
        <w:tc>
          <w:tcPr>
            <w:tcW w:w="0" w:type="dxa"/>
            <w:vAlign w:val="bottom"/>
          </w:tcPr>
          <w:p>
            <w:pPr>
              <w:spacing w:after="0"/>
              <w:rPr>
                <w:sz w:val="1"/>
                <w:szCs w:val="1"/>
                <w:color w:val="auto"/>
              </w:rPr>
            </w:pPr>
          </w:p>
        </w:tc>
      </w:tr>
      <w:tr>
        <w:trPr>
          <w:trHeight w:val="188"/>
        </w:trPr>
        <w:tc>
          <w:tcPr>
            <w:tcW w:w="3200" w:type="dxa"/>
            <w:vAlign w:val="bottom"/>
          </w:tcPr>
          <w:p>
            <w:pPr>
              <w:ind w:left="40"/>
              <w:spacing w:after="0"/>
              <w:rPr>
                <w:sz w:val="20"/>
                <w:szCs w:val="20"/>
                <w:color w:val="auto"/>
              </w:rPr>
            </w:pPr>
            <w:r>
              <w:rPr>
                <w:rFonts w:ascii="Arial" w:cs="Arial" w:eastAsia="Arial" w:hAnsi="Arial"/>
                <w:sz w:val="14"/>
                <w:szCs w:val="14"/>
                <w:color w:val="auto"/>
                <w:w w:val="99"/>
              </w:rPr>
              <w:t>equity in earnings (loss) of unconsolidated affiliates</w:t>
            </w:r>
          </w:p>
        </w:tc>
        <w:tc>
          <w:tcPr>
            <w:tcW w:w="200" w:type="dxa"/>
            <w:vAlign w:val="bottom"/>
          </w:tcPr>
          <w:p>
            <w:pPr>
              <w:spacing w:after="0"/>
              <w:rPr>
                <w:sz w:val="16"/>
                <w:szCs w:val="16"/>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283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8"/>
              </w:rPr>
              <w:t>Equity in earnings (loss) of unconsolidated affiliates</w:t>
            </w:r>
          </w:p>
        </w:tc>
        <w:tc>
          <w:tcPr>
            <w:tcW w:w="20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w:t>
            </w:r>
          </w:p>
        </w:tc>
        <w:tc>
          <w:tcPr>
            <w:tcW w:w="0" w:type="dxa"/>
            <w:vAlign w:val="bottom"/>
          </w:tcPr>
          <w:p>
            <w:pPr>
              <w:spacing w:after="0"/>
              <w:rPr>
                <w:sz w:val="1"/>
                <w:szCs w:val="1"/>
                <w:color w:val="auto"/>
              </w:rPr>
            </w:pPr>
          </w:p>
        </w:tc>
      </w:tr>
      <w:tr>
        <w:trPr>
          <w:trHeight w:val="283"/>
        </w:trPr>
        <w:tc>
          <w:tcPr>
            <w:tcW w:w="3200" w:type="dxa"/>
            <w:vAlign w:val="bottom"/>
          </w:tcPr>
          <w:p>
            <w:pPr>
              <w:ind w:left="40"/>
              <w:spacing w:after="0"/>
              <w:rPr>
                <w:sz w:val="20"/>
                <w:szCs w:val="20"/>
                <w:color w:val="auto"/>
              </w:rPr>
            </w:pPr>
            <w:r>
              <w:rPr>
                <w:rFonts w:ascii="Arial" w:cs="Arial" w:eastAsia="Arial" w:hAnsi="Arial"/>
                <w:sz w:val="14"/>
                <w:szCs w:val="14"/>
                <w:color w:val="auto"/>
              </w:rPr>
              <w:t>Earnings (loss) from continuing operations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286</w:t>
            </w:r>
          </w:p>
        </w:tc>
        <w:tc>
          <w:tcPr>
            <w:tcW w:w="12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49"/>
              <w:spacing w:after="0"/>
              <w:rPr>
                <w:sz w:val="20"/>
                <w:szCs w:val="20"/>
                <w:color w:val="auto"/>
              </w:rPr>
            </w:pPr>
            <w:r>
              <w:rPr>
                <w:rFonts w:ascii="Arial" w:cs="Arial" w:eastAsia="Arial" w:hAnsi="Arial"/>
                <w:sz w:val="14"/>
                <w:szCs w:val="14"/>
                <w:b w:val="1"/>
                <w:bCs w:val="1"/>
                <w:color w:val="auto"/>
              </w:rPr>
              <w:t>238</w:t>
            </w:r>
          </w:p>
        </w:tc>
        <w:tc>
          <w:tcPr>
            <w:tcW w:w="12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4"/>
                <w:szCs w:val="24"/>
                <w:color w:val="auto"/>
              </w:rPr>
            </w:pP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236</w:t>
            </w:r>
          </w:p>
        </w:tc>
        <w:tc>
          <w:tcPr>
            <w:tcW w:w="0" w:type="dxa"/>
            <w:vAlign w:val="bottom"/>
          </w:tcPr>
          <w:p>
            <w:pPr>
              <w:spacing w:after="0"/>
              <w:rPr>
                <w:sz w:val="1"/>
                <w:szCs w:val="1"/>
                <w:color w:val="auto"/>
              </w:rPr>
            </w:pPr>
          </w:p>
        </w:tc>
      </w:tr>
      <w:tr>
        <w:trPr>
          <w:trHeight w:val="224"/>
        </w:trPr>
        <w:tc>
          <w:tcPr>
            <w:tcW w:w="3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6,991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532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7,523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1,230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672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661</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w w:val="91"/>
              </w:rPr>
              <w:t>2,563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10,019</w:t>
            </w:r>
          </w:p>
        </w:tc>
        <w:tc>
          <w:tcPr>
            <w:tcW w:w="0" w:type="dxa"/>
            <w:vAlign w:val="bottom"/>
          </w:tcPr>
          <w:p>
            <w:pPr>
              <w:spacing w:after="0"/>
              <w:rPr>
                <w:sz w:val="1"/>
                <w:szCs w:val="1"/>
                <w:color w:val="auto"/>
              </w:rPr>
            </w:pPr>
          </w:p>
        </w:tc>
      </w:tr>
      <w:tr>
        <w:trPr>
          <w:trHeight w:val="258"/>
        </w:trPr>
        <w:tc>
          <w:tcPr>
            <w:tcW w:w="3200" w:type="dxa"/>
            <w:vAlign w:val="bottom"/>
          </w:tcPr>
          <w:p>
            <w:pPr>
              <w:ind w:left="40"/>
              <w:spacing w:after="0"/>
              <w:rPr>
                <w:sz w:val="20"/>
                <w:szCs w:val="20"/>
                <w:color w:val="auto"/>
              </w:rPr>
            </w:pPr>
            <w:r>
              <w:rPr>
                <w:rFonts w:ascii="Arial" w:cs="Arial" w:eastAsia="Arial" w:hAnsi="Arial"/>
                <w:sz w:val="14"/>
                <w:szCs w:val="14"/>
                <w:color w:val="auto"/>
              </w:rPr>
              <w:t>Goodwill</w:t>
            </w:r>
          </w:p>
        </w:tc>
        <w:tc>
          <w:tcPr>
            <w:tcW w:w="200" w:type="dxa"/>
            <w:vAlign w:val="bottom"/>
          </w:tcPr>
          <w:p>
            <w:pPr>
              <w:spacing w:after="0"/>
              <w:rPr>
                <w:sz w:val="22"/>
                <w:szCs w:val="22"/>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1,434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b w:val="1"/>
                <w:bCs w:val="1"/>
                <w:color w:val="auto"/>
              </w:rPr>
              <w:t>1,437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248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ind w:right="29"/>
              <w:spacing w:after="0"/>
              <w:rPr>
                <w:sz w:val="20"/>
                <w:szCs w:val="20"/>
                <w:color w:val="auto"/>
              </w:rPr>
            </w:pPr>
            <w:r>
              <w:rPr>
                <w:rFonts w:ascii="Arial" w:cs="Arial" w:eastAsia="Arial" w:hAnsi="Arial"/>
                <w:sz w:val="14"/>
                <w:szCs w:val="14"/>
                <w:b w:val="1"/>
                <w:bCs w:val="1"/>
                <w:color w:val="auto"/>
              </w:rPr>
              <w:t>446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1,883</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activities of the reportable segments include the following:</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FNF Core Operations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Title</w:t>
      </w:r>
    </w:p>
    <w:p>
      <w:pPr>
        <w:spacing w:after="0" w:line="9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This segment consists of the operations of our title insurance underwriters and related businesses. This segment provides core title insurance and escrow and other title related services including collection and trust activities, trustee’s sales guarantees, recordings and reconveyances, and home warranty insurance. This segment also includes the transaction services business acquired from LPS, now combined with our ServiceLink business. Transaction services include other title related services used in production and management of mortgage loans, including mortgage loans that go into default.</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BKFS</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segment consists of the operations of BKFS. This segment provides core technology and data and analytics services through leading software systems and information solutions that facilitate and automate many of the business processes across the life cycle of a mortgage.</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FNF Corporate and Other</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FNF Corporate and Other segment consists of the operations of the parent holding company, certain other unallocated corporate overhead expenses, other smaller real estate and insurance related operations.</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FNFV</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Remy</w:t>
      </w:r>
    </w:p>
    <w:p>
      <w:pPr>
        <w:spacing w:after="0" w:line="9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This segment consists of the operations of Remy, in which we have a 51% ownership interest. Remy is a leading designer, manufacturer, remanufacturer, marketer and distributor of aftermarket and original equipment electrical components for automobiles, light trucks, heavy-duty trucks and other vehicles.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5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Restaurant Group</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Restaurant Group segment consists of the operations of ABRH, in which we have a 55% ownership interest. ABRH is the owner and operator of the O'Charley's, Ninety Nine Restaurants, Max &amp; Erma's, Village Inn and Bakers Square concepts. This segment also includes J. Alexander's, which also includes the Stoney River Legendary Steaks concept.</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FNFV Corporate and Other</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FNFV Corporate and Other segment primarily consists of our share in the operations of certain equity investments, including Ceridian, Digital Insurance and other smaller operations which are not title related.</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statements contained in this Quarterly Report on Form 10-Q that are not purely historical are forward-looking statements within the meaning of Section 27A of the Securities Act of 1933 and Section 21E of the Securities Exchange Act of 1934, including statements regarding our expectations, hopes, intentions or strategies regarding the future. All forward-looking statements included in this document are based on information available to us on the date hereof, and we assume no obligation to update any such forward-looking statements. It is important to note that our actual results could vary materially from those forward-looking statements contained herein due to many factors, including, but not limited to: changes in general economic, business and political conditions, including changes in the financial markets; continued weakness or adverse changes in the level of real estate activity, which may be caused by, among other things, high or increasing interest rates, a limited supply of mortgage funding or a weak U.S. economy; our potential inability to find suitable acquisition candidates, acquisitions in lines of business that will not necessarily be limited to our traditional areas of focus, or difficulties in integrating acquisitions; our dependence on distributions from our title insurance underwriters as our main source of cash flow; significant competition that our operating subsidiaries face; compliance with extensive government regulation of our operating subsidiaries and adverse changes in applicable laws or regulations or in their application by regulators; and other risks detailed in the “Statement Regarding Forward-Looking Information,” “Risk Factors” and other sections of the Company’s Form 10-K for the year ended December 31, 2013 and other filings with the Securities and Exchange Commission.</w:t>
      </w:r>
    </w:p>
    <w:p>
      <w:pPr>
        <w:spacing w:after="0" w:line="61" w:lineRule="exact"/>
        <w:rPr>
          <w:sz w:val="20"/>
          <w:szCs w:val="20"/>
          <w:color w:val="auto"/>
        </w:rPr>
      </w:pPr>
    </w:p>
    <w:p>
      <w:pPr>
        <w:ind w:right="1400" w:firstLine="324"/>
        <w:spacing w:after="0" w:line="402" w:lineRule="auto"/>
        <w:rPr>
          <w:sz w:val="20"/>
          <w:szCs w:val="20"/>
          <w:color w:val="auto"/>
        </w:rPr>
      </w:pPr>
      <w:r>
        <w:rPr>
          <w:rFonts w:ascii="Arial" w:cs="Arial" w:eastAsia="Arial" w:hAnsi="Arial"/>
          <w:sz w:val="18"/>
          <w:szCs w:val="18"/>
          <w:color w:val="auto"/>
        </w:rPr>
        <w:t xml:space="preserve">The following discussion should be read in conjunction with our Annual Report on Form 10-K for the year ended December 31, 2013. </w:t>
      </w:r>
      <w:r>
        <w:rPr>
          <w:rFonts w:ascii="Arial" w:cs="Arial" w:eastAsia="Arial" w:hAnsi="Arial"/>
          <w:sz w:val="18"/>
          <w:szCs w:val="18"/>
          <w:b w:val="1"/>
          <w:bCs w:val="1"/>
          <w:color w:val="auto"/>
        </w:rPr>
        <w:t>Overview</w:t>
      </w:r>
    </w:p>
    <w:p>
      <w:pPr>
        <w:spacing w:after="0" w:line="3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have organized our business into two groups, FNF Core Operations and FNF Ventures, known as "FNFV". We are a leading provider of title insurance, technology and transaction services to the real estate and mortgage industries. We are the nation’s largest title insurance company through our title insurance underwriters - Fidelity National Title, Chicago Title, Commonwealth Land Title, Alamo Title and National Title of New York - that collectively issue more title insurance policies than any other title company in the United States. We also provide industry-leading mortgage technology solutions and transaction services, including MSP®, the leading residential mortgage servicing technology platform in the U.S., through our majority-owned subsidiaries, Black Knight Financial Services, LLC ("BKFS") and ServiceLink Holdings, LLC ("ServiceLink"). In addition, in our FNFV group, we own majority and minority equity investment stakes in a number of entities, including American Blue Ribbon Holdings, LLC ("ABRH"), J. Alexander’s, LLC ("J. Alexander's"), Remy International, Inc. ("Remy"), Ceridian HCM, Inc. and Comdata Inc. (collectively "Ceridian") and Digital Insurance, Inc. ("Digital Insurance").</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currently have six reporting segments as follows:</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FNF Core Operations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Title</w:t>
      </w:r>
    </w:p>
    <w:p>
      <w:pPr>
        <w:spacing w:after="0" w:line="9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This segment consists of the operations of our title insurance underwriters and related businesses. This segment provides core title insurance and escrow and other title related services including collection and trust activities, trustee’s sales guarantees, recordings and reconveyances, and home warranty insurance. This segment also includes the transaction services business acquired from LPS, now combined with our ServiceLink business. Transaction services include other title related services used in production and management of mortgage loans, including mortgage loans that go into default.</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BKFS</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segment consists of the operations of BKFS. This segment provides core technology and data and analytics services through leading software systems and information solutions that facilitate and automate many of the business processes across the life cycle of a mortgage.</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FNF Corporate and Other</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FNF Corporate and Other segment consists of the operations of the parent holding company, certain other unallocated corporate overhead expenses, other smaller real estate and insurance related operations.</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FNFV</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Remy</w:t>
      </w:r>
    </w:p>
    <w:p>
      <w:pPr>
        <w:spacing w:after="0" w:line="9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This segment consists of the operations of Remy, in which we have a 51% ownership interest. Remy is a leading designer, manufacturer, remanufacturer, marketer and distributor of aftermarket and original equipment electrical components for automobiles, light trucks, heavy-duty trucks and other vehicles.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Restaurant Group</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Restaurant Group segment consists of the operations of ABRH, in which we have a 55% ownership interest. ABRH is the owner and operator of the O'Charley's, Ninety Nine Restaurants, Max &amp; Erma's, Village Inn and Bakers Square concepts. This segment also includes J. Alexander's, which also includes the Stoney River Legendary Steaks concept.</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FNFV Corporate and Other</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FNFV Corporate and Other segment primarily consists of our share in the operations of certain equity investments, including Ceridian, Digital Insurance and other smaller operations which are not title related.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On June 30, 2014, we completed the recapitalization of FNF common stock into the two previously announced tracking stocks, FNF Group common stock and FNFV Group common stock. Each share of the previously outstanding FNF Class A common stock was converted into one share of FNF Group common stock, which now trades on the New York Stock Exchange under the current trading symbol "FNF," and 0.3333 of a share of FNFV Group common stock, which now trades on the New York Stock Exchange under the trading symbol "FNFV." Both FNF and FNFV began regular trading on July 1, 2014.</w:t>
      </w:r>
    </w:p>
    <w:p>
      <w:pPr>
        <w:spacing w:after="0" w:line="4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Effective June 1, 2014, we completed an internal reorganization to contribute our subsidiary Property Insight, a company which provides information used by title insurance underwriters, title agents and closing attorneys to underwrite title insurance policies for real property sales and transfer, from our Title segment to BKFS. The results of Property Insight are included within our BKFS segment as of June 1, 2014. As a result of this transfer, our ownership percentage in BKFS increased to 67%. The results presented for the month ended June 30, 2014, reflect our now 67% ownership interest in BKFS and Thomas H. Lee partners' now 33% ownership of BKFS.</w:t>
      </w:r>
    </w:p>
    <w:p>
      <w:pPr>
        <w:spacing w:after="0" w:line="8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January 2, 2014, we completed the purchase of Lender Processing Services, Inc. ("LPS"). The purchase consideration paid was $37.14 per share, of which $28.10 per share was paid in cash and the remaining $9.04 was paid in FNF common shares. The purchase consideration represented an exchange ratio of 0.28742 FNF Class A common shares per share of LPS common stock. Total consideration paid for LPS was $3.4 billion, which consisted of $2,248 million in cash, net of cash acquired of $287 million and $839 million in FNF common stock. In order to pay the stock component of the consideration, we issued 25,920,078 shares to the former LPS shareholders. See Note B for further discussion.</w:t>
      </w:r>
    </w:p>
    <w:p>
      <w:pPr>
        <w:spacing w:after="0" w:line="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January 13, 2014, Remy acquired substantially all of the assets of United Starters and Alternators Industries, Inc. ("USA Industries") pursuant to the terms and conditions of the Asset Purchase Agreement. USA Industries is a leading North American distributor of premium quality remanufactured and new alternators, starters, constant velocity axles and disc brake calipers for the light-duty aftermarket. Total consideration paid was $40 million, net of cash acquired.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9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results from a small software company, which we acquired with LPS and which was sold during the second quarter of 2014, are included in the Condensed Consolidated Statements of Earnings as discontinued operations for all periods presented. Total revenues included in discontinued operations were $1 million and $2 million for the three months ended June 30, 2014 and 2013, respectively, and $2 million and $4 million for the six months ending June 30, 2014 and 2013, respectively. Pre-tax earnings included in discontinued operations are $1 million for the three months ending June 30, 2014 and there were no pre-tax earnings for the three months ended June 30, 2013. There were pre-tax earnings of $1 million for the six months ended June 30, 2013 and there were no pre-tax earnings in the six months ended June 30, 2014. The results from two closed J. Alexander's locations and a settlement services company closed in the second quarter of 2013 are reflected in the Condensed Consolidated Statements of Earnings as discontinued operations for all periods presented. There were no revenues included in discontinued operations during the three and six months ended June 30, 2014. Total revenues included in discontinued operations were $1 million for the three months ending June 30, 2013, and $8 million for the six months ending June 30, 2013. There was no pre-tax loss included in discontinued operations for the three and six months ending June 30, 2014. Pre-tax loss included in discontinued operations was $2 million for the three months ending June 30, 2013.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Related Parties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financial statements for the three and six months ended June 30, 2013, reflect related party transactions with Fidelity National Information Services, Inc. ("FIS"), which was considered a related party until December 31, 2013. See Note A of the Notes to Condensed Consolidated Financial Statements for further details on our transactions with related parties.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Trends and Conditions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FNF Core Operations</w:t>
      </w:r>
    </w:p>
    <w:p>
      <w:pPr>
        <w:spacing w:after="0" w:line="19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FNF core revenue is closely related to the level of real estate activity which includes sales, mortgage financing and mortgage refinancing. The levels of real estate activity are primarily affected by the average price of real estate sales, the availability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funds to finance purchases, mortgage interest rates and the strength of the United States economy, including employment levels. Declines in the level of real estate activity or the average price of real estate sales will adversely affect our title insurance revenues.</w:t>
      </w:r>
    </w:p>
    <w:p>
      <w:pPr>
        <w:spacing w:after="0" w:line="6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Since December 2008, the Federal Reserve has held the federal funds rate at 0.0%-0.25%, and has indicated that rates will stay at this level at least through 2014. Mortgage interest rates were at historically low levels through the beginning of 2013. During the last half of 2013, however, interest rates rose to their highest level since 2011. Through the first six months of 2014, mortgage interest rates have declined moderately.</w:t>
      </w:r>
    </w:p>
    <w:p>
      <w:pPr>
        <w:spacing w:after="0" w:line="5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July 15, 2014, the Mortgage Banker's Association ("MBA") estimated the size of the U.S. mortgage originations market as shown in the following table for 2012 - 2015 in their "Mortgage Finance Forecast" (in trillions):</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4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2012</w:t>
            </w:r>
          </w:p>
        </w:tc>
      </w:tr>
      <w:tr>
        <w:trPr>
          <w:trHeight w:val="250"/>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transactions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w:t>
            </w:r>
          </w:p>
        </w:tc>
      </w:tr>
      <w:tr>
        <w:trPr>
          <w:trHeight w:val="243"/>
        </w:trPr>
        <w:tc>
          <w:tcPr>
            <w:tcW w:w="7420" w:type="dxa"/>
            <w:vAlign w:val="bottom"/>
          </w:tcPr>
          <w:p>
            <w:pPr>
              <w:ind w:left="20"/>
              <w:spacing w:after="0"/>
              <w:rPr>
                <w:sz w:val="20"/>
                <w:szCs w:val="20"/>
                <w:color w:val="auto"/>
              </w:rPr>
            </w:pPr>
            <w:r>
              <w:rPr>
                <w:rFonts w:ascii="Arial" w:cs="Arial" w:eastAsia="Arial" w:hAnsi="Arial"/>
                <w:sz w:val="18"/>
                <w:szCs w:val="18"/>
                <w:color w:val="auto"/>
              </w:rPr>
              <w:t>Refinance transactions</w:t>
            </w:r>
          </w:p>
        </w:tc>
        <w:tc>
          <w:tcPr>
            <w:tcW w:w="22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1.2</w:t>
            </w:r>
          </w:p>
        </w:tc>
      </w:tr>
      <w:tr>
        <w:trPr>
          <w:trHeight w:val="27"/>
        </w:trPr>
        <w:tc>
          <w:tcPr>
            <w:tcW w:w="7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7"/>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U.S. mortgage originations forecast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r>
      <w:tr>
        <w:trPr>
          <w:trHeight w:val="20"/>
        </w:trPr>
        <w:tc>
          <w:tcPr>
            <w:tcW w:w="7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shown above, the originations in 2013 and 2012 were driven primarily by refinance transactions, which coincides with the historically low interest rates experienced during those years. In 2014, the MBA predicts a 44.4% decrease in the total market, primarily due to a 63.6% decrease in refinance transactions in 2014. Total projected originations in 2015 remain relatively consistent with those in 2014. During 2013 and through the first half of 2014, we experienced a moderate increase in existing home sales and we have also seen a decline in total housing inventory. However, we have experienced significant declines in refinance activity starting in the fourth quarter of 2013.</w:t>
      </w:r>
    </w:p>
    <w:p>
      <w:pPr>
        <w:spacing w:after="0" w:line="5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Because commercial real estate transactions tend to be driven more by supply and demand for commercial space and occupancy rates in a particular area rather than by macroeconomic events, we believe that our commercial real estate title insurance business is less dependent on the industry cycles discussed above than our residential real estate title business. For the past several years, including the first half of 2014, we have experienced an increase in volume and fee per file of commercial transactions from the previous years, indicating strong commercial markets.</w:t>
      </w:r>
    </w:p>
    <w:p>
      <w:pPr>
        <w:spacing w:after="0" w:line="3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Several pieces of legislation were enacted to address the struggling mortgage market and the current economic and financial environment. On October 24, 2011, the Federal Housing Finance Agency ("FHFA") announced a series of changes to the Home Affordable Refinance Program ("HARP") that would make it easier for certain borrowers who owe more than their home is worth and who are current on their mortgage payments to refinance their mortgages at lower interest rates. The program reduces or eliminates the risk-based fees Fannie Mae and Freddie Mac charge on many loans, raises the loan-to-home value ratio requirement for refinancing, and streamlines the underwriting process. According to the Federal Housing Authority ("FHA"), lenders began taking refinancing applications on December 1, 2011 under the modified HARP. On April 11, 2013, the FHFA announced that the modified HARP program had been extended through December 2015. We believe the modified HARP program had a positive effect on our results during 2013 and 2012, but are uncertain to what degree the program has impacted our results in 2014 or may impact our results in the future.</w:t>
      </w:r>
    </w:p>
    <w:p>
      <w:pPr>
        <w:spacing w:after="0" w:line="44"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During 2010, a number of lenders imposed freezes on foreclosures in some or all states as they reviewed their foreclosure practices. In response to these freezes, the Office of the Comptroller of the Currency ("OCC") reviewed the foreclosure practices in the residential mortgage loan servicing industry. On April 13, 2011, the OCC and other federal regulators (collectively the "banking agencies") announced formal consent orders against several national bank mortgage servicers and third-party service providers for inappropriate practices related to residential mortgage loan servicing and foreclosure processing. The consent orders require the servicers to promptly correct deficiencies and make improvements in practices for residential mortgage loan servicing and foreclosure processing, including improvements to future communications with borrowers and a comprehensive "look back" to assess whether foreclosures complied with federal and state laws and whether any deficiencies in the process or related documentation resulted in financial injury to borrowers. Our title insurance underwriters were not involved in these enforcement actions and we do not believe that our title insurance underwriters are exposed to significant losses resulting from faulty foreclosure practices. Our title insurance underwriters issue title policies on real estate owned properties to new purchasers and lenders to those purchasers. We believe that these policies will not result in significant additional claims exposure to us because even if a court sets aside a foreclosure due to a defect in documentation, the foreclosing lender would be required to return to our insureds all funds obtained from them, resulting in reduced exposure under the title insurance policy. Further, we believe that under current law and the rights we have under our title insurance policies, we would have the right to seek recovery from the foreclosing lender in the event of a failure to comply with state laws or local practices in connection with a foreclosure. The former LPS and certain of its subsidiaries entered into a consent order with the banking agencies in relation to its default operations, now part of the Title segment. As part of the consent order, LPS agreed to further study the issues identified in the review and enhance its compliance, internal audit, risk management and board oversight plans with respect to the related businesses, among additional agreed undertakings. In January 2013, ten large mortgage servicers concluded the reviews required by the 2011 consent orders and agreed to monetary settlements. In April 2013, these mortgage servicers began making restitution under these settlements. LPS also entered</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into settlement agreements in January 2013 with 49 States and the District of Columbia relating to certain practices within its default operations and in February 2014, we also settled with the State of Nevada and the Federal Deposit Insurance Corporation. We cannot predict whether these settlements may result in more normalized foreclosure timelines in the future. Moreover, we cannot predict whether any additional legislative or regulatory changes will be implemented as a result of the findings of the banking agencies or whether the U.S. federal government may take additional action to address the current housing market and economic uncertainty. Some states have enacted or are considering adopting legislation, such as the California Homeowner Bill of Rights, that places additional responsibilities and restrictions on servicers with respect to the foreclosure process. Any such actions could further extend foreclosure timelines. Moreover, as the processing of foreclosures in accordance with applicable law becomes more onerous, many lenders are addressing loans in default through other means, such as short sales, in order to avoid the risks and liability now associated with the foreclosure process. If foreclosure timelines continue to be extended and servicers address delinquent loans through other processes, the results of our default operations within the Title segment may be adversely affected.</w:t>
      </w:r>
    </w:p>
    <w:p>
      <w:pPr>
        <w:spacing w:after="0" w:line="43"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In addition to state-level regulation, segments of our FNF core businesses are subject to regulation by federal agencies, including the Consumer Financial Protection Bureau (“CFPB”). The Dodd-Frank Wall Street Reform ("Dodd-Frank") and Consumer Protection Act of 2010 established the CFPB, and in January 2012, President Obama appointed its first director. The CFPB has been given broad authority to regulate, among other areas, the mortgage and real estate markets in matters pertaining to consumers. This authority includes the enforcement of the Real Estate Settlement Procedures Act formerly placed with the Department of Housing and Urban Development. On July 9, 2012, the CFPB introduced a number of proposed rules related to the enforcement of the Real Estate Settlement Procedures Act and the Truth in Lending Act, including, among others, measures designed to (i) simplify financing documentation and</w:t>
      </w:r>
    </w:p>
    <w:p>
      <w:pPr>
        <w:spacing w:after="0" w:line="5" w:lineRule="exact"/>
        <w:rPr>
          <w:sz w:val="20"/>
          <w:szCs w:val="20"/>
          <w:color w:val="auto"/>
        </w:rPr>
      </w:pPr>
    </w:p>
    <w:p>
      <w:pPr>
        <w:jc w:val="both"/>
        <w:ind w:firstLine="8"/>
        <w:spacing w:after="0" w:line="254" w:lineRule="auto"/>
        <w:tabs>
          <w:tab w:leader="none" w:pos="27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require lenders to deliver to consumers a statement of final financing charges (and the related annual percentage rate) at least three business days prior to the closing. These rules became effective on January 10, 2014. Dodd-Frank also included regulation over financial services and other lending related businesses including our newly acquired BKFS business. We cannot be certain what impact, if any, these new rules, or the CFPB generally, will have on our core businesses.</w:t>
      </w:r>
    </w:p>
    <w:p>
      <w:pPr>
        <w:spacing w:after="0" w:line="5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Historically, real estate transactions have produced seasonal revenue levels for the real estate industry including title insurers. The first calendar quarter is typically the weakest quarter in terms of revenue due to the generally low volume of home sales during January and February. The third calendar quarter has been typically the strongest in terms of revenue primarily due to a higher volume of home sales in the summer months and the fourth quarter is usually also strong due to commercial entities desiring to complete transactions by year-end. We have noted short term fluctuations through recent years in resale and refinance transactions as a result of changes in interest rates and the implementation and subsequent expiration of government programs designed to stimulate the real estate market. In 2013, we saw seasonality trends return to historical patterns.</w:t>
      </w:r>
    </w:p>
    <w:p>
      <w:pPr>
        <w:spacing w:after="0" w:line="4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FNFV</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Remy</w:t>
      </w:r>
    </w:p>
    <w:p>
      <w:pPr>
        <w:spacing w:after="0" w:line="9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Remy manufactures and sells auto parts, principally starter motors and alternators, as well as hybrid electric motors and multi-line products, including steering gear, constant velocity axles, and brake calipers, for sale to original equipment manufacturers (OEM) and aftermarket customers. Remy manufactures products for automobiles as well as light and heavy duty commercial vehicles. The OEM market for auto parts is dependent on levels of new vehicle production, which in turn, is affected by the overall economy, consumer confidence, discounts and incentives offered by automakers and the availability of funds to finance purchases.</w:t>
      </w:r>
    </w:p>
    <w:p>
      <w:pPr>
        <w:spacing w:after="0" w:line="8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the aftermarket, Remy's results are affected by the strength of the economy and by gas prices, but do not follow the same cycles as original equipment market sales. In a weaker economy, drivers tend to keep their vehicles and repair them rather than buying new vehicles. Lower gas prices have historically tended to result in more miles driven, which increases the frequency with which auto repairs are needed. Nevertheless, a weak economy also may reduce miles driven. Over the long term, improvements in the durability of original equipment and aftermarket parts has reduced, and is expected to further reduce, the number of units sold in the aftermarket. Aftermarket revenues are also affected by other factors, including severe weather (which tends to lead to increased sales) and competitive pressures. Many parts retailers and warehouse distributors purchase starters and alternators from only one or two suppliers, under contracts that run for five years or less. Pressure from customers to reduce prices is characteristic of the automotive supply industry. Remy periodically re-negotiates customer agreements. Due to the competitive nature of the business, the revised terms with customers may impact Remy's ongoing profitability. Remy has taken and expects to continue to take steps to improve operating efficiencies and minimize or resist price reductions, which includes exiting existing customer relationships that become inconsistent with operating margin goals.</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Restaurant Group</w:t>
      </w:r>
    </w:p>
    <w:p>
      <w:pPr>
        <w:spacing w:after="0" w:line="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restaurant industry is highly competitive and is often affected by changes in consumer tastes and discretionary spending patterns; changes in general economic conditions; public safety conditions or concerns; demographic trends; weather conditions; the cost of food products, labor, energy and other operating costs; and governmental regulations. The restaurant industry is also characterized by high capital investments for new restaurants and relatively high fixed or semi-variable restaurant operating</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expenses. Because of the high fixed and semi-variable expenses, changes in sales in existing restaurants are generally expected to significantly affect restaurant profitability because many restaurant costs and expenses are not expected to change at the same rate as sales. Restaurant profitability can also be negatively affected by inflationary and regulatory increases in operating costs and other factors. The most significant commodities that may affect our cost of food and beverage are beef, seafood, poultry, and dairy, which accounted for almost 49 percent of our overall cost of food and beverage in the past. Generally, temporary increases in these costs are not passed on to guests; however, in the past, we have adjusted menu prices to compensate for increased costs of a more permanent nature.</w:t>
      </w:r>
    </w:p>
    <w:p>
      <w:pPr>
        <w:spacing w:after="0" w:line="8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Average weekly sales per restaurant are typically higher in the first and fourth quarters than in other quarters, and we typically generate a disproportionate share of our earnings from operations in the first and fourth quarters. Holidays, severe weather and other disruptive conditions may impact sales volumes seasonally in some operating regions.</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Our revenues in future periods will continue to be subject to these and other factors that are beyond our control and, as a result, are likely to fluctuate.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1"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Consolidated Results of Operations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 xml:space="preserve">Net Earnings. </w:t>
      </w:r>
      <w:r>
        <w:rPr>
          <w:rFonts w:ascii="Arial" w:cs="Arial" w:eastAsia="Arial" w:hAnsi="Arial"/>
          <w:sz w:val="18"/>
          <w:szCs w:val="18"/>
          <w:color w:val="auto"/>
        </w:rPr>
        <w:t>The following table presents certain financial data for the periods indicated: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6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2220" w:type="dxa"/>
            <w:vAlign w:val="bottom"/>
            <w:gridSpan w:val="4"/>
          </w:tcPr>
          <w:p>
            <w:pPr>
              <w:jc w:val="right"/>
              <w:ind w:right="331"/>
              <w:spacing w:after="0"/>
              <w:rPr>
                <w:sz w:val="20"/>
                <w:szCs w:val="20"/>
                <w:color w:val="auto"/>
              </w:rPr>
            </w:pPr>
            <w:r>
              <w:rPr>
                <w:rFonts w:ascii="Arial" w:cs="Arial" w:eastAsia="Arial" w:hAnsi="Arial"/>
                <w:sz w:val="14"/>
                <w:szCs w:val="14"/>
                <w:b w:val="1"/>
                <w:bCs w:val="1"/>
                <w:color w:val="auto"/>
                <w:w w:val="98"/>
              </w:rPr>
              <w:t>Six months ended June 30,</w:t>
            </w:r>
          </w:p>
        </w:tc>
      </w:tr>
      <w:tr>
        <w:trPr>
          <w:trHeight w:val="264"/>
        </w:trPr>
        <w:tc>
          <w:tcPr>
            <w:tcW w:w="618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2013</w:t>
            </w:r>
          </w:p>
        </w:tc>
      </w:tr>
      <w:tr>
        <w:trPr>
          <w:trHeight w:val="196"/>
        </w:trPr>
        <w:tc>
          <w:tcPr>
            <w:tcW w:w="6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00" w:type="dxa"/>
            <w:vAlign w:val="bottom"/>
            <w:gridSpan w:val="5"/>
          </w:tcPr>
          <w:p>
            <w:pPr>
              <w:ind w:left="34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6"/>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Direct title insurance premiums</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905</w:t>
            </w:r>
          </w:p>
        </w:tc>
      </w:tr>
      <w:tr>
        <w:trPr>
          <w:trHeight w:val="27"/>
        </w:trPr>
        <w:tc>
          <w:tcPr>
            <w:tcW w:w="6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Agency title insurance premiums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1,149</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Escrow, title-related and other fees</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716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1,362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924</w:t>
            </w:r>
          </w:p>
        </w:tc>
      </w:tr>
      <w:tr>
        <w:trPr>
          <w:trHeight w:val="27"/>
        </w:trPr>
        <w:tc>
          <w:tcPr>
            <w:tcW w:w="6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Restaurant revenue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701</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Auto parts revenue</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568</w:t>
            </w:r>
          </w:p>
        </w:tc>
      </w:tr>
      <w:tr>
        <w:trPr>
          <w:trHeight w:val="27"/>
        </w:trPr>
        <w:tc>
          <w:tcPr>
            <w:tcW w:w="6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and investment income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Realized gains and losses, net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w:t>
            </w:r>
          </w:p>
        </w:tc>
      </w:tr>
      <w:tr>
        <w:trPr>
          <w:trHeight w:val="27"/>
        </w:trPr>
        <w:tc>
          <w:tcPr>
            <w:tcW w:w="6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61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2,279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4,448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4,320</w:t>
            </w:r>
          </w:p>
        </w:tc>
      </w:tr>
      <w:tr>
        <w:trPr>
          <w:trHeight w:val="237"/>
        </w:trPr>
        <w:tc>
          <w:tcPr>
            <w:tcW w:w="6180" w:type="dxa"/>
            <w:vAlign w:val="bottom"/>
          </w:tcPr>
          <w:p>
            <w:pPr>
              <w:ind w:left="40"/>
              <w:spacing w:after="0"/>
              <w:rPr>
                <w:sz w:val="20"/>
                <w:szCs w:val="20"/>
                <w:color w:val="auto"/>
              </w:rPr>
            </w:pPr>
            <w:r>
              <w:rPr>
                <w:rFonts w:ascii="Arial" w:cs="Arial" w:eastAsia="Arial" w:hAnsi="Arial"/>
                <w:sz w:val="18"/>
                <w:szCs w:val="18"/>
                <w:color w:val="auto"/>
              </w:rPr>
              <w:t>Expenses: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Personnel costs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1,065</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Agent commissions</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395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870</w:t>
            </w:r>
          </w:p>
        </w:tc>
      </w:tr>
      <w:tr>
        <w:trPr>
          <w:trHeight w:val="27"/>
        </w:trPr>
        <w:tc>
          <w:tcPr>
            <w:tcW w:w="6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691</w:t>
            </w:r>
          </w:p>
        </w:tc>
      </w:tr>
      <w:tr>
        <w:trPr>
          <w:trHeight w:val="229"/>
        </w:trPr>
        <w:tc>
          <w:tcPr>
            <w:tcW w:w="6180" w:type="dxa"/>
            <w:vAlign w:val="bottom"/>
          </w:tcPr>
          <w:p>
            <w:pPr>
              <w:ind w:left="280"/>
              <w:spacing w:after="0"/>
              <w:rPr>
                <w:sz w:val="20"/>
                <w:szCs w:val="20"/>
                <w:color w:val="auto"/>
              </w:rPr>
            </w:pPr>
            <w:r>
              <w:rPr>
                <w:rFonts w:ascii="Arial" w:cs="Arial" w:eastAsia="Arial" w:hAnsi="Arial"/>
                <w:sz w:val="18"/>
                <w:szCs w:val="18"/>
                <w:color w:val="auto"/>
                <w:w w:val="97"/>
              </w:rPr>
              <w:t>Cost of auto parts revenue, includes $18, $18, $32, $36 of depreciation and</w:t>
            </w:r>
          </w:p>
        </w:tc>
        <w:tc>
          <w:tcPr>
            <w:tcW w:w="280" w:type="dxa"/>
            <w:vAlign w:val="bottom"/>
          </w:tcPr>
          <w:p>
            <w:pPr>
              <w:spacing w:after="0"/>
              <w:rPr>
                <w:sz w:val="19"/>
                <w:szCs w:val="19"/>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481</w:t>
            </w:r>
          </w:p>
        </w:tc>
      </w:tr>
      <w:tr>
        <w:trPr>
          <w:trHeight w:val="216"/>
        </w:trPr>
        <w:tc>
          <w:tcPr>
            <w:tcW w:w="6180" w:type="dxa"/>
            <w:vAlign w:val="bottom"/>
          </w:tcPr>
          <w:p>
            <w:pPr>
              <w:ind w:left="280"/>
              <w:spacing w:after="0"/>
              <w:rPr>
                <w:sz w:val="20"/>
                <w:szCs w:val="20"/>
                <w:color w:val="auto"/>
              </w:rPr>
            </w:pPr>
            <w:r>
              <w:rPr>
                <w:rFonts w:ascii="Arial" w:cs="Arial" w:eastAsia="Arial" w:hAnsi="Arial"/>
                <w:sz w:val="18"/>
                <w:szCs w:val="18"/>
                <w:color w:val="auto"/>
                <w:w w:val="97"/>
              </w:rPr>
              <w:t>amortization in the three months ended June 30, 2014 and 2013 and the six</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6180" w:type="dxa"/>
            <w:vAlign w:val="bottom"/>
          </w:tcPr>
          <w:p>
            <w:pPr>
              <w:ind w:left="280"/>
              <w:spacing w:after="0"/>
              <w:rPr>
                <w:sz w:val="20"/>
                <w:szCs w:val="20"/>
                <w:color w:val="auto"/>
              </w:rPr>
            </w:pPr>
            <w:r>
              <w:rPr>
                <w:rFonts w:ascii="Arial" w:cs="Arial" w:eastAsia="Arial" w:hAnsi="Arial"/>
                <w:sz w:val="18"/>
                <w:szCs w:val="18"/>
                <w:color w:val="auto"/>
              </w:rPr>
              <w:t>months ended June 30, 2014 and 2013, respectively</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Cost of restaurant revenue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597</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68</w:t>
            </w:r>
          </w:p>
        </w:tc>
      </w:tr>
      <w:tr>
        <w:trPr>
          <w:trHeight w:val="27"/>
        </w:trPr>
        <w:tc>
          <w:tcPr>
            <w:tcW w:w="6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title claim losses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44</w:t>
            </w:r>
          </w:p>
        </w:tc>
      </w:tr>
      <w:tr>
        <w:trPr>
          <w:trHeight w:val="27"/>
        </w:trPr>
        <w:tc>
          <w:tcPr>
            <w:tcW w:w="6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61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expenses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2,056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4,359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3,960</w:t>
            </w:r>
          </w:p>
        </w:tc>
      </w:tr>
      <w:tr>
        <w:trPr>
          <w:trHeight w:val="209"/>
        </w:trPr>
        <w:tc>
          <w:tcPr>
            <w:tcW w:w="6180" w:type="dxa"/>
            <w:vAlign w:val="bottom"/>
          </w:tcPr>
          <w:p>
            <w:pPr>
              <w:ind w:left="40"/>
              <w:spacing w:after="0"/>
              <w:rPr>
                <w:sz w:val="20"/>
                <w:szCs w:val="20"/>
                <w:color w:val="auto"/>
              </w:rPr>
            </w:pPr>
            <w:r>
              <w:rPr>
                <w:rFonts w:ascii="Arial" w:cs="Arial" w:eastAsia="Arial" w:hAnsi="Arial"/>
                <w:sz w:val="18"/>
                <w:szCs w:val="18"/>
                <w:color w:val="auto"/>
                <w:w w:val="95"/>
              </w:rPr>
              <w:t>Earnings from continuing operations before income taxes and equity in losses of</w:t>
            </w: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360</w:t>
            </w:r>
          </w:p>
        </w:tc>
      </w:tr>
      <w:tr>
        <w:trPr>
          <w:trHeight w:val="230"/>
        </w:trPr>
        <w:tc>
          <w:tcPr>
            <w:tcW w:w="6180" w:type="dxa"/>
            <w:vAlign w:val="bottom"/>
          </w:tcPr>
          <w:p>
            <w:pPr>
              <w:ind w:left="40"/>
              <w:spacing w:after="0"/>
              <w:rPr>
                <w:sz w:val="20"/>
                <w:szCs w:val="20"/>
                <w:color w:val="auto"/>
              </w:rPr>
            </w:pPr>
            <w:r>
              <w:rPr>
                <w:rFonts w:ascii="Arial" w:cs="Arial" w:eastAsia="Arial" w:hAnsi="Arial"/>
                <w:sz w:val="18"/>
                <w:szCs w:val="18"/>
                <w:color w:val="auto"/>
              </w:rPr>
              <w:t>unconsolidated affiliates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Equity in losses of unconsolidated affiliates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6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from continuing operations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236</w:t>
            </w:r>
          </w:p>
        </w:tc>
      </w:tr>
      <w:tr>
        <w:trPr>
          <w:trHeight w:val="20"/>
        </w:trPr>
        <w:tc>
          <w:tcPr>
            <w:tcW w:w="6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0"/>
        </w:trPr>
        <w:tc>
          <w:tcPr>
            <w:tcW w:w="6180" w:type="dxa"/>
            <w:vAlign w:val="bottom"/>
          </w:tcPr>
          <w:p>
            <w:pPr>
              <w:ind w:left="40"/>
              <w:spacing w:after="0"/>
              <w:rPr>
                <w:sz w:val="20"/>
                <w:szCs w:val="20"/>
                <w:color w:val="auto"/>
              </w:rPr>
            </w:pPr>
            <w:r>
              <w:rPr>
                <w:rFonts w:ascii="Arial" w:cs="Arial" w:eastAsia="Arial" w:hAnsi="Arial"/>
                <w:sz w:val="18"/>
                <w:szCs w:val="18"/>
                <w:color w:val="auto"/>
              </w:rPr>
              <w:t>Orders opened by direct title operations</w:t>
            </w:r>
          </w:p>
        </w:tc>
        <w:tc>
          <w:tcPr>
            <w:tcW w:w="28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514,000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672,000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982,000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1,315,000</w:t>
            </w:r>
          </w:p>
        </w:tc>
      </w:tr>
      <w:tr>
        <w:trPr>
          <w:trHeight w:val="27"/>
        </w:trPr>
        <w:tc>
          <w:tcPr>
            <w:tcW w:w="6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6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Orders closed by direct title operations</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342,000</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504,000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637,000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991,000</w:t>
            </w:r>
          </w:p>
        </w:tc>
      </w:tr>
      <w:tr>
        <w:trPr>
          <w:trHeight w:val="27"/>
        </w:trPr>
        <w:tc>
          <w:tcPr>
            <w:tcW w:w="61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Total revenues increased $80 million in the three months ended June 30, 2014, compared to the 2013 period. The increase consisted of a $44 million increase at FNF Core and a $36 million increase at FNFV. Total revenues increased $128 million in the six months ended June 30, 2014, compared to the 2013 period. The increase consisted of a $62 million increase at FNF Core and a $66 million increase at FNFV.</w:t>
      </w:r>
    </w:p>
    <w:p>
      <w:pPr>
        <w:spacing w:after="0" w:line="7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Total net earnings from continuing operations decreased $42 million in the three months ended June 30, 2014, compared to the 2013 period. The decrease consisted of a $45 million decrease at FNF Core and $3 million increase at FNFV. Total net earnings from continuing operations decreased $203 million in the six months ended June 30, 2014, compared to the 2013 period, due to a $203 million decrease at FNF Core.</w:t>
      </w:r>
    </w:p>
    <w:p>
      <w:pPr>
        <w:spacing w:after="0" w:line="5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FNF Core includes the results of operations of our Title segment and our recently acquired BKFS segment as well as the FNF Corporate and Other segment which includes the operations of the parent holding company, certain other unallocated corporate overhead expenses, and other smaller real estate and insurance related operations.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FNFV includes our share in the operations of certain equity investments, including Ceridian, as well as the results of operations of our portfolio companies including restaurant revenue from the revenues of ABRH and J. Alexander's, auto parts revenue including the revenues of Remy, and within FNFV other, the results of Digital Insurance and other smaller operations which are not title related.</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revenue from the FNF Core segments and FNFV segments is discussed in further detail at the segment level below.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operating expenses consist primarily of personnel costs and other operating expenses, which in our title insurance business are incurred as orders are received and processed, and agent commissions, which are incurred as revenue is recognized, as well as cost of auto parts revenue and cost of restaurant revenue. Title insurance premiums, escrow and title-related fees are generally recognized as income at the time the underlying transaction closes. As a result, direct title operations revenue lags approximately 45-60 days behind expenses and therefore gross margins may fluctuate. The changes in the market environment, mix of business between direct and agency operations and the contributions from our various business units have impacted margins and net earnings. We have implemented programs and have taken necessary actions to maintain expense levels consistent with revenue streams. However, a short time lag exists in reducing variable costs and certain fixed costs are incurred regardless of revenue levels.</w:t>
      </w:r>
    </w:p>
    <w:p>
      <w:pPr>
        <w:spacing w:after="0" w:line="5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Personnel costs include base salaries, commissions, benefits, stock-based compensation and bonuses paid to employees, and are one of our most significant operating expenses. Personnel costs that are directly attributable to the operations of Remy and the Restaurant Group are included in Cost of auto parts revenue and Cost of restaurant revenue, respectively.</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Agent commissions represent the portion of premiums retained by agents pursuant to the terms of their respective agency contracts.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Other operating expenses consist primarily of facilities expenses, title plant maintenance, premium taxes (which insurance underwriters are required to pay on title premiums in lieu of franchise and other state taxes), postage and courier services, computer services, professional services, travel expenses, general insurance, and bad debt expense on our trade and notes receivable.</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Cost of auto parts revenue includes cost of raw materials, payroll and related costs and expenses directly related to manufacturing, and overhead expenses allocated to the costs of production such as depreciation and amortization at Remy.</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Cost of restaurant revenue includes cost of food and beverage, primarily the costs of beef, groceries, produce, seafood, poultry and alcoholic and non-alcoholic beverages net of vendor discounts and rebates, payroll and related costs and expenses directly relating to restaurant level activities, and restaurant operating costs including occupancy and other operating expenses at the restaurant level.</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provision for title claim losses includes an estimate of anticipated title and title-related claims, and escrow losses.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expenses from the FNF Core segments and FNFV segments is discussed in further detail at the segment level below.</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Income tax expense was $57 million and $72 million in the three-month periods ended June 30, 2014 and 2013, respectively, and $20 million and $118 million in the six-month periods ended June 30, 2014 and 2013, respectively. Income tax expense as a percentage of earnings before income taxes was 34% and 32% for the three-month periods ended June 30, 2014 and 2013, respectively, and 22% and 33% for the six-month periods ended June 30, 2014 and 2013, respectively. Income taxes as a percentage of earnings before income taxes fluctuates depending on our estimate of ultimate income tax liability and changes in the characteristics of net earnings, such as the weighting of operating income versus investment income. Included in income tax expense in the six-months ending June 30, 2014 is a $12 million income tax benefit related to our portion of $35 million equity in losses recorded during the period related to our minority investment in Ceridian.</w:t>
      </w:r>
    </w:p>
    <w:p>
      <w:pPr>
        <w:spacing w:after="0" w:line="18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Equity in losses of unconsolidated affiliates was $5 million and $3 million for the three-month periods ended June 30, 2014 and 2013, respectively, and $36 million and $6 million for the six-month periods ended June 30, 2014 and 2013, respectively. The equity in losses in 2014 and 2013 consisted primarily of net losses related to our investment in Ceridian, which is described further at the segment level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1"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FNF Core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Title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Beginning January 2, 2014, the Title segment includes the results of the transaction services business acquired with LPS.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Pr>
          <w:p>
            <w:pPr>
              <w:spacing w:after="0"/>
              <w:rPr>
                <w:sz w:val="16"/>
                <w:szCs w:val="16"/>
                <w:color w:val="auto"/>
              </w:rPr>
            </w:pPr>
          </w:p>
        </w:tc>
        <w:tc>
          <w:tcPr>
            <w:tcW w:w="1960" w:type="dxa"/>
            <w:vAlign w:val="bottom"/>
            <w:gridSpan w:val="4"/>
          </w:tcPr>
          <w:p>
            <w:pPr>
              <w:jc w:val="right"/>
              <w:ind w:right="151"/>
              <w:spacing w:after="0"/>
              <w:rPr>
                <w:sz w:val="20"/>
                <w:szCs w:val="20"/>
                <w:color w:val="auto"/>
              </w:rPr>
            </w:pPr>
            <w:r>
              <w:rPr>
                <w:rFonts w:ascii="Arial" w:cs="Arial" w:eastAsia="Arial" w:hAnsi="Arial"/>
                <w:sz w:val="14"/>
                <w:szCs w:val="14"/>
                <w:b w:val="1"/>
                <w:bCs w:val="1"/>
                <w:color w:val="auto"/>
                <w:w w:val="94"/>
              </w:rPr>
              <w:t>Six months ended June 30,</w:t>
            </w:r>
          </w:p>
        </w:tc>
        <w:tc>
          <w:tcPr>
            <w:tcW w:w="0" w:type="dxa"/>
            <w:vAlign w:val="bottom"/>
          </w:tcPr>
          <w:p>
            <w:pPr>
              <w:spacing w:after="0"/>
              <w:rPr>
                <w:sz w:val="1"/>
                <w:szCs w:val="1"/>
                <w:color w:val="auto"/>
              </w:rPr>
            </w:pPr>
          </w:p>
        </w:tc>
      </w:tr>
      <w:tr>
        <w:trPr>
          <w:trHeight w:val="264"/>
        </w:trPr>
        <w:tc>
          <w:tcPr>
            <w:tcW w:w="652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0"/>
        </w:trPr>
        <w:tc>
          <w:tcPr>
            <w:tcW w:w="6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6520" w:type="dxa"/>
            <w:vAlign w:val="bottom"/>
          </w:tcPr>
          <w:p>
            <w:pPr>
              <w:ind w:left="40"/>
              <w:spacing w:after="0"/>
              <w:rPr>
                <w:sz w:val="20"/>
                <w:szCs w:val="20"/>
                <w:color w:val="auto"/>
              </w:rPr>
            </w:pPr>
            <w:r>
              <w:rPr>
                <w:rFonts w:ascii="Arial" w:cs="Arial" w:eastAsia="Arial" w:hAnsi="Arial"/>
                <w:sz w:val="18"/>
                <w:szCs w:val="18"/>
                <w:color w:val="auto"/>
              </w:rPr>
              <w:t>Revenues:</w:t>
            </w: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Direct title insurance premiums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Agency title insurance premiums</w:t>
            </w: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518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922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1,149</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Escrow, title related and other fees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Interest and investment income</w:t>
            </w: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Realized gains and losses, net</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6520" w:type="dxa"/>
            <w:vAlign w:val="bottom"/>
          </w:tcPr>
          <w:p>
            <w:pPr>
              <w:ind w:left="540"/>
              <w:spacing w:after="0"/>
              <w:rPr>
                <w:sz w:val="20"/>
                <w:szCs w:val="20"/>
                <w:color w:val="auto"/>
              </w:rPr>
            </w:pPr>
            <w:r>
              <w:rPr>
                <w:rFonts w:ascii="Arial" w:cs="Arial" w:eastAsia="Arial" w:hAnsi="Arial"/>
                <w:sz w:val="18"/>
                <w:szCs w:val="18"/>
                <w:color w:val="auto"/>
              </w:rPr>
              <w:t>Total revenues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1,466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1,611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2,674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2,986</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Personnel costs</w:t>
            </w: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473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939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Agent commissions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Other operating expenses</w:t>
            </w: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682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Provision for title claim losses</w:t>
            </w: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expenses</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2,544</w:t>
            </w:r>
          </w:p>
        </w:tc>
        <w:tc>
          <w:tcPr>
            <w:tcW w:w="0" w:type="dxa"/>
            <w:vAlign w:val="bottom"/>
          </w:tcPr>
          <w:p>
            <w:pPr>
              <w:spacing w:after="0"/>
              <w:rPr>
                <w:sz w:val="1"/>
                <w:szCs w:val="1"/>
                <w:color w:val="auto"/>
              </w:rPr>
            </w:pPr>
          </w:p>
        </w:tc>
      </w:tr>
      <w:tr>
        <w:trPr>
          <w:trHeight w:val="209"/>
        </w:trPr>
        <w:tc>
          <w:tcPr>
            <w:tcW w:w="6520" w:type="dxa"/>
            <w:vAlign w:val="bottom"/>
          </w:tcPr>
          <w:p>
            <w:pPr>
              <w:ind w:left="40"/>
              <w:spacing w:after="0"/>
              <w:rPr>
                <w:sz w:val="20"/>
                <w:szCs w:val="20"/>
                <w:color w:val="auto"/>
              </w:rPr>
            </w:pPr>
            <w:r>
              <w:rPr>
                <w:rFonts w:ascii="Arial" w:cs="Arial" w:eastAsia="Arial" w:hAnsi="Arial"/>
                <w:sz w:val="18"/>
                <w:szCs w:val="18"/>
                <w:color w:val="auto"/>
                <w:w w:val="91"/>
              </w:rPr>
              <w:t>(Loss) earnings from continuing operations before income taxes and equity in earnings of</w:t>
            </w: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18"/>
                <w:szCs w:val="18"/>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8"/>
                <w:szCs w:val="18"/>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42"/>
        </w:trPr>
        <w:tc>
          <w:tcPr>
            <w:tcW w:w="6520" w:type="dxa"/>
            <w:vAlign w:val="bottom"/>
          </w:tcPr>
          <w:p>
            <w:pPr>
              <w:ind w:left="40"/>
              <w:spacing w:after="0"/>
              <w:rPr>
                <w:sz w:val="20"/>
                <w:szCs w:val="20"/>
                <w:color w:val="auto"/>
              </w:rPr>
            </w:pPr>
            <w:r>
              <w:rPr>
                <w:rFonts w:ascii="Arial" w:cs="Arial" w:eastAsia="Arial" w:hAnsi="Arial"/>
                <w:sz w:val="18"/>
                <w:szCs w:val="18"/>
                <w:color w:val="auto"/>
              </w:rPr>
              <w:t>unconsolidated affiliates</w:t>
            </w:r>
          </w:p>
        </w:tc>
        <w:tc>
          <w:tcPr>
            <w:tcW w:w="26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Total revenues for the Title segment decreased $145 million, or 9%, in the three months ended June 30, 2014 from the 2013 period. Total revenues for the Title segment decreased $312 million, or 10%, in the six months ended June 30, 2014 from the 2013 period.</w:t>
      </w:r>
    </w:p>
    <w:p>
      <w:pPr>
        <w:spacing w:after="0" w:line="11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presents the percentages of title insurance premiums generated by our direct and agency operations: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Six months ended June 30,</w:t>
            </w:r>
          </w:p>
        </w:tc>
        <w:tc>
          <w:tcPr>
            <w:tcW w:w="980" w:type="dxa"/>
            <w:vAlign w:val="bottom"/>
            <w:tcBorders>
              <w:bottom w:val="single" w:sz="8" w:color="auto"/>
            </w:tcBorders>
          </w:tcPr>
          <w:p>
            <w:pPr>
              <w:spacing w:after="0"/>
              <w:rPr>
                <w:sz w:val="16"/>
                <w:szCs w:val="16"/>
                <w:color w:val="auto"/>
              </w:rPr>
            </w:pPr>
          </w:p>
        </w:tc>
      </w:tr>
      <w:tr>
        <w:trPr>
          <w:trHeight w:val="258"/>
        </w:trPr>
        <w:tc>
          <w:tcPr>
            <w:tcW w:w="2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2"/>
          </w:tcPr>
          <w:p>
            <w:pPr>
              <w:ind w:left="320"/>
              <w:spacing w:after="0"/>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ind w:left="340"/>
              <w:spacing w:after="0"/>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ind w:left="340"/>
              <w:spacing w:after="0"/>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ind w:right="257"/>
              <w:spacing w:after="0"/>
              <w:rPr>
                <w:sz w:val="20"/>
                <w:szCs w:val="20"/>
                <w:color w:val="auto"/>
              </w:rPr>
            </w:pPr>
            <w:r>
              <w:rPr>
                <w:rFonts w:ascii="Arial" w:cs="Arial" w:eastAsia="Arial" w:hAnsi="Arial"/>
                <w:sz w:val="14"/>
                <w:szCs w:val="14"/>
                <w:b w:val="1"/>
                <w:bCs w:val="1"/>
                <w:color w:val="auto"/>
              </w:rPr>
              <w:t>% of</w:t>
            </w:r>
          </w:p>
        </w:tc>
      </w:tr>
      <w:tr>
        <w:trPr>
          <w:trHeight w:val="276"/>
        </w:trPr>
        <w:tc>
          <w:tcPr>
            <w:tcW w:w="27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Total</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Total</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Total</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Total</w:t>
            </w:r>
          </w:p>
        </w:tc>
      </w:tr>
      <w:tr>
        <w:trPr>
          <w:trHeight w:val="196"/>
        </w:trPr>
        <w:tc>
          <w:tcPr>
            <w:tcW w:w="2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gridSpan w:val="5"/>
          </w:tcPr>
          <w:p>
            <w:pPr>
              <w:ind w:left="440"/>
              <w:spacing w:after="0"/>
              <w:rPr>
                <w:sz w:val="20"/>
                <w:szCs w:val="20"/>
                <w:color w:val="auto"/>
              </w:rPr>
            </w:pPr>
            <w:r>
              <w:rPr>
                <w:rFonts w:ascii="Arial" w:cs="Arial" w:eastAsia="Arial" w:hAnsi="Arial"/>
                <w:sz w:val="14"/>
                <w:szCs w:val="14"/>
                <w:b w:val="1"/>
                <w:bCs w:val="1"/>
                <w:color w:val="auto"/>
              </w:rPr>
              <w:t>(Dollars in millions)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5"/>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Title premiums from direct</w:t>
            </w: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7"/>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433</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492</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784</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905</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29"/>
        </w:trPr>
        <w:tc>
          <w:tcPr>
            <w:tcW w:w="2740" w:type="dxa"/>
            <w:vAlign w:val="bottom"/>
          </w:tcPr>
          <w:p>
            <w:pPr>
              <w:ind w:left="40"/>
              <w:spacing w:after="0"/>
              <w:rPr>
                <w:sz w:val="20"/>
                <w:szCs w:val="20"/>
                <w:color w:val="auto"/>
              </w:rPr>
            </w:pPr>
            <w:r>
              <w:rPr>
                <w:rFonts w:ascii="Arial" w:cs="Arial" w:eastAsia="Arial" w:hAnsi="Arial"/>
                <w:sz w:val="18"/>
                <w:szCs w:val="18"/>
                <w:color w:val="auto"/>
              </w:rPr>
              <w:t>Title premiums from agency</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740" w:type="dxa"/>
            <w:vAlign w:val="bottom"/>
          </w:tcPr>
          <w:p>
            <w:pPr>
              <w:ind w:left="40"/>
              <w:spacing w:after="0"/>
              <w:rPr>
                <w:sz w:val="20"/>
                <w:szCs w:val="20"/>
                <w:color w:val="auto"/>
              </w:rPr>
            </w:pPr>
            <w:r>
              <w:rPr>
                <w:rFonts w:ascii="Arial" w:cs="Arial" w:eastAsia="Arial" w:hAnsi="Arial"/>
                <w:sz w:val="18"/>
                <w:szCs w:val="18"/>
                <w:color w:val="auto"/>
              </w:rPr>
              <w:t>operations</w:t>
            </w:r>
          </w:p>
        </w:tc>
        <w:tc>
          <w:tcPr>
            <w:tcW w:w="240" w:type="dxa"/>
            <w:vAlign w:val="bottom"/>
          </w:tcPr>
          <w:p>
            <w:pPr>
              <w:spacing w:after="0"/>
              <w:rPr>
                <w:sz w:val="20"/>
                <w:szCs w:val="20"/>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518</w:t>
            </w:r>
          </w:p>
        </w:tc>
        <w:tc>
          <w:tcPr>
            <w:tcW w:w="120" w:type="dxa"/>
            <w:vAlign w:val="bottom"/>
          </w:tcPr>
          <w:p>
            <w:pPr>
              <w:spacing w:after="0"/>
              <w:rPr>
                <w:sz w:val="20"/>
                <w:szCs w:val="20"/>
                <w:color w:val="auto"/>
              </w:rPr>
            </w:pPr>
          </w:p>
        </w:tc>
        <w:tc>
          <w:tcPr>
            <w:tcW w:w="960" w:type="dxa"/>
            <w:vAlign w:val="bottom"/>
          </w:tcPr>
          <w:p>
            <w:pPr>
              <w:jc w:val="right"/>
              <w:ind w:right="119"/>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0"/>
                <w:szCs w:val="20"/>
                <w:color w:val="auto"/>
              </w:rPr>
            </w:pPr>
          </w:p>
        </w:tc>
        <w:tc>
          <w:tcPr>
            <w:tcW w:w="980" w:type="dxa"/>
            <w:vAlign w:val="bottom"/>
          </w:tcPr>
          <w:p>
            <w:pPr>
              <w:jc w:val="right"/>
              <w:ind w:right="119"/>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20"/>
                <w:szCs w:val="20"/>
                <w:color w:val="auto"/>
              </w:rPr>
            </w:pPr>
          </w:p>
        </w:tc>
        <w:tc>
          <w:tcPr>
            <w:tcW w:w="980" w:type="dxa"/>
            <w:vAlign w:val="bottom"/>
          </w:tcPr>
          <w:p>
            <w:pPr>
              <w:jc w:val="right"/>
              <w:ind w:right="119"/>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1,149</w:t>
            </w:r>
          </w:p>
        </w:tc>
        <w:tc>
          <w:tcPr>
            <w:tcW w:w="100" w:type="dxa"/>
            <w:vAlign w:val="bottom"/>
          </w:tcPr>
          <w:p>
            <w:pPr>
              <w:spacing w:after="0"/>
              <w:rPr>
                <w:sz w:val="20"/>
                <w:szCs w:val="20"/>
                <w:color w:val="auto"/>
              </w:rPr>
            </w:pPr>
          </w:p>
        </w:tc>
        <w:tc>
          <w:tcPr>
            <w:tcW w:w="980" w:type="dxa"/>
            <w:vAlign w:val="bottom"/>
          </w:tcPr>
          <w:p>
            <w:pPr>
              <w:jc w:val="right"/>
              <w:ind w:right="97"/>
              <w:spacing w:after="0"/>
              <w:rPr>
                <w:sz w:val="20"/>
                <w:szCs w:val="20"/>
                <w:color w:val="auto"/>
              </w:rPr>
            </w:pPr>
            <w:r>
              <w:rPr>
                <w:rFonts w:ascii="Arial" w:cs="Arial" w:eastAsia="Arial" w:hAnsi="Arial"/>
                <w:sz w:val="18"/>
                <w:szCs w:val="18"/>
                <w:color w:val="auto"/>
              </w:rPr>
              <w:t>56</w:t>
            </w:r>
          </w:p>
        </w:tc>
      </w:tr>
      <w:tr>
        <w:trPr>
          <w:trHeight w:val="27"/>
        </w:trPr>
        <w:tc>
          <w:tcPr>
            <w:tcW w:w="2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2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title premiums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951</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1,117</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1,706</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2,054</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2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Title premiums decreased 15% in the three months ended June 30, 2014 as compared to the 2013 period. The decrease was made up of a decrease in premiums from direct operations of $59 million, or 12%, and a decrease in premiums from agency operations of $107 million, or 17% in the three months ended June 30, 2014. Title premiums decreased 17% in the six months ended June 30, 2014 as compared to the 2013 period. The decrease was made up of a decrease in premiums from direct operations of $121 million, or 13%, and a decrease in premiums from agency operations of $227 million, or 20% in the six months ended June 30, 2014.</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1"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following table presents the percentages of closed title insurance orders generated by purchase and refinance transactions by our direct operations: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20" w:type="dxa"/>
            <w:vAlign w:val="bottom"/>
          </w:tcPr>
          <w:p>
            <w:pPr>
              <w:spacing w:after="0"/>
              <w:rPr>
                <w:sz w:val="16"/>
                <w:szCs w:val="16"/>
                <w:color w:val="auto"/>
              </w:rPr>
            </w:pPr>
          </w:p>
        </w:tc>
        <w:tc>
          <w:tcPr>
            <w:tcW w:w="2620" w:type="dxa"/>
            <w:vAlign w:val="bottom"/>
            <w:gridSpan w:val="4"/>
          </w:tcPr>
          <w:p>
            <w:pPr>
              <w:ind w:left="360"/>
              <w:spacing w:after="0"/>
              <w:rPr>
                <w:sz w:val="20"/>
                <w:szCs w:val="20"/>
                <w:color w:val="auto"/>
              </w:rPr>
            </w:pPr>
            <w:r>
              <w:rPr>
                <w:rFonts w:ascii="Arial" w:cs="Arial" w:eastAsia="Arial" w:hAnsi="Arial"/>
                <w:sz w:val="14"/>
                <w:szCs w:val="14"/>
                <w:b w:val="1"/>
                <w:bCs w:val="1"/>
                <w:color w:val="auto"/>
              </w:rPr>
              <w:t>Three months ended June 30,</w:t>
            </w:r>
          </w:p>
        </w:tc>
        <w:tc>
          <w:tcPr>
            <w:tcW w:w="2380" w:type="dxa"/>
            <w:vAlign w:val="bottom"/>
            <w:gridSpan w:val="3"/>
          </w:tcPr>
          <w:p>
            <w:pPr>
              <w:jc w:val="right"/>
              <w:ind w:right="273"/>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6420" w:type="dxa"/>
            <w:vAlign w:val="bottom"/>
            <w:tcBorders>
              <w:bottom w:val="single" w:sz="8" w:color="CCEEFF"/>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top w:val="single" w:sz="8" w:color="auto"/>
              <w:bottom w:val="single" w:sz="8" w:color="CCEEFF"/>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Opened title insurance orders from purchase transactions (1)</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Opened title insurance orders from refinance transactions (1)</w:t>
            </w: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39.9</w:t>
            </w:r>
          </w:p>
        </w:tc>
        <w:tc>
          <w:tcPr>
            <w:tcW w:w="120" w:type="dxa"/>
            <w:vAlign w:val="bottom"/>
          </w:tcPr>
          <w:p>
            <w:pPr>
              <w:spacing w:after="0"/>
              <w:rPr>
                <w:sz w:val="21"/>
                <w:szCs w:val="21"/>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21"/>
                <w:szCs w:val="21"/>
                <w:color w:val="auto"/>
              </w:rPr>
            </w:pP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42.5</w:t>
            </w:r>
          </w:p>
        </w:tc>
        <w:tc>
          <w:tcPr>
            <w:tcW w:w="220" w:type="dxa"/>
            <w:vAlign w:val="bottom"/>
          </w:tcPr>
          <w:p>
            <w:pPr>
              <w:spacing w:after="0"/>
              <w:rPr>
                <w:sz w:val="21"/>
                <w:szCs w:val="21"/>
                <w:color w:val="auto"/>
              </w:rPr>
            </w:pP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7"/>
        </w:trPr>
        <w:tc>
          <w:tcPr>
            <w:tcW w:w="64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4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Closed title insurance orders from purchase transactions (1)</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Closed title insurance orders from refinance transactions (1)</w:t>
            </w: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21"/>
                <w:szCs w:val="21"/>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21"/>
                <w:szCs w:val="21"/>
                <w:color w:val="auto"/>
              </w:rPr>
            </w:pP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43.0</w:t>
            </w:r>
          </w:p>
        </w:tc>
        <w:tc>
          <w:tcPr>
            <w:tcW w:w="220" w:type="dxa"/>
            <w:vAlign w:val="bottom"/>
          </w:tcPr>
          <w:p>
            <w:pPr>
              <w:spacing w:after="0"/>
              <w:rPr>
                <w:sz w:val="21"/>
                <w:szCs w:val="21"/>
                <w:color w:val="auto"/>
              </w:rPr>
            </w:pP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7"/>
        </w:trPr>
        <w:tc>
          <w:tcPr>
            <w:tcW w:w="64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4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20" w:type="dxa"/>
            <w:vAlign w:val="bottom"/>
            <w:vMerge w:val="continue"/>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Percentages exclude consideration of an immaterial number of non-purchase and non-refinance orders.</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Title premiums from direct operations decreased in 2014, primarily due to a decrease in closed order volumes as compared to the prior quarter, partially offset by an increase of $20 million and $40 million in the three and six months ended June 30, 2014, respectively, related to the transaction services business acquired from LPS on January 2, 2014. Also offsetting the decline in orders was an increase in commercial revenue from the 2013 period and increase in the commercial fee per file. The decrease in order volumes was primarily related to a significant decrease in refinance transactions since the fourth quarter of 2013. In 2013, refinance transactions represented more than 60% of our total closed orders versus approximately 40% in 2014. Closed order volumes were 342,000 in the three months ended June 30, 2014 compared with 504,000 in the three months ended June 30, 2013 and were 637,000 in the six months ended June 30, 2014 compared with 991,000 in the six months ended June 30, 2013. Although there was a decrease in closed order volumes in 2014, this was partially offset by a 27% increase in the fee per file in the three month period and a 31% increase in the fee per file in the six month period. The average fee per file in our direct operations was $1,982 and $1,924 in the three and six months ended June 30, 2014, respectively, compared to $1,562 and $1,469 in the three and six months ended June 30, 2013, respectively, with the increase reflecting a higher volume of purchase transactions, which have a higher fee per file. The fee per file tends to change as the mix of refinance and purchase transactions changes, because purchase transactions involve the issuance of both a lender’s policy and an owner’s policy, resulting in higher fees, whereas refinance transactions only require a lender’s policy, resulting in lower fees. Also, commercial transactions typically have a higher fee per file.</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decrease in title premiums from agency operations is primarily the result of the overall decline in real estate activity since the prior quarter. The decrease was consistent with the decrease in direct operations, except that the direct operations benefited from the addition of the transaction services business acquired from LPS on January 2, 2014, as discussed above.</w:t>
      </w:r>
    </w:p>
    <w:p>
      <w:pPr>
        <w:spacing w:after="0" w:line="7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Escrow, title related and other fees increased by $31 million, or 7% in the three months ending June 30, 2014 from 2013 and increased by $48 million, or 6% in the six months ending June 30, 2014 from 2013. Escrow fees, which are more directly related to our direct operations, decreased $45 million, or 22%, in the three months ended June 30, 2014 compared to the 2013 period and decreased $101 million, or 27%, in the six months ended June 30, 2014 compared to the 2013 period. In both periods the decrease is consistent with the decrease in direct title premiums. The decrease in Escrow fees was offset by the addition of $11 million and $23 million in the three and six months ended June 30, 2014, respectively, related to the transaction services business acquired from LPS on January 2, 2014. Other fees in the Title segment, excluding escrow fees, increased $76 million, or 30%, in the three months ended June 30, 2014 compared to the 2013 period and increased $149 million, or 31%, in the six months ended June 30, 2014 compared to the 2013 period. The increase in other fees was primarily due to the addition of $130 million and $249 million in the three and six months ended June 30, 2014, respectively, related to the transaction services business acquired from LPS on January 2, 2014. The increase in other fees was offset by decreases in direct operations.</w:t>
      </w:r>
    </w:p>
    <w:p>
      <w:pPr>
        <w:spacing w:after="0" w:line="5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Interest and investment income levels are primarily a function of securities markets, interest rates and the amount of cash available for investment. Interest and investment income decreased $3 million in the three months ended June 30, 2014 compared to the 2013 period and decreased $7 million in the six months ended June 30, 2014 compared to the 2013 period. The decrease is due primarily to decreases in bond yields of $3 million and $6 million in the three and six months ended June 30, 2014 from the 2013 period, respectively.</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Personnel costs include base salaries, commissions, benefits, stock-based compensation and bonuses paid to employees, and are one of our most significant operating expenses. The $5 million, or 1% decrease in the three-month period ended June 30, 2014 compared to the 2013 period is due to decreases in staffing levels consistent with the change in order volumes offset by severance expense of $1 million and an accrual for expected bonuses to be paid on our synergy bonus program of $12 million. The $10 million or 1% increase recorded during the six-month period ended June 30, 2014 related to severance expense of $16 million and</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an accrual for expected bonuses to be paid on our synergy bonus program of $25 million, offset by decreases in personnel costs due to decreased staffing levels consistent with the change in order volumes. Personnel costs as a percentage of total revenues from direct title premiums and escrow, title-related and other fees were 52% and 56% for the three and six-month periods ended June 30, 2014 and 51% and 53% for the three and six-month period ended June 30, 2013. Average employee count in the Title segment was 15,734 and 20,548 in the three-month periods ended June 30, 2014 and 2013, respectively, and 17,104 and 20,368 in the six-month periods ended June 30, 2014 and 2013, respectively. The decrease in both periods includes reductions in headcount as a result of synergies realized with the merger of the LPS transaction services business with the historical title business, offset by an increase of 2,668 employees from the LPS acquisition. Reduction in personnel during 2014 also relate to decreases in orders and revenues.</w:t>
      </w:r>
    </w:p>
    <w:p>
      <w:pPr>
        <w:spacing w:after="0" w:line="5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Other operating expenses consist primarily of facilities expenses, title plant maintenance, premium taxes (which insurance underwriters are required to pay on title premiums in lieu of franchise and other state taxes), postage and courier services, computer services, professional services, travel expenses, general insurance, and bad debt expense on our trade and notes receivable. Other operating expenses increased $32 million, or 11% in the three months ending June 30, 2014 from 2013 and increased by $113 million, or 20% in the six months ending June 30, 2014 from 2013. Other operating expenses increased in both periods due to the addition of the transaction services business acquired from LPS. Also affecting the six-month period ended June 30, 2014 were $39 million of transaction costs related to the LPS acquisition offset by an $8 million reduction to our accrual for premium taxes due to a statutory contingency resolved during the quarter.</w:t>
      </w:r>
    </w:p>
    <w:p>
      <w:pPr>
        <w:spacing w:after="0" w:line="81"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Agent commissions represent the portion of premiums retained by agents pursuant to the terms of their respective agency contracts. Agent commissions and the resulting percentage of agent premiums we retain vary according to regional differences in real estate closing practices and state regulations.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illustrates the relationship of agent premiums and agent commissions, which have remained consistent since 2013:</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Six months ended June 30,</w:t>
            </w:r>
          </w:p>
        </w:tc>
        <w:tc>
          <w:tcPr>
            <w:tcW w:w="980" w:type="dxa"/>
            <w:vAlign w:val="bottom"/>
            <w:tcBorders>
              <w:bottom w:val="single" w:sz="8" w:color="auto"/>
            </w:tcBorders>
          </w:tcPr>
          <w:p>
            <w:pPr>
              <w:spacing w:after="0"/>
              <w:rPr>
                <w:sz w:val="16"/>
                <w:szCs w:val="16"/>
                <w:color w:val="auto"/>
              </w:rPr>
            </w:pPr>
          </w:p>
        </w:tc>
      </w:tr>
      <w:tr>
        <w:trPr>
          <w:trHeight w:val="264"/>
        </w:trPr>
        <w:tc>
          <w:tcPr>
            <w:tcW w:w="27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w:t>
            </w:r>
          </w:p>
        </w:tc>
      </w:tr>
      <w:tr>
        <w:trPr>
          <w:trHeight w:val="196"/>
        </w:trPr>
        <w:tc>
          <w:tcPr>
            <w:tcW w:w="2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gridSpan w:val="5"/>
          </w:tcPr>
          <w:p>
            <w:pPr>
              <w:ind w:left="440"/>
              <w:spacing w:after="0"/>
              <w:rPr>
                <w:sz w:val="20"/>
                <w:szCs w:val="20"/>
                <w:color w:val="auto"/>
              </w:rPr>
            </w:pPr>
            <w:r>
              <w:rPr>
                <w:rFonts w:ascii="Arial" w:cs="Arial" w:eastAsia="Arial" w:hAnsi="Arial"/>
                <w:sz w:val="14"/>
                <w:szCs w:val="14"/>
                <w:b w:val="1"/>
                <w:bCs w:val="1"/>
                <w:color w:val="auto"/>
              </w:rPr>
              <w:t>(Dollars in millions)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6"/>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Agent premiums</w:t>
            </w: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518</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625</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922</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1,149</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Agent commissions</w:t>
            </w:r>
          </w:p>
        </w:tc>
        <w:tc>
          <w:tcPr>
            <w:tcW w:w="24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395</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870</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
        </w:trPr>
        <w:tc>
          <w:tcPr>
            <w:tcW w:w="2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2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retained agent premiums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2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Depreciation and amortization increased $20 million and $43 million in the three and six months ended June 30, 2014 from the 2013 periods, respectively. The increases in both periods are mainly due to additional amortization related to the LPS acquisition. In the three and six months ended June 30, 2014, $21 million and $43 million of incremental depreciation and amortization was recorded on assets acquired as a result of being marked to estimated fair value in purchase accounting.</w:t>
      </w:r>
    </w:p>
    <w:p>
      <w:pPr>
        <w:spacing w:after="0" w:line="7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provision for title claim losses includes an estimate of anticipated title and title-related claims and escrow losses. The estimate of anticipated title and title-related claims is accrued as a percentage of title premium revenue based on our historical loss experience and other relevant factors. Any significant adjustments to strengthen or release loss reserves resulting from the comparison with our actuarial analysis are made in addition to this loss provision rate. After considering historical claim losses, reporting patterns and current market information, and analyzing quantitative and qualitative data provided by our legal, claims and underwriting departments, we determine a loss provision rate, which is recorded as a percentage of current title premiums. This loss provision rate is set to provide for losses on current year policies, but due to development of prior years and our long claim duration, it periodically includes amounts of estimated adverse or positive development on prior years' policies. During the quarter ended June 30, 2014, we revised our loss provision rate to 6% from 7% primarily due to favorable development on more recent policy year claims.</w:t>
      </w:r>
    </w:p>
    <w:p>
      <w:pPr>
        <w:spacing w:after="0" w:line="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claim loss provision for title insurance was $57 million and $79 million for the three-month periods ended June 30, 2014 and 2013, respectively, and reflects an average provision rate of 6% and 7% of title premiums, respectively. The claim loss provision for title insurance was $110 million and $144 million for the six-month periods ended June 30, 2014 and 2013, respectively, and reflects an average provision rate of 6.5% and 7% of title premiums, respectively. We will continue to monitor and evaluate our loss provision level, actual claims paid, and the loss reserve position each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1"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BKFS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results of this segment reflected in the three and six months ended June 30, 2014, reflect results of BKFS and subsidiaries, which were initially consolidated on January 2, 2014, the date on which we acquired LPS.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2260" w:type="dxa"/>
            <w:vAlign w:val="bottom"/>
            <w:gridSpan w:val="3"/>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14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Arial" w:cs="Arial" w:eastAsia="Arial" w:hAnsi="Arial"/>
                <w:sz w:val="14"/>
                <w:szCs w:val="14"/>
                <w:b w:val="1"/>
                <w:bCs w:val="1"/>
                <w:color w:val="auto"/>
                <w:w w:val="91"/>
              </w:rPr>
              <w:t>Six months ended June 30,</w:t>
            </w:r>
          </w:p>
        </w:tc>
      </w:tr>
      <w:tr>
        <w:trPr>
          <w:trHeight w:val="192"/>
        </w:trPr>
        <w:tc>
          <w:tcPr>
            <w:tcW w:w="726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83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b w:val="1"/>
                <w:bCs w:val="1"/>
                <w:color w:val="auto"/>
              </w:rPr>
              <w:t>2014</w:t>
            </w:r>
          </w:p>
        </w:tc>
      </w:tr>
      <w:tr>
        <w:trPr>
          <w:trHeight w:val="190"/>
        </w:trPr>
        <w:tc>
          <w:tcPr>
            <w:tcW w:w="7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520" w:type="dxa"/>
            <w:vAlign w:val="bottom"/>
            <w:gridSpan w:val="4"/>
          </w:tcPr>
          <w:p>
            <w:pPr>
              <w:jc w:val="right"/>
              <w:ind w:right="1594"/>
              <w:spacing w:after="0"/>
              <w:rPr>
                <w:sz w:val="20"/>
                <w:szCs w:val="20"/>
                <w:color w:val="auto"/>
              </w:rPr>
            </w:pPr>
            <w:r>
              <w:rPr>
                <w:rFonts w:ascii="Arial" w:cs="Arial" w:eastAsia="Arial" w:hAnsi="Arial"/>
                <w:sz w:val="14"/>
                <w:szCs w:val="14"/>
                <w:b w:val="1"/>
                <w:bCs w:val="1"/>
                <w:color w:val="auto"/>
              </w:rPr>
              <w:t>(In millions)</w:t>
            </w:r>
          </w:p>
        </w:tc>
      </w:tr>
      <w:tr>
        <w:trPr>
          <w:trHeight w:val="255"/>
        </w:trPr>
        <w:tc>
          <w:tcPr>
            <w:tcW w:w="7260" w:type="dxa"/>
            <w:vAlign w:val="bottom"/>
          </w:tcPr>
          <w:p>
            <w:pPr>
              <w:ind w:left="40"/>
              <w:spacing w:after="0"/>
              <w:rPr>
                <w:sz w:val="20"/>
                <w:szCs w:val="20"/>
                <w:color w:val="auto"/>
              </w:rPr>
            </w:pPr>
            <w:r>
              <w:rPr>
                <w:rFonts w:ascii="Arial" w:cs="Arial" w:eastAsia="Arial" w:hAnsi="Arial"/>
                <w:sz w:val="18"/>
                <w:szCs w:val="18"/>
                <w:color w:val="auto"/>
              </w:rPr>
              <w:t>Revenues:</w:t>
            </w:r>
          </w:p>
        </w:tc>
        <w:tc>
          <w:tcPr>
            <w:tcW w:w="6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60" w:type="dxa"/>
            <w:vAlign w:val="bottom"/>
          </w:tcPr>
          <w:p>
            <w:pPr>
              <w:spacing w:after="0"/>
              <w:rPr>
                <w:sz w:val="22"/>
                <w:szCs w:val="22"/>
                <w:color w:val="auto"/>
              </w:rPr>
            </w:pPr>
          </w:p>
        </w:tc>
      </w:tr>
      <w:tr>
        <w:trPr>
          <w:trHeight w:val="27"/>
        </w:trPr>
        <w:tc>
          <w:tcPr>
            <w:tcW w:w="7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7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Escrow, title related and other fees</w:t>
            </w:r>
          </w:p>
        </w:tc>
        <w:tc>
          <w:tcPr>
            <w:tcW w:w="64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388</w:t>
            </w:r>
          </w:p>
        </w:tc>
      </w:tr>
      <w:tr>
        <w:trPr>
          <w:trHeight w:val="237"/>
        </w:trPr>
        <w:tc>
          <w:tcPr>
            <w:tcW w:w="7260" w:type="dxa"/>
            <w:vAlign w:val="bottom"/>
          </w:tcPr>
          <w:p>
            <w:pPr>
              <w:ind w:left="540"/>
              <w:spacing w:after="0"/>
              <w:rPr>
                <w:sz w:val="20"/>
                <w:szCs w:val="20"/>
                <w:color w:val="auto"/>
              </w:rPr>
            </w:pPr>
            <w:r>
              <w:rPr>
                <w:rFonts w:ascii="Arial" w:cs="Arial" w:eastAsia="Arial" w:hAnsi="Arial"/>
                <w:sz w:val="18"/>
                <w:szCs w:val="18"/>
                <w:color w:val="auto"/>
              </w:rPr>
              <w:t>Total revenues</w:t>
            </w:r>
          </w:p>
        </w:tc>
        <w:tc>
          <w:tcPr>
            <w:tcW w:w="64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388</w:t>
            </w:r>
          </w:p>
        </w:tc>
      </w:tr>
      <w:tr>
        <w:trPr>
          <w:trHeight w:val="27"/>
        </w:trPr>
        <w:tc>
          <w:tcPr>
            <w:tcW w:w="7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6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r>
      <w:tr>
        <w:trPr>
          <w:trHeight w:val="243"/>
        </w:trPr>
        <w:tc>
          <w:tcPr>
            <w:tcW w:w="7260" w:type="dxa"/>
            <w:vAlign w:val="bottom"/>
          </w:tcPr>
          <w:p>
            <w:pPr>
              <w:ind w:left="280"/>
              <w:spacing w:after="0"/>
              <w:rPr>
                <w:sz w:val="20"/>
                <w:szCs w:val="20"/>
                <w:color w:val="auto"/>
              </w:rPr>
            </w:pPr>
            <w:r>
              <w:rPr>
                <w:rFonts w:ascii="Arial" w:cs="Arial" w:eastAsia="Arial" w:hAnsi="Arial"/>
                <w:sz w:val="18"/>
                <w:szCs w:val="18"/>
                <w:color w:val="auto"/>
              </w:rPr>
              <w:t>Personnel costs</w:t>
            </w:r>
          </w:p>
        </w:tc>
        <w:tc>
          <w:tcPr>
            <w:tcW w:w="64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tcPr>
          <w:p>
            <w:pPr>
              <w:jc w:val="right"/>
              <w:ind w:right="14"/>
              <w:spacing w:after="0"/>
              <w:rPr>
                <w:sz w:val="20"/>
                <w:szCs w:val="20"/>
                <w:color w:val="auto"/>
              </w:rPr>
            </w:pPr>
            <w:r>
              <w:rPr>
                <w:rFonts w:ascii="Arial" w:cs="Arial" w:eastAsia="Arial" w:hAnsi="Arial"/>
                <w:sz w:val="18"/>
                <w:szCs w:val="18"/>
                <w:color w:val="auto"/>
              </w:rPr>
              <w:t>239</w:t>
            </w:r>
          </w:p>
        </w:tc>
      </w:tr>
      <w:tr>
        <w:trPr>
          <w:trHeight w:val="27"/>
        </w:trPr>
        <w:tc>
          <w:tcPr>
            <w:tcW w:w="7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operating expenses</w:t>
            </w:r>
          </w:p>
        </w:tc>
        <w:tc>
          <w:tcPr>
            <w:tcW w:w="6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w:t>
            </w:r>
          </w:p>
        </w:tc>
      </w:tr>
      <w:tr>
        <w:trPr>
          <w:trHeight w:val="243"/>
        </w:trPr>
        <w:tc>
          <w:tcPr>
            <w:tcW w:w="726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64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tcPr>
          <w:p>
            <w:pPr>
              <w:jc w:val="right"/>
              <w:ind w:right="14"/>
              <w:spacing w:after="0"/>
              <w:rPr>
                <w:sz w:val="20"/>
                <w:szCs w:val="20"/>
                <w:color w:val="auto"/>
              </w:rPr>
            </w:pPr>
            <w:r>
              <w:rPr>
                <w:rFonts w:ascii="Arial" w:cs="Arial" w:eastAsia="Arial" w:hAnsi="Arial"/>
                <w:sz w:val="18"/>
                <w:szCs w:val="18"/>
                <w:color w:val="auto"/>
              </w:rPr>
              <w:t>93</w:t>
            </w:r>
          </w:p>
        </w:tc>
      </w:tr>
      <w:tr>
        <w:trPr>
          <w:trHeight w:val="27"/>
        </w:trPr>
        <w:tc>
          <w:tcPr>
            <w:tcW w:w="7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7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6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w:t>
            </w:r>
          </w:p>
        </w:tc>
      </w:tr>
      <w:tr>
        <w:trPr>
          <w:trHeight w:val="237"/>
        </w:trPr>
        <w:tc>
          <w:tcPr>
            <w:tcW w:w="7260" w:type="dxa"/>
            <w:vAlign w:val="bottom"/>
          </w:tcPr>
          <w:p>
            <w:pPr>
              <w:ind w:left="540"/>
              <w:spacing w:after="0"/>
              <w:rPr>
                <w:sz w:val="20"/>
                <w:szCs w:val="20"/>
                <w:color w:val="auto"/>
              </w:rPr>
            </w:pPr>
            <w:r>
              <w:rPr>
                <w:rFonts w:ascii="Arial" w:cs="Arial" w:eastAsia="Arial" w:hAnsi="Arial"/>
                <w:sz w:val="18"/>
                <w:szCs w:val="18"/>
                <w:color w:val="auto"/>
              </w:rPr>
              <w:t>Total expenses</w:t>
            </w:r>
          </w:p>
        </w:tc>
        <w:tc>
          <w:tcPr>
            <w:tcW w:w="64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448</w:t>
            </w:r>
          </w:p>
        </w:tc>
      </w:tr>
      <w:tr>
        <w:trPr>
          <w:trHeight w:val="27"/>
        </w:trPr>
        <w:tc>
          <w:tcPr>
            <w:tcW w:w="726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57"/>
        </w:trPr>
        <w:tc>
          <w:tcPr>
            <w:tcW w:w="7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(loss) from continuing operations before income taxes</w:t>
            </w:r>
          </w:p>
        </w:tc>
        <w:tc>
          <w:tcPr>
            <w:tcW w:w="64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7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results of the BKFS segment were negatively affected by costs related to the acquisition and integration of LPS by FNF since January 2, 2014.</w:t>
      </w:r>
    </w:p>
    <w:p>
      <w:pPr>
        <w:spacing w:after="0" w:line="12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During the three months ending June 30, 2014, the results of BKFS contain $2 million of transaction expenses and an $8 million accrual for merger related litigation, which were included in other operating expenses. Included within personnel costs in the three months ending June 30, 2014 were $2 million in severance expenses relating to the acquisition and a $12 million expense to accrue for expected bonuses under our synergy bonus program. Depreciation and amortization for the three months ending June 30, 2014 includes $9 million in incremental purchase price amortization related to assets acquired with LPS and marked to estimated fair value in purchase accounting.</w:t>
      </w:r>
    </w:p>
    <w:p>
      <w:pPr>
        <w:spacing w:after="0" w:line="8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During the six months ending June 30, 2014, the results of BKFS contain $37 million of transaction expenses included in other operating expenses. Included within personnel costs in the six months ending June 30, 2014 were $26 million in severance expenses relating to the acquisition and a $25 million expense to accrue for expected bonuses under our synergy bonus program. Depreciation and amortization for the six months ending June 30, 2014 includes $48 million related to assets acquired with LPS and marked to fair value in purchase accounting.</w:t>
      </w:r>
    </w:p>
    <w:p>
      <w:pPr>
        <w:spacing w:after="0" w:line="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Excluding these merger related costs, earnings from continuing operations before income taxes in the three and six months ending June 30, 2014 was $50 million and $84 million, respectively, for the BKFS segment.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FNF Corporate and Other</w:t>
      </w:r>
    </w:p>
    <w:p>
      <w:pPr>
        <w:spacing w:after="0" w:line="11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FNF Corporate and Other segment consists of the operations of the parent holding company, certain other unallocated corporate overhead expenses, and other smaller real estate and insurance related operations.</w:t>
      </w:r>
    </w:p>
    <w:p>
      <w:pPr>
        <w:spacing w:after="0" w:line="62"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The FNF Corporate and Other segment generated revenues of $6 million and $18 million for the three months ended June 30, 2014 and 2013, respectively, and $14 million and $28 million for the six months ended June 30, 2014 and 2013, respectively. The decrease in both periods is due to the elimination of software license fees between our BKFS segment and our Title segment, which we began eliminating upon the acquisition of LPS in 2014.</w:t>
      </w:r>
    </w:p>
    <w:p>
      <w:pPr>
        <w:spacing w:after="0" w:line="3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Personnel costs were $9 million for each of the three months ended June 30, 2014 and 2013, respectively, and $23 million and $14 million for the six months ended June 30, 2014 and 2013, respectively. The increase in the six-month period was due primarily to an accrual of $8 million for expected bonuses to be paid on our synergy bonus program.</w:t>
      </w:r>
    </w:p>
    <w:p>
      <w:pPr>
        <w:spacing w:after="0" w:line="7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Other operating expenses in the FNF Corporate and Other segment were $19 million and $42 million for the three months ended June 30, 2014 and 2013, respectively, and $(2) million and $53 million for the six months ended June 30, 2014 and 2013, respectively. The decrease in the three month period is due to a $20 million accrual related to an employment litigation matter and $3 million in transaction costs related to the LPS acquisition in the 2013 period. The decrease in the six month period includes a $29 million payment from LPS subsequent to the merger as reimbursement for certain transaction costs in the 2014 period.</w:t>
      </w:r>
    </w:p>
    <w:p>
      <w:pPr>
        <w:spacing w:after="0" w:line="80"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Interest expense was $24 million and $16 million for the three months ended June 30, 2014 and 2013, respectively, and $46 million and $32 million for the six months ended June 30, 2014 and 2013, respectively. The increase in both 2014 periods is due to additional borrowings in January 2014 to finance the acquisition of LPS as well as interest related to the LPS unsecured notes assumed as part of the merger.</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1"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ind w:right="20" w:firstLine="243"/>
        <w:spacing w:after="0" w:line="308" w:lineRule="auto"/>
        <w:rPr>
          <w:sz w:val="20"/>
          <w:szCs w:val="20"/>
          <w:color w:val="auto"/>
        </w:rPr>
      </w:pPr>
      <w:r>
        <w:rPr>
          <w:rFonts w:ascii="Arial" w:cs="Arial" w:eastAsia="Arial" w:hAnsi="Arial"/>
          <w:sz w:val="17"/>
          <w:szCs w:val="17"/>
          <w:color w:val="auto"/>
        </w:rPr>
        <w:t>This segment generated pretax losses of $46 million and $50 million for the three months ended June 30, 2014 and 2013, respectively, and $54 million and $73 million for the six months ended June 30, 2014 and 2013, respectively, with the change due to the reasons discussed above.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60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Remy</w:t>
            </w:r>
          </w:p>
        </w:tc>
        <w:tc>
          <w:tcPr>
            <w:tcW w:w="260" w:type="dxa"/>
            <w:vAlign w:val="bottom"/>
          </w:tcPr>
          <w:p>
            <w:pPr>
              <w:spacing w:after="0"/>
              <w:rPr>
                <w:sz w:val="21"/>
                <w:szCs w:val="21"/>
                <w:color w:val="auto"/>
              </w:rPr>
            </w:pPr>
          </w:p>
        </w:tc>
        <w:tc>
          <w:tcPr>
            <w:tcW w:w="24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400" w:type="dxa"/>
            <w:vAlign w:val="bottom"/>
          </w:tcPr>
          <w:p>
            <w:pPr>
              <w:spacing w:after="0"/>
              <w:rPr>
                <w:sz w:val="21"/>
                <w:szCs w:val="21"/>
                <w:color w:val="auto"/>
              </w:rPr>
            </w:pPr>
          </w:p>
        </w:tc>
        <w:tc>
          <w:tcPr>
            <w:tcW w:w="2220" w:type="dxa"/>
            <w:vAlign w:val="bottom"/>
            <w:gridSpan w:val="4"/>
          </w:tcPr>
          <w:p>
            <w:pPr>
              <w:jc w:val="right"/>
              <w:ind w:right="391"/>
              <w:spacing w:after="0"/>
              <w:rPr>
                <w:sz w:val="20"/>
                <w:szCs w:val="20"/>
                <w:color w:val="auto"/>
              </w:rPr>
            </w:pPr>
            <w:r>
              <w:rPr>
                <w:rFonts w:ascii="Arial" w:cs="Arial" w:eastAsia="Arial" w:hAnsi="Arial"/>
                <w:sz w:val="14"/>
                <w:szCs w:val="14"/>
                <w:b w:val="1"/>
                <w:bCs w:val="1"/>
                <w:color w:val="auto"/>
                <w:w w:val="95"/>
              </w:rPr>
              <w:t>Six months ended June 30,</w:t>
            </w:r>
          </w:p>
        </w:tc>
      </w:tr>
      <w:tr>
        <w:trPr>
          <w:trHeight w:val="264"/>
        </w:trPr>
        <w:tc>
          <w:tcPr>
            <w:tcW w:w="606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2013</w:t>
            </w:r>
          </w:p>
        </w:tc>
      </w:tr>
      <w:tr>
        <w:trPr>
          <w:trHeight w:val="250"/>
        </w:trPr>
        <w:tc>
          <w:tcPr>
            <w:tcW w:w="60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Revenues: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Auto parts 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568</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Interest and investment income</w:t>
            </w:r>
          </w:p>
        </w:tc>
        <w:tc>
          <w:tcPr>
            <w:tcW w:w="26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Realized gains and losses, net</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7"/>
        </w:trPr>
        <w:tc>
          <w:tcPr>
            <w:tcW w:w="6060" w:type="dxa"/>
            <w:vAlign w:val="bottom"/>
          </w:tcPr>
          <w:p>
            <w:pPr>
              <w:ind w:left="540"/>
              <w:spacing w:after="0"/>
              <w:rPr>
                <w:sz w:val="20"/>
                <w:szCs w:val="20"/>
                <w:color w:val="auto"/>
              </w:rPr>
            </w:pPr>
            <w:r>
              <w:rPr>
                <w:rFonts w:ascii="Arial" w:cs="Arial" w:eastAsia="Arial" w:hAnsi="Arial"/>
                <w:sz w:val="18"/>
                <w:szCs w:val="18"/>
                <w:color w:val="auto"/>
              </w:rPr>
              <w:t>Total revenues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565</w:t>
            </w: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Personnel costs</w:t>
            </w:r>
          </w:p>
        </w:tc>
        <w:tc>
          <w:tcPr>
            <w:tcW w:w="26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46</w:t>
            </w: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60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5"/>
              </w:rPr>
              <w:t>Cost of auto parts revenue, includes $18, $18, $32, $36 of depreciation and</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481</w:t>
            </w:r>
          </w:p>
        </w:tc>
      </w:tr>
      <w:tr>
        <w:trPr>
          <w:trHeight w:val="216"/>
        </w:trPr>
        <w:tc>
          <w:tcPr>
            <w:tcW w:w="60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5"/>
              </w:rPr>
              <w:t>amortization in the three months ended June 30, 2014 and 2013 and the six</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7"/>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months ended June 30, 2014 and 2013, respectively</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Other operating expenses</w:t>
            </w:r>
          </w:p>
        </w:tc>
        <w:tc>
          <w:tcPr>
            <w:tcW w:w="26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23</w:t>
            </w: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w:t>
            </w:r>
          </w:p>
        </w:tc>
      </w:tr>
      <w:tr>
        <w:trPr>
          <w:trHeight w:val="27"/>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expenses</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562</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Earnings from continuing operations before income taxes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w:t>
            </w:r>
          </w:p>
        </w:tc>
      </w:tr>
      <w:tr>
        <w:trPr>
          <w:trHeight w:val="20"/>
        </w:trPr>
        <w:tc>
          <w:tcPr>
            <w:tcW w:w="6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Auto parts revenues increased $21 million, or 8% in the three months ending June 30, 2014, from 2013, which included an additional $9 million in revenues from the newly acquired USA Industries as well as $4 million in favorable foreign currency translation effect. Auto parts revenues increased $38 million, or 7% in the six months ending June 30, 2014, from 2013, due primarily to an additional $17 million in revenues from the newly acquired USA Industries as well as $5 million in favorable foreign currency translation effect.</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Cost of auto parts revenue increased $10 million, or 4%, in the three months ending June 30, 2014, from 2013, and increased $24 million, or 5%, in the six months ending June 30, 2014, from 2013, due to higher sales volumes related to the acquisition of USA Industries. Remy recorded a step-up gain on finished goods inventory relating to the acquisition of USA Industries of $1 million and $4 million in the three and six months ending June 30, 2014, respectively.</w:t>
      </w:r>
    </w:p>
    <w:p>
      <w:pPr>
        <w:spacing w:after="0" w:line="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Also affecting the six months ending June 30, 2013 was a $7 million charge to Personnel costs during the first quarter of 2013 for a one-time executive separation payment made to Remy's former Chief Executive Officer and President pursuant to the terms of a Transition, Noncompetition and Release Agreement, effective February 28, 2013.</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6060" w:type="dxa"/>
            <w:vAlign w:val="bottom"/>
          </w:tcPr>
          <w:p>
            <w:pPr>
              <w:ind w:left="80"/>
              <w:spacing w:after="0"/>
              <w:rPr>
                <w:sz w:val="20"/>
                <w:szCs w:val="20"/>
                <w:color w:val="auto"/>
              </w:rPr>
            </w:pPr>
            <w:r>
              <w:rPr>
                <w:rFonts w:ascii="Arial" w:cs="Arial" w:eastAsia="Arial" w:hAnsi="Arial"/>
                <w:sz w:val="18"/>
                <w:szCs w:val="18"/>
                <w:b w:val="1"/>
                <w:bCs w:val="1"/>
                <w:i w:val="1"/>
                <w:iCs w:val="1"/>
                <w:color w:val="auto"/>
              </w:rPr>
              <w:t>Restaurant Group</w:t>
            </w:r>
          </w:p>
        </w:tc>
        <w:tc>
          <w:tcPr>
            <w:tcW w:w="22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7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5"/>
              </w:rPr>
              <w:t>Six months ended June 30,</w:t>
            </w:r>
          </w:p>
        </w:tc>
        <w:tc>
          <w:tcPr>
            <w:tcW w:w="860" w:type="dxa"/>
            <w:vAlign w:val="bottom"/>
            <w:tcBorders>
              <w:bottom w:val="single" w:sz="8" w:color="auto"/>
            </w:tcBorders>
          </w:tcPr>
          <w:p>
            <w:pPr>
              <w:spacing w:after="0"/>
              <w:rPr>
                <w:sz w:val="21"/>
                <w:szCs w:val="21"/>
                <w:color w:val="auto"/>
              </w:rPr>
            </w:pPr>
          </w:p>
        </w:tc>
      </w:tr>
      <w:tr>
        <w:trPr>
          <w:trHeight w:val="264"/>
        </w:trPr>
        <w:tc>
          <w:tcPr>
            <w:tcW w:w="606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2013</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2013</w:t>
            </w:r>
          </w:p>
        </w:tc>
      </w:tr>
      <w:tr>
        <w:trPr>
          <w:trHeight w:val="190"/>
        </w:trPr>
        <w:tc>
          <w:tcPr>
            <w:tcW w:w="6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00" w:type="dxa"/>
            <w:vAlign w:val="bottom"/>
            <w:gridSpan w:val="3"/>
          </w:tcPr>
          <w:p>
            <w:pPr>
              <w:ind w:left="80"/>
              <w:spacing w:after="0"/>
              <w:rPr>
                <w:sz w:val="20"/>
                <w:szCs w:val="20"/>
                <w:color w:val="auto"/>
              </w:rPr>
            </w:pPr>
            <w:r>
              <w:rPr>
                <w:rFonts w:ascii="Arial" w:cs="Arial" w:eastAsia="Arial" w:hAnsi="Arial"/>
                <w:sz w:val="14"/>
                <w:szCs w:val="14"/>
                <w:b w:val="1"/>
                <w:bCs w:val="1"/>
                <w:color w:val="auto"/>
              </w:rPr>
              <w:t>(In millions)</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55"/>
        </w:trPr>
        <w:tc>
          <w:tcPr>
            <w:tcW w:w="6060" w:type="dxa"/>
            <w:vAlign w:val="bottom"/>
          </w:tcPr>
          <w:p>
            <w:pPr>
              <w:ind w:left="40"/>
              <w:spacing w:after="0"/>
              <w:rPr>
                <w:sz w:val="20"/>
                <w:szCs w:val="20"/>
                <w:color w:val="auto"/>
              </w:rPr>
            </w:pPr>
            <w:r>
              <w:rPr>
                <w:rFonts w:ascii="Arial" w:cs="Arial" w:eastAsia="Arial" w:hAnsi="Arial"/>
                <w:sz w:val="18"/>
                <w:szCs w:val="18"/>
                <w:color w:val="auto"/>
              </w:rPr>
              <w:t>Revenues:</w:t>
            </w:r>
          </w:p>
        </w:tc>
        <w:tc>
          <w:tcPr>
            <w:tcW w:w="8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
        </w:trPr>
        <w:tc>
          <w:tcPr>
            <w:tcW w:w="6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Restaurant revenue</w:t>
            </w:r>
          </w:p>
        </w:tc>
        <w:tc>
          <w:tcPr>
            <w:tcW w:w="8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358</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86"/>
              </w:rPr>
              <w:t>347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701</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Realized gains and losses, net</w:t>
            </w:r>
          </w:p>
        </w:tc>
        <w:tc>
          <w:tcPr>
            <w:tcW w:w="8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60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revenues</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357</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86"/>
              </w:rPr>
              <w:t>347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699</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Expenses:</w:t>
            </w: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Personnel costs</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Cost of restaurant revenue</w:t>
            </w:r>
          </w:p>
        </w:tc>
        <w:tc>
          <w:tcPr>
            <w:tcW w:w="84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99"/>
              </w:rPr>
              <w:t>303</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jc w:val="right"/>
              <w:ind w:right="32"/>
              <w:spacing w:after="0"/>
              <w:rPr>
                <w:sz w:val="20"/>
                <w:szCs w:val="20"/>
                <w:color w:val="auto"/>
              </w:rPr>
            </w:pPr>
            <w:r>
              <w:rPr>
                <w:rFonts w:ascii="Arial" w:cs="Arial" w:eastAsia="Arial" w:hAnsi="Arial"/>
                <w:sz w:val="18"/>
                <w:szCs w:val="18"/>
                <w:color w:val="auto"/>
                <w:w w:val="86"/>
              </w:rPr>
              <w:t>295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597</w:t>
            </w:r>
          </w:p>
        </w:tc>
      </w:tr>
      <w:tr>
        <w:trPr>
          <w:trHeight w:val="27"/>
        </w:trPr>
        <w:tc>
          <w:tcPr>
            <w:tcW w:w="6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operating expenses</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84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27</w:t>
            </w:r>
          </w:p>
        </w:tc>
      </w:tr>
      <w:tr>
        <w:trPr>
          <w:trHeight w:val="27"/>
        </w:trPr>
        <w:tc>
          <w:tcPr>
            <w:tcW w:w="6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8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r>
      <w:tr>
        <w:trPr>
          <w:trHeight w:val="237"/>
        </w:trPr>
        <w:tc>
          <w:tcPr>
            <w:tcW w:w="6060" w:type="dxa"/>
            <w:vAlign w:val="bottom"/>
          </w:tcPr>
          <w:p>
            <w:pPr>
              <w:ind w:left="540"/>
              <w:spacing w:after="0"/>
              <w:rPr>
                <w:sz w:val="20"/>
                <w:szCs w:val="20"/>
                <w:color w:val="auto"/>
              </w:rPr>
            </w:pPr>
            <w:r>
              <w:rPr>
                <w:rFonts w:ascii="Arial" w:cs="Arial" w:eastAsia="Arial" w:hAnsi="Arial"/>
                <w:sz w:val="18"/>
                <w:szCs w:val="18"/>
                <w:color w:val="auto"/>
              </w:rPr>
              <w:t>Total expenses</w:t>
            </w:r>
          </w:p>
        </w:tc>
        <w:tc>
          <w:tcPr>
            <w:tcW w:w="8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350</w:t>
            </w:r>
          </w:p>
        </w:tc>
        <w:tc>
          <w:tcPr>
            <w:tcW w:w="12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86"/>
              </w:rPr>
              <w:t>342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694</w:t>
            </w:r>
          </w:p>
        </w:tc>
      </w:tr>
      <w:tr>
        <w:trPr>
          <w:trHeight w:val="27"/>
        </w:trPr>
        <w:tc>
          <w:tcPr>
            <w:tcW w:w="60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from continuing operations before income taxes</w:t>
            </w:r>
          </w:p>
        </w:tc>
        <w:tc>
          <w:tcPr>
            <w:tcW w:w="84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r>
      <w:tr>
        <w:trPr>
          <w:trHeight w:val="20"/>
        </w:trPr>
        <w:tc>
          <w:tcPr>
            <w:tcW w:w="60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121" w:right="239" w:bottom="1440" w:gutter="0" w:footer="0" w:header="0"/>
          <w:type w:val="continuous"/>
        </w:sectPr>
      </w:pPr>
    </w:p>
    <w:bookmarkStart w:id="48" w:name="page49"/>
    <w:bookmarkEnd w:id="48"/>
    <w:p>
      <w:pPr>
        <w:spacing w:after="0" w:line="1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Total revenues for the Restaurant group segment increased $10 million, or 3%, in the three months ended June 30, 2014, from the 2013 period and increased $12 million, or 2% in the six months ended June 30, 2014, from the 2013 period.</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Earnings from continuing operations before income taxes increased $2 million in the three months ending June 30, 2014, from the 2013 period. Earnings from continuing operations before income taxes increased $11 million in the six months ending June 30, 2014 from the 2013 period mainly due to the results of the Restaurant group segment in 2013 being negatively affected by a $2 million impairment charge related to the closing of one J. Alexander's location and one Max &amp; Erma's location, which was included in Realized gains and losses, net and $10 million in transaction and integration costs included in Other operating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FNFV Corporate and Other</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FNFV Corporate and Other segment includes our share in the operations of certain equity investments, including Ceridian, Digital Insurance, Cascade Timberlands and other smaller operations. This segment also includes our Long Term Incentive Plan ("LTIP") established during 2012 which is tied to the fair value of certain of our FNFV investments.</w:t>
      </w:r>
    </w:p>
    <w:p>
      <w:pPr>
        <w:spacing w:after="0" w:line="7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FNFV Corporate and Other segment generated revenues of $28 million and $23 million for the three months ending June 30, 2014 and 2013, respectively, and generated revenues of $58 million and $42 million for the six months ending June 30, 2014 and 2013, respectively.</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Revenues increased $5 million, or 22% in the three months ending June 30, 2014 from 2013, and $16 million, or 38% in the six months ending June 30, 2014 from 2013, which includes an increase of $6 million and $13 million in the three and six months ending June 30, 2014 from 2013 at Digital Insurance. Digital Insurance made several acquisitions during 2013, which account for this growth in revenue.</w:t>
      </w:r>
    </w:p>
    <w:p>
      <w:pPr>
        <w:spacing w:after="0" w:line="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Personnel costs were $19 million and $24 million, for the three months ended June 30, 2014 and 2013, respectively, and were $39 million and $45 million, for the six months ended June 30, 2014 and 2013, respectively. The decrease in both periods is primarily due to 2013 including $8 million and $16 million of additional expense recorded in the three and six months ended June 30, 2013, respectively, related to the accrual for our Long Term Incentive Plan established in the third quarter of 2012, which is tied to the fair value of certain of our portfolio company investments, offset by slight increases in personnel costs at Digital Insurance.</w:t>
      </w:r>
    </w:p>
    <w:p>
      <w:pPr>
        <w:spacing w:after="0" w:line="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segment generated pretax earnings (losses) of $1 million and $(9) million for the three months ended June 30, 2014 and 2013, respectively, with the change due to the increase in revenues and decrease in personnel costs as described above. This segment generated pretax earnings (losses) of $3 million and $(17) million for the six months ended June 30, 2014 and 2013, respectively, with the change due to the increase in revenues and decrease in personnel costs as described above.</w:t>
      </w:r>
    </w:p>
    <w:p>
      <w:pPr>
        <w:spacing w:after="0" w:line="7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Equity in losses in unconsolidated affiliates was $7 million for each of the three months ended June 30, 2014 and 2013, respectively and was $38 million and $11 million for the six months ended June 30, 2014 and 2013, respectively. The equity in losses of unconsolidated affiliates for the six-months ending June 30, 2014 includes nine months of Ceridian's results, as we have transitioned Ceridian to a real-time financial reporting schedule as opposed to the historical one-quarter lag. As a result, the results for 2014 include $34 million in losses for the period ending December 31, 2013, and $4 million in earnings for the three month period ended March 31, 2014 and $5 million in losses for the three month period ended June 30, 2014. Included in our results for the six-month period ended June 30, 2014 are losses of $21 million, net of taxes, primarily related to the settlement of Ceridian's U.S. Fueling Merchants lawsuit. The six months ending June 30, 2013 includes our 32% share of a $10 million, net of tax, one time charge to write off a deferred tax asset at Ceridian.</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Cash Requirements. </w:t>
      </w:r>
      <w:r>
        <w:rPr>
          <w:rFonts w:ascii="Arial" w:cs="Arial" w:eastAsia="Arial" w:hAnsi="Arial"/>
          <w:sz w:val="18"/>
          <w:szCs w:val="18"/>
          <w:color w:val="auto"/>
        </w:rPr>
        <w:t>Our current cash requirements include personnel costs, operating expenses, claim payments, taxes, payments of interest and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on our debt, capital expenditures, business acquisitions, stock repurchases, and dividends on our common stock. We paid dividends of $0.18 per share for the second quarter of 2014, or approximately $50 million. On July 21, 2014, our Board of Directors declared cash dividends of $0.18 per share, payable on September 30, 2014, to FNF Group common shareholders of record as of September 16, 2014. There are no restrictions on our retained earnings regarding our ability to pay dividends to our shareholders, although there are limits on the ability of certain subsidiaries to pay dividends to us, as described below. The declaration of any future dividends is at the discretion of our Board of Directors. Additional uses of cash flow are expected to include acquisitions, stock repurchases, and debt repayments.</w:t>
      </w:r>
    </w:p>
    <w:p>
      <w:pPr>
        <w:spacing w:after="0" w:line="18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continually assess our capital allocation strategy, including decisions relating to the amount of our dividend, reducing debt, repurchasing our stock, and/or conserving cash. We believe that all anticipated cash requirements for current operations will be met from internally generated funds, through cash dividends from subsidiaries, cash generated by investment securities, potential sales of non-strategic assets, and borrowings on existing credit facilities. Our short-term and long-term liquidity requirements are monitored regularly to ensure that we can meet our cash requirements. We forecast the needs of all of our subsidiaries and</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periodically review their short-term and long-term projected sources and uses of funds, as well as the asset, liability, investment and cash flow assumptions underlying such forecasts.</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insurance subsidiaries generate cash from premiums earned and their respective investment portfolios and these funds are adequate to satisfy the payments of claims and other liabilities. Due to the magnitude of our investment portfolio in relation to our title claim loss reserves, we do not specifically match durations of our investments to the cash outflows required to pay claims, but do manage outflows on a shorter time frame.</w:t>
      </w:r>
    </w:p>
    <w:p>
      <w:pPr>
        <w:spacing w:after="0" w:line="16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two significant sources of internally generated funds are dividends and other payments from our subsidiaries. As a holding company, we receive cash from our subsidiaries in the form of dividends and as reimbursement for operating and other administrative expenses we incur. The reimbursements are paid within the guidelines of management agreements among us and our subsidiaries. Our insurance subsidiaries are restricted by state regulation in their ability to pay dividends and make distributions. Each state of domicile regulates the extent to which our title underwriters can pay dividends or make other distributions. As of December 31, 2013, $1,909 million of our net assets were restricted from dividend payments without prior approval from the relevant departments of insurance. As of June 30, 2014, our title subsidiaries could pay or make distributions to us of approximately $169 million without prior approval. Our underwritten title companies and non-insurance subsidiaries collect revenue and pay operating expenses. However, they are not regulated to the same extent as our insurance subsidiaries.</w:t>
      </w:r>
    </w:p>
    <w:p>
      <w:pPr>
        <w:spacing w:after="0" w:line="19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maximum dividend permitted by law is not necessarily indicative of an insurer’s actual ability to pay dividends, which may be constrained by business and regulatory considerations, such as the impact of dividends on surplus, which could affect an insurer’s ratings or competitive position, the amount of premiums that can be written and the ability to pay future dividends. Further, depending on business and regulatory conditions, we may in the future need to retain cash in our underwriters or even contribute cash to one or more of them in order to maintain their ratings or their statutory capital position. Such a</w:t>
      </w:r>
    </w:p>
    <w:p>
      <w:pPr>
        <w:sectPr>
          <w:pgSz w:w="11900" w:h="16945" w:orient="portrait"/>
          <w:cols w:equalWidth="0" w:num="1">
            <w:col w:w="11420"/>
          </w:cols>
          <w:pgMar w:left="240" w:top="121" w:right="239" w:bottom="0" w:gutter="0" w:footer="0" w:header="0"/>
        </w:sectPr>
      </w:pPr>
    </w:p>
    <w:bookmarkStart w:id="49" w:name="page50"/>
    <w:bookmarkEnd w:id="49"/>
    <w:p>
      <w:pPr>
        <w:jc w:val="both"/>
        <w:spacing w:after="0" w:line="277" w:lineRule="auto"/>
        <w:rPr>
          <w:sz w:val="20"/>
          <w:szCs w:val="20"/>
          <w:color w:val="auto"/>
        </w:rPr>
      </w:pPr>
      <w:r>
        <w:rPr>
          <w:rFonts w:ascii="Arial" w:cs="Arial" w:eastAsia="Arial" w:hAnsi="Arial"/>
          <w:sz w:val="18"/>
          <w:szCs w:val="18"/>
          <w:color w:val="auto"/>
        </w:rPr>
        <w:t>requirement could be the result of investment losses, reserve charges, adverse operating conditions in the current economic environment or changes in statutory accounting requirements by regulators.</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June 30, 2014, we completed the creation of a tracking stock for our portfolio company investments, now known as FNFV. The primary FNFV investments include our equity interests in Remy, ABRH, J. Alexander's, Ceridian, and Digital Insurance. We provided $200 million in financial support to FNFV comprised of $100 million in cash and $100 million in a line of credit, upon formation of the tracking stock. The $100 million in cash and the $100 million line of credit will be used solely for investment purposes. From time to time, we may also provide additional loans to FNFV to cover corporate expenses and working capital. All additional investments in existing FNFV owned companies and any new FNFV company investments will be funded and managed by FNFV.</w:t>
      </w:r>
    </w:p>
    <w:p>
      <w:pPr>
        <w:spacing w:after="0" w:line="19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flow from FNF's core operations will be used for general corporate purposes including to reinvest in core operations, repay debt, pay dividends, repurchase stock, other strategic initiatives and/or conserving cash.</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cash flows (used in) provided by operations for the six months ended June 30, 2014 and 2013 totaled $(11) and $214 million, respectively. The decrease of $225 million is primarily due to the payment of $45 million in transaction costs relating to the acquisition of LPS, bonus payments of $88 million relating to payments under our LTIP and our synergy bonus program, $42 million in severance payments relating to the LPS acquisition and $48 million in payments made for certain legal matters relating to historic LPS matters. These cash outflows were offset by tax refunds of $62 million on LPS acquisition costs.</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Total capital expenditures for property and equipment and capitalized software were $83 million and $77 million for the six-month</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ended June 30, 2014 and 2013, respectively, with the increase related to expenditures on capitalized software at BKFS, acquired with LPS on January 2, 2014.</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Financing. </w:t>
      </w:r>
      <w:r>
        <w:rPr>
          <w:rFonts w:ascii="Arial" w:cs="Arial" w:eastAsia="Arial" w:hAnsi="Arial"/>
          <w:sz w:val="18"/>
          <w:szCs w:val="18"/>
          <w:color w:val="auto"/>
        </w:rPr>
        <w:t>For a description of our financing arrangements see Note F included in Item 1 of Part 1 of this Report, which is incorporated by reference into</w:t>
      </w:r>
      <w:r>
        <w:rPr>
          <w:rFonts w:ascii="Arial" w:cs="Arial" w:eastAsia="Arial" w:hAnsi="Arial"/>
          <w:sz w:val="18"/>
          <w:szCs w:val="18"/>
          <w:i w:val="1"/>
          <w:iCs w:val="1"/>
          <w:color w:val="auto"/>
        </w:rPr>
        <w:t xml:space="preserve"> </w:t>
      </w:r>
      <w:r>
        <w:rPr>
          <w:rFonts w:ascii="Arial" w:cs="Arial" w:eastAsia="Arial" w:hAnsi="Arial"/>
          <w:sz w:val="18"/>
          <w:szCs w:val="18"/>
          <w:color w:val="auto"/>
        </w:rPr>
        <w:t>this Part I Item 2.</w:t>
      </w:r>
    </w:p>
    <w:p>
      <w:pPr>
        <w:spacing w:after="0" w:line="6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Seasonality. </w:t>
      </w:r>
      <w:r>
        <w:rPr>
          <w:rFonts w:ascii="Arial" w:cs="Arial" w:eastAsia="Arial" w:hAnsi="Arial"/>
          <w:sz w:val="17"/>
          <w:szCs w:val="17"/>
          <w:color w:val="auto"/>
        </w:rPr>
        <w:t>Historically, real estate transactions have produced seasonal revenue levels for the real estate industry including title insurers. The first</w:t>
      </w:r>
      <w:r>
        <w:rPr>
          <w:rFonts w:ascii="Arial" w:cs="Arial" w:eastAsia="Arial" w:hAnsi="Arial"/>
          <w:sz w:val="17"/>
          <w:szCs w:val="17"/>
          <w:i w:val="1"/>
          <w:iCs w:val="1"/>
          <w:color w:val="auto"/>
        </w:rPr>
        <w:t xml:space="preserve"> </w:t>
      </w:r>
      <w:r>
        <w:rPr>
          <w:rFonts w:ascii="Arial" w:cs="Arial" w:eastAsia="Arial" w:hAnsi="Arial"/>
          <w:sz w:val="17"/>
          <w:szCs w:val="17"/>
          <w:color w:val="auto"/>
        </w:rPr>
        <w:t>calendar quarter is typically the weakest quarter in terms of revenue due to the generally low volume of home sales during January and February. The third calendar quarter has been typically the strongest in terms of revenue primarily due to a higher volume of home sales in the summer months and the fourth quarter is usually also strong due to commercial entities desiring to complete transactions by year-end. We have noted short term fluctuations through recent years in resale and refinance transactions as a result of changes in interest rates and the implementation and subsequent expiration of government programs designed to stimulate the real estate market. In 2013, we saw seasonality trends return to historical patterns. During 2013 and through the first half of 2014, we experienced a moderate increase in existing home sales and we have also seen a decline in total housing inventory. However, we have experienced significant declines in refinance activity starting in the fourth quarter of 2013.</w:t>
      </w:r>
    </w:p>
    <w:p>
      <w:pPr>
        <w:spacing w:after="0" w:line="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our Restaurant Group, average weekly sales per restaurant are typically higher in the first and fourth quarters, and we typically generate a disproportionate share of our earnings from operations in the first and fourth quarters. Holidays, severe weather and other disruptive conditions may impact sales volumes seasonally in some operating regions.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Contractual Obligations. </w:t>
      </w:r>
      <w:r>
        <w:rPr>
          <w:rFonts w:ascii="Arial" w:cs="Arial" w:eastAsia="Arial" w:hAnsi="Arial"/>
          <w:sz w:val="18"/>
          <w:szCs w:val="18"/>
          <w:color w:val="auto"/>
        </w:rPr>
        <w:t>There have been no significant changes to our long term contractual obligations since the 10-Q filed on May 8, 2014, other than</w:t>
      </w:r>
      <w:r>
        <w:rPr>
          <w:rFonts w:ascii="Arial" w:cs="Arial" w:eastAsia="Arial" w:hAnsi="Arial"/>
          <w:sz w:val="18"/>
          <w:szCs w:val="18"/>
          <w:i w:val="1"/>
          <w:iCs w:val="1"/>
          <w:color w:val="auto"/>
        </w:rPr>
        <w:t xml:space="preserve"> </w:t>
      </w:r>
      <w:r>
        <w:rPr>
          <w:rFonts w:ascii="Arial" w:cs="Arial" w:eastAsia="Arial" w:hAnsi="Arial"/>
          <w:sz w:val="18"/>
          <w:szCs w:val="18"/>
          <w:color w:val="auto"/>
        </w:rPr>
        <w:t>as described below.</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second quarter of 2014, we entered into an investment commitment for $40 million to be made in the future.</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Capital Stock Transactions</w:t>
      </w:r>
      <w:r>
        <w:rPr>
          <w:rFonts w:ascii="Arial" w:cs="Arial" w:eastAsia="Arial" w:hAnsi="Arial"/>
          <w:sz w:val="18"/>
          <w:szCs w:val="18"/>
          <w:color w:val="auto"/>
        </w:rPr>
        <w:t>. On June 30, 2014, we completed the recapitalization of FNF common stock into the two previously announced tracking</w:t>
      </w:r>
      <w:r>
        <w:rPr>
          <w:rFonts w:ascii="Arial" w:cs="Arial" w:eastAsia="Arial" w:hAnsi="Arial"/>
          <w:sz w:val="18"/>
          <w:szCs w:val="18"/>
          <w:i w:val="1"/>
          <w:iCs w:val="1"/>
          <w:color w:val="auto"/>
        </w:rPr>
        <w:t xml:space="preserve"> </w:t>
      </w:r>
      <w:r>
        <w:rPr>
          <w:rFonts w:ascii="Arial" w:cs="Arial" w:eastAsia="Arial" w:hAnsi="Arial"/>
          <w:sz w:val="18"/>
          <w:szCs w:val="18"/>
          <w:color w:val="auto"/>
        </w:rPr>
        <w:t>stocks, FNF Group common stock and FNFV Group common stock. We issued 277,462,875 shares of FNF Group common stock and 91,711,237 shares of FNFV Group common stock. See Note A for further discussion on the recapitalization of FNF common stock.</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January 2, 2014, we completed the purchase of LPS. As part of the consideration, $839 million or 25,920,078 shares of FNF common stock was issued to LPS stockholders. See Note B for further information on the acquisition of LPS.</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October 24, 2013, we offered 17,250,000 shares of our common stock at an offering price of $26.75 per share, pursuant to an effective registration statement previously filed with the Securities and Exchange Commission. We granted the underwriters a 30-day option to purchase 2,587,500 additional shares at the offering price, which was subsequently exercised in full. A total of 19,837,500 shares were issued on October 30, 2013, for net proceeds of approximately $511 million. The net proceeds from this offering were used to pay a portion of the cash consideration for the LPS acquisition on January 2, 2014.</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July 21, 2012, our Board of Directors approved a three-year stock purchase program, effective August 1, 2012, under which we can repurchase up to 15 million shares of our common stock through July 31, 2015. We may make repurchases from time to time in the open market, in block purchases or in privately negotiated transactions, depending on market conditions and other factors. We did not repurchase any shares during the three months ended June 30, 2014. Subsequent to June 30, 2014 through market close on August 1, 2014, we did not purchase any additional shares. Since the original commencement of the plan on August 1, 2012, we have repurchased a total of 2,080,000 shares for $50 million, or an average of $23.90 per share, and there are 12,920,000 shares available to be repurchased under this program.</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Equity Security and Preferred Stock Investments. </w:t>
      </w:r>
      <w:r>
        <w:rPr>
          <w:rFonts w:ascii="Arial" w:cs="Arial" w:eastAsia="Arial" w:hAnsi="Arial"/>
          <w:sz w:val="18"/>
          <w:szCs w:val="18"/>
          <w:color w:val="auto"/>
        </w:rPr>
        <w:t>Our equity security and preferred stock investments may be subject to significant volatility. Should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of these investments fall below our cost basis and/or the financial condition or prospects of these companies deteriorate, we may determine in a future period that this decline in fair value is other-than-temporary, requiring that an impairment loss be recognized in the period such a determination is made.</w:t>
      </w:r>
    </w:p>
    <w:p>
      <w:pPr>
        <w:spacing w:after="0" w:line="18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 xml:space="preserve">Off-Balance Sheet Arrangements. </w:t>
      </w:r>
      <w:r>
        <w:rPr>
          <w:rFonts w:ascii="Arial" w:cs="Arial" w:eastAsia="Arial" w:hAnsi="Arial"/>
          <w:sz w:val="17"/>
          <w:szCs w:val="17"/>
          <w:color w:val="auto"/>
        </w:rPr>
        <w:t>We do not engage in off-balance sheet activities other than facility and equipment leasing arrangements. On June 29,</w:t>
      </w:r>
      <w:r>
        <w:rPr>
          <w:rFonts w:ascii="Arial" w:cs="Arial" w:eastAsia="Arial" w:hAnsi="Arial"/>
          <w:sz w:val="17"/>
          <w:szCs w:val="17"/>
          <w:i w:val="1"/>
          <w:iCs w:val="1"/>
          <w:color w:val="auto"/>
        </w:rPr>
        <w:t xml:space="preserve"> </w:t>
      </w:r>
      <w:r>
        <w:rPr>
          <w:rFonts w:ascii="Arial" w:cs="Arial" w:eastAsia="Arial" w:hAnsi="Arial"/>
          <w:sz w:val="17"/>
          <w:szCs w:val="17"/>
          <w:color w:val="auto"/>
        </w:rPr>
        <w:t>2004 we entered into an off-balance sheet financing arrangement (commonly referred to as a “synthetic lease”). The owner/lessor in this arrangement acquired land and various real property improvements associated with new construction of an office building in Jacksonville, Florida, at our corporate campus and headquarters. The lessor financed the acquisition of the facilities through funding provided by third-party financial institutions. On June 27, 2011, we renewed and amended the synthetic lease for the facilities. The amended synthetic lease provides for a five year term ending June 27, 2016 and had an outstanding balance as of June 30, 2014 of $71 million. The amended lease includes guarantees by us of up to 83% of the outstanding lease balance, and options to purchase the facilities at the outstanding lease balance. The guarantee becomes effective if we decline to purchase the facilities or renew the lease at the end of its term. The lessor is a third-party company and we have no affiliation or relationship with the lessor or any of its employees, directors or affiliates, and transactions with the lessor are limited to the operating lease agreements and the associated rent expense that have been included in other operating expenses in the Condensed Consolidated Statements of Earnings. We do not believe the lessor is a variable interest entity, as defined in the FASB standard on consolidation of variable interest entities.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B for a discussion of the changes to our critical accounting policies described in our Annual Report on Form 10-K for our fiscal year ended December 31, 2013.</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There have been no material changes in the market risks described in our Annual Report on Form 10-K for the year ended December 31, 2013.</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the end of the period covered by this report, we carried out an evaluation, under the supervision and with the participation of our principal executive officer and principal financial officer, of the effectiveness of the design and operation of our disclosure controls and procedures, as such term is defined in Rule 13a-15(e) under the Securities Exchange Act of 1934, as amended. Based on this evaluation, our principal executive officer and principal financial officer concluded that our disclosure controls and procedures are effective to ensure that information required to be disclosed by the Company in the reports that we file or submit under the Securities Exchange Act of 1934 is: (a) recorded, processed, summarized and reported, within the time periods specified</w:t>
      </w:r>
    </w:p>
    <w:p>
      <w:pPr>
        <w:sectPr>
          <w:pgSz w:w="11900" w:h="16838" w:orient="portrait"/>
          <w:cols w:equalWidth="0" w:num="1">
            <w:col w:w="11420"/>
          </w:cols>
          <w:pgMar w:left="240" w:top="121" w:right="239" w:bottom="1440" w:gutter="0" w:footer="0" w:header="0"/>
        </w:sect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121" w:right="239"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Commission’s rules and forms; and (b) accumulated and communicated to management, including our principal executive and principal financial officers, as appropriate to allow timely decisions regarding required disclosure.</w:t>
      </w:r>
    </w:p>
    <w:p>
      <w:pPr>
        <w:spacing w:after="0" w:line="6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June 30, 2014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right="2380" w:firstLine="324"/>
        <w:spacing w:after="0" w:line="264" w:lineRule="auto"/>
        <w:rPr>
          <w:sz w:val="20"/>
          <w:szCs w:val="20"/>
          <w:color w:val="auto"/>
        </w:rPr>
      </w:pPr>
      <w:r>
        <w:rPr>
          <w:rFonts w:ascii="Arial" w:cs="Arial" w:eastAsia="Arial" w:hAnsi="Arial"/>
          <w:sz w:val="18"/>
          <w:szCs w:val="18"/>
          <w:color w:val="auto"/>
        </w:rPr>
        <w:t>See discussion of legal proceedings in Note G to the Condensed Consolidated Financial Statements included in Item 1 of Part I of this Report, which is incorporated by reference into this Part II, Item 1, as well as Item 3. Legal Proceedings, in our Annual Report on Form 10-K for the year ended December 31, 2013.</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addition to the significant risks and uncertainties described in our Annual Report on Form 10-K for the year ended December 31, 2013, we identified the following additional risks as a result of the recapitalization of FNF Class A common stock into two tracking stocks, FNF Group common stock and FNFV Group common stock, effective June 30, 2014. See discussion "Recent Developments" in Note A to the Condensed Consolidated Financial Statements included in Item 1 of Part I of this Report.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Ownership of Our Common Stock due to our Tracking Stock Capitalization</w:t>
      </w:r>
    </w:p>
    <w:p>
      <w:pPr>
        <w:spacing w:after="0" w:line="12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Holders of FNF Group common stock and FNFV Group common stock will be common shareholders of our Company and are, therefore, subject to risks associated with an investment in our Company as a whole, even if a holder does not own shares of common stock of both of our groups.</w:t>
      </w:r>
    </w:p>
    <w:p>
      <w:pPr>
        <w:spacing w:after="0" w:line="16"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Even though we have attributed, for financial reporting purposes, all of our consolidated assets, liabilities, revenue, expenses to either the FNF Group or the FNFV Group in order to prepare the separate financial results for each of the these groups included herein, we retain legal title to all of our assets and our capitalization does not limit our legal responsibility, or that of our subsidiaries, for the liabilities included in any disclosed financial results. Holders of FNF Group common stock and FNFV Group common stock do not have any legal rights related to specific assets attributed to the FNF Group or the FNFV Group and, in any liquidation, holders of FNF Group common stock and holders of FNFV Group common stock will be entitled to receive a pro rata share of our available net assets based on their respective numbers of liquidation units as specified in our Corporate Charter.</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Board of Directors’ ability to reattribute businesses, assets and expenses between tracking stock groups may make it difficult to assess the future prospects of either tracking stock group based on its past performance.</w:t>
      </w:r>
    </w:p>
    <w:p>
      <w:pPr>
        <w:spacing w:after="0" w:line="6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Board of Directors is vested with discretion to reattribute businesses, assets and liabilities that are attributed to one tracking stock group to the other tracking stock group, without the approval of any of our shareholders, in accordance with our management and allocation policies and our Corporate Charter. Any such reattribution made by our Board of Directors, as well as the existence of the right in and of itself to effect a reattribution, may impact the ability of investors to assess the future prospects of either tracking stock group, including its liquidity and capital resource needs, based on its past performance. Shareholders may also have difficulty evaluating the liquidity and capital resources of each group based on past performance, as our Board of Directors may use one group’s liquidity to fund the other group’s liquidity and capital expenditure requirements through the use of inter-group loans and inter-group interests.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required to use assets attributed to one group to pay liabilities attributed to the other group.</w:t>
      </w:r>
    </w:p>
    <w:p>
      <w:pPr>
        <w:spacing w:after="0" w:line="117"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The assets attributed to one group are potentially subject to the liabilities attributed to the other group, even if those liabilities arise from lawsuits, contracts or indebtedness that are attributed to such other group. While our current management and allocation policies provide that reattributions of assets between groups will result in the creation of an inter-group loan or an inter-group interest or an offsetting reattribution of cash or other assets, no provision of our Corporate Charter prevents us from satisfying liabilities of one group with assets of the other group, and our creditors will not in any way be limited by our tracking stock capitalization from proceeding against any assets they could have proceeded against if we did not have a tracking stock capitalization.</w:t>
      </w:r>
    </w:p>
    <w:p>
      <w:pPr>
        <w:spacing w:after="0" w:line="5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market price of FNF Group common stock and FNFV Group common stock may not reflect the performance of the FNF Group and the FNFV Group, respectively, as we intend.</w:t>
      </w:r>
    </w:p>
    <w:p>
      <w:pPr>
        <w:spacing w:after="0" w:line="6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cannot assure you that the market price of the common stock of a group will, in fact, reflect the performance of the group of businesses, assets and liabilities attributed to that group. Holders of FNF Group common stock and FNFV Group common stock will be common shareholders of our Company as a whole and, as such, will be subject to all risks associated with an investment in our Company and all of our businesses, assets and liabilities. As a result, the market price of each class of stock of a group may simply reflect the performance of our Company as a whole or may more independently reflect the performance of some or all of</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group of assets attributed to such group. In addition, investors may discount the value of the stock of a group because it is part of a common enterprise rather than a stand-alone entity.</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market price of FNF Group common stock and FNFV Group common stock may be volatile, could fluctuate substantially and could be affected by factors that do not affect traditional common stock.</w:t>
      </w:r>
    </w:p>
    <w:p>
      <w:pPr>
        <w:spacing w:after="0" w:line="6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To the extent the market prices of FNF Group common stock and FNFV Group common stock track the performance of more focused groups of businesses, assets and liabilities than the historic FNF Class A common stock did, the market prices of these new tracking stocks may be more volatile than the market price of FNF Class A common stock was historically. The market prices of FNF Group common stock and FNFV Group common stock may be materially affected by, among other things:</w:t>
      </w:r>
    </w:p>
    <w:p>
      <w:pPr>
        <w:spacing w:after="0" w:line="79"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actual or anticipated fluctuations in a group’s operating results or in the operating results of particular companies attributable to such group;</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acquisition activity by our Company or the companies in which we invest;</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issuances of debt or equity securities to raise capital by our Company or the companies in which we invest and the manner in which that debt or the proceeds of an equity issuance are attributed to each of the groups;</w:t>
      </w:r>
    </w:p>
    <w:p>
      <w:pPr>
        <w:ind w:left="660" w:right="2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regarding FNF Group common stock or FNFV Group common stock or the companies attributable to either of our tracking stock groups;</w:t>
      </w:r>
    </w:p>
    <w:p>
      <w:pPr>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complex nature and the potential difficulties investors may have in understanding the terms of both of our tracking stocks, as well as concerns regarding the possible effect of certain of those terms on an investment in our stock; and</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market conditions.</w:t>
      </w:r>
    </w:p>
    <w:p>
      <w:pPr>
        <w:sectPr>
          <w:pgSz w:w="11900" w:h="16838" w:orient="portrait"/>
          <w:cols w:equalWidth="0" w:num="1">
            <w:col w:w="11420"/>
          </w:cols>
          <w:pgMar w:left="240" w:top="121" w:right="239" w:bottom="0" w:gutter="0" w:footer="0" w:header="0"/>
        </w:sectPr>
      </w:pPr>
    </w:p>
    <w:bookmarkStart w:id="52" w:name="page53"/>
    <w:bookmarkEnd w:id="52"/>
    <w:p>
      <w:pPr>
        <w:jc w:val="both"/>
        <w:spacing w:after="0" w:line="277" w:lineRule="auto"/>
        <w:rPr>
          <w:sz w:val="20"/>
          <w:szCs w:val="20"/>
          <w:color w:val="auto"/>
        </w:rPr>
      </w:pPr>
      <w:r>
        <w:rPr>
          <w:rFonts w:ascii="Arial" w:cs="Arial" w:eastAsia="Arial" w:hAnsi="Arial"/>
          <w:sz w:val="18"/>
          <w:szCs w:val="18"/>
          <w:b w:val="1"/>
          <w:bCs w:val="1"/>
          <w:i w:val="1"/>
          <w:iCs w:val="1"/>
          <w:color w:val="auto"/>
        </w:rPr>
        <w:t>The market value of FNF Group common stock and FNFV Group common stock could be adversely affected by events involving the assets and businesses attributed to either of the groups.</w:t>
      </w:r>
    </w:p>
    <w:p>
      <w:pPr>
        <w:spacing w:after="0" w:line="62"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Because we are the issuer of FNF Group common stock and FNFV Group common stock, an adverse market reaction to events relating to the assets and businesses attributed to either of our groups, such as earnings announcements or announcements of new products or services, acquisitions or dispositions that the market does not view favorably, may cause an adverse reaction to the common stock of the other group. This could occur even if the triggering event is not material to us as a whole. A certain triggering event may also have a greater impact on one group than the same triggering event would have on the other group due to the asset composition of the affected group. In addition, the incurrence of significant indebtedness by us or any of our subsidiaries on behalf of one group, including indebtedness incurred or assumed in connection with acquisitions of or investments in businesses, could affect our credit rating and that of our subsidiaries and, therefore, could increase the borrowing costs of businesses attributable to our other group or the borrowing costs of our Company as a whole.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pay dividends equally or at all on FNF Group common stock or FNFV Group common stock.</w:t>
      </w:r>
    </w:p>
    <w:p>
      <w:pPr>
        <w:spacing w:after="0" w:line="11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FNF has historically paid quarterly dividends to its shareholders. Going forward, we will have the right to pay dividends on the shares of common stock of each group in equal or unequal amounts, and we may pay dividends on the shares of common stock of one group and not pay dividends on shares of common stock of the other group. In addition, any dividends or distributions on, or repurchases of, shares relating to either group will reduce our assets legally available to be paid as dividends on the shares relating to the other group.</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tracking stock capital structure could create conflicts of interest, and our Board of Directors may make decisions that could adversely affect only some holders of our common stock.</w:t>
      </w:r>
    </w:p>
    <w:p>
      <w:pPr>
        <w:spacing w:after="0" w:line="62"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Our tracking stock capital structure could give rise to occasions when the interests of holders of stock of one group might diverge or appear to diverge from the interests of holders of stock of the other group. In addition, given the nature of their businesses, there may be inherent conflicts of interests between the FNF Group and the FNFV Group. Our tracking stock groups are not separate entities and thus holders of FNF Group common stock and FNFV Group common stock will not have the right to elect separate Boards of Directors. As a result, our Company’s officers and directors owe fiduciary duties to our Company as a whole and all of our shareholders as opposed to only holders of a particular group. Decisions deemed to be in the best interest of our Company and all of our shareholders may not be in the best interest of a particular group when considered independently. Examples include:</w:t>
      </w:r>
    </w:p>
    <w:p>
      <w:pPr>
        <w:spacing w:after="0" w:line="57" w:lineRule="exact"/>
        <w:rPr>
          <w:sz w:val="20"/>
          <w:szCs w:val="20"/>
          <w:color w:val="auto"/>
        </w:rPr>
      </w:pPr>
    </w:p>
    <w:p>
      <w:pPr>
        <w:ind w:left="660" w:right="20" w:hanging="328"/>
        <w:spacing w:after="0" w:line="25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decisions as to the terms of any business relationships that may be created between the FNF Group and the FNFV Group or the terms of any reattributions of assets between the groups;</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decisions as to the allocation of consideration among the holders of FNF Group common stock and FNFV Group common stock to be received in connection with a merger involving our company;</w:t>
      </w:r>
    </w:p>
    <w:p>
      <w:pPr>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decisions as to the allocation of corporate opportunities between the groups, especially where the opportunities might meet the strategic business objectives of both groups;</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decisions as to operational and financial matters that could be considered detrimental to one group but beneficial to the other;</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ind w:left="660" w:hanging="328"/>
        <w:spacing w:after="0" w:line="271"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decisions as to the conversion of shares of common stock of one group into shares of common stock of the other, which the Board of Directors may make in its sole discretion, so long as the shares are converted (other than in connection with the disposition of all or substantially all of a group’s assets) at a ratio that provides the shareholders of the converted stock with a premium based on the following requirements:</w:t>
      </w:r>
    </w:p>
    <w:p>
      <w:pPr>
        <w:ind w:left="880" w:hanging="224"/>
        <w:spacing w:after="0"/>
        <w:tabs>
          <w:tab w:leader="none" w:pos="880" w:val="left"/>
        </w:tabs>
        <w:numPr>
          <w:ilvl w:val="1"/>
          <w:numId w:val="9"/>
        </w:numPr>
        <w:rPr>
          <w:rFonts w:ascii="Arial" w:cs="Arial" w:eastAsia="Arial" w:hAnsi="Arial"/>
          <w:sz w:val="18"/>
          <w:szCs w:val="18"/>
          <w:color w:val="auto"/>
        </w:rPr>
      </w:pPr>
      <w:r>
        <w:rPr>
          <w:rFonts w:ascii="Arial" w:cs="Arial" w:eastAsia="Arial" w:hAnsi="Arial"/>
          <w:sz w:val="18"/>
          <w:szCs w:val="18"/>
          <w:color w:val="auto"/>
        </w:rPr>
        <w:t>a 10% premium to such stock’s market price for the first year following the recapitalization,</w:t>
      </w:r>
    </w:p>
    <w:p>
      <w:pPr>
        <w:spacing w:after="0" w:line="9" w:lineRule="exact"/>
        <w:rPr>
          <w:rFonts w:ascii="Arial" w:cs="Arial" w:eastAsia="Arial" w:hAnsi="Arial"/>
          <w:sz w:val="18"/>
          <w:szCs w:val="18"/>
          <w:color w:val="auto"/>
        </w:rPr>
      </w:pPr>
    </w:p>
    <w:p>
      <w:pPr>
        <w:ind w:left="920" w:hanging="264"/>
        <w:spacing w:after="0"/>
        <w:tabs>
          <w:tab w:leader="none" w:pos="92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 8% premium to such stock’s market price for the second year following the recapitalization,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a 6% premium to such stock’s market price for the third year following the recapitalization,</w:t>
      </w:r>
    </w:p>
    <w:p>
      <w:pPr>
        <w:spacing w:after="0" w:line="9" w:lineRule="exact"/>
        <w:rPr>
          <w:rFonts w:ascii="Arial" w:cs="Arial" w:eastAsia="Arial" w:hAnsi="Arial"/>
          <w:sz w:val="18"/>
          <w:szCs w:val="18"/>
          <w:color w:val="auto"/>
        </w:rPr>
      </w:pPr>
    </w:p>
    <w:p>
      <w:pPr>
        <w:ind w:left="960" w:hanging="304"/>
        <w:spacing w:after="0"/>
        <w:tabs>
          <w:tab w:leader="none" w:pos="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 4% premium to such stock’s market price for fourth year following the recapitalization,</w:t>
      </w:r>
    </w:p>
    <w:p>
      <w:pPr>
        <w:spacing w:after="0" w:line="9" w:lineRule="exact"/>
        <w:rPr>
          <w:rFonts w:ascii="Arial" w:cs="Arial" w:eastAsia="Arial" w:hAnsi="Arial"/>
          <w:sz w:val="18"/>
          <w:szCs w:val="18"/>
          <w:color w:val="auto"/>
        </w:rPr>
      </w:pPr>
    </w:p>
    <w:p>
      <w:pPr>
        <w:ind w:left="920" w:hanging="264"/>
        <w:spacing w:after="0"/>
        <w:tabs>
          <w:tab w:leader="none" w:pos="920" w:val="left"/>
        </w:tabs>
        <w:numPr>
          <w:ilvl w:val="1"/>
          <w:numId w:val="9"/>
        </w:numPr>
        <w:rPr>
          <w:rFonts w:ascii="Arial" w:cs="Arial" w:eastAsia="Arial" w:hAnsi="Arial"/>
          <w:sz w:val="18"/>
          <w:szCs w:val="18"/>
          <w:color w:val="auto"/>
        </w:rPr>
      </w:pPr>
      <w:r>
        <w:rPr>
          <w:rFonts w:ascii="Arial" w:cs="Arial" w:eastAsia="Arial" w:hAnsi="Arial"/>
          <w:sz w:val="18"/>
          <w:szCs w:val="18"/>
          <w:color w:val="auto"/>
        </w:rPr>
        <w:t>a 2% premium to such stock’s market price for the fifth year following the recapitalization, and</w:t>
      </w:r>
    </w:p>
    <w:p>
      <w:pPr>
        <w:spacing w:after="0" w:line="9" w:lineRule="exact"/>
        <w:rPr>
          <w:rFonts w:ascii="Arial" w:cs="Arial" w:eastAsia="Arial" w:hAnsi="Arial"/>
          <w:sz w:val="18"/>
          <w:szCs w:val="18"/>
          <w:color w:val="auto"/>
        </w:rPr>
      </w:pPr>
    </w:p>
    <w:p>
      <w:pPr>
        <w:jc w:val="both"/>
        <w:ind w:left="660" w:hanging="4"/>
        <w:spacing w:after="0" w:line="265" w:lineRule="auto"/>
        <w:tabs>
          <w:tab w:leader="none" w:pos="971" w:val="left"/>
        </w:tabs>
        <w:numPr>
          <w:ilvl w:val="1"/>
          <w:numId w:val="9"/>
        </w:numPr>
        <w:rPr>
          <w:rFonts w:ascii="Arial" w:cs="Arial" w:eastAsia="Arial" w:hAnsi="Arial"/>
          <w:sz w:val="17"/>
          <w:szCs w:val="17"/>
          <w:color w:val="auto"/>
        </w:rPr>
      </w:pPr>
      <w:r>
        <w:rPr>
          <w:rFonts w:ascii="Arial" w:cs="Arial" w:eastAsia="Arial" w:hAnsi="Arial"/>
          <w:sz w:val="17"/>
          <w:szCs w:val="17"/>
          <w:color w:val="auto"/>
        </w:rPr>
        <w:t>no premium to such stock’s market price thereafter, with such premium to be based on, in each case, the market price of such stock over the 10 day trading period preceding the date on the which the Board of Directors determines to effect any such conversion; no conversion premium is available for a conversion in connection with the disposition of all or substantially all of the assets of either group;</w:t>
      </w:r>
    </w:p>
    <w:p>
      <w:pPr>
        <w:spacing w:after="0" w:line="1" w:lineRule="exact"/>
        <w:rPr>
          <w:sz w:val="20"/>
          <w:szCs w:val="20"/>
          <w:color w:val="auto"/>
        </w:rPr>
      </w:pPr>
    </w:p>
    <w:p>
      <w:pPr>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decisions regarding the creation of, and, if created, the subsequent increase or decrease of any intergroup interest that one group may own in the other group;</w:t>
      </w:r>
    </w:p>
    <w:p>
      <w:pPr>
        <w:spacing w:after="0" w:line="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decisions as to the internal or external financing attributable to businesses or assets attributed to either of our groups;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decisions as to the dispositions of assets of either of our groups;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decisions as to the payment of dividends on the stock relating to either of our groups.</w:t>
      </w:r>
    </w:p>
    <w:p>
      <w:pPr>
        <w:spacing w:after="0" w:line="103" w:lineRule="exact"/>
        <w:rPr>
          <w:sz w:val="20"/>
          <w:szCs w:val="20"/>
          <w:color w:val="auto"/>
        </w:rPr>
      </w:pPr>
    </w:p>
    <w:p>
      <w:pPr>
        <w:ind w:left="60"/>
        <w:spacing w:after="0"/>
        <w:rPr>
          <w:sz w:val="20"/>
          <w:szCs w:val="20"/>
          <w:color w:val="auto"/>
        </w:rPr>
      </w:pPr>
      <w:r>
        <w:rPr>
          <w:rFonts w:ascii="Arial" w:cs="Arial" w:eastAsia="Arial" w:hAnsi="Arial"/>
          <w:sz w:val="15"/>
          <w:szCs w:val="15"/>
          <w:b w:val="1"/>
          <w:bCs w:val="1"/>
          <w:i w:val="1"/>
          <w:iCs w:val="1"/>
          <w:color w:val="auto"/>
        </w:rPr>
        <w:t>Our directors’ or officers’ ownership of FNF Group common stock and FNFV Group common stock may create or appear to create conflicts of interest.</w:t>
      </w:r>
    </w:p>
    <w:p>
      <w:pPr>
        <w:spacing w:after="0" w:line="15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If directors or officers own disproportionate interests (in percentage or value terms) in FNF Group common stock or FNFV Group common stock, that disparity could create or appear to create conflicts of interest when they are faced with decisions that could have different implications for the holders of FNF Group common stock or FNFV Group common stock.</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not adopted any specific procedures for consideration of matters involving a divergence of interests among holders of shares of stock relating to our two groups.</w:t>
      </w:r>
    </w:p>
    <w:p>
      <w:pPr>
        <w:spacing w:after="0" w:line="6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Rather than develop additional specific procedures in advance, our Board of Directors intends to exercise its judgment from time to time, depending on the circumstances, as to how best to:</w:t>
      </w:r>
    </w:p>
    <w:p>
      <w:pPr>
        <w:spacing w:after="0" w:line="62"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 information regarding the divergence (or potential divergence) of interests;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determine under what circumstances to seek the assistance of outside advisers;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determine whether a committee of our Board of Directors should be appointed to address a specific matter and the appropriate members of that committee; and</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assess what is in our best interest and the best interest of all of our shareholders.</w:t>
      </w:r>
    </w:p>
    <w:p>
      <w:pPr>
        <w:spacing w:after="0" w:line="10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Our Board of Directors believes the advantage of retaining flexibility in determining how to fulfill its responsibilities in any such circumstances as they may arise outweighs any perceived advantages of adopting additional specific procedures in advance.</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Board of Directors may change the management and allocation policies following their implementation to the detriment of either group without shareholder approval.</w:t>
      </w:r>
    </w:p>
    <w:p>
      <w:pPr>
        <w:spacing w:after="0" w:line="62"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Our Board of Directors intends to adopt certain management and allocation policies as guidelines in making decisions regarding the relationships between the FNF Group and the FNFV Group with respect to matters such as tax liabilities and benefits, inter-group loans, inter-group interests, attribution of assets, financing alternatives, corporate opportunities and similar items. These policies also set forth the initial focuses and strategies of these groups and the initial attribution of our businesses, assets and liabilities between them. Our Board of Directors may at any time change or make exceptions to these policies. Because these policies relate to matters concerning the day-to-day management of our Company as opposed to significant corporate actions, such as a merger involving our Company or a sale of substantially all of our assets, no shareholder approval is required with respect to policy adoption or amendment. A decision to change, or make exceptions to, these policies or adopt additional policies could disadvantage one group while advantaging the other.</w:t>
      </w:r>
    </w:p>
    <w:p>
      <w:pPr>
        <w:spacing w:after="0" w:line="5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Holders of shares of stock relating to a particular group may not have any remedies if any action by our Directors or Officers has an adverse effect on only that stock.</w:t>
      </w:r>
    </w:p>
    <w:p>
      <w:pPr>
        <w:spacing w:after="0" w:line="62"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Principles of Delaware law and the provisions of our Corporate Charter may protect decisions of our Board of Directors that have a disparate impact upon holders of shares of stock relating to a particular group. Under Delaware law, the Board of Directors has a duty to act with due care and in the best interests of all shareholders, regardless of the stock held. Principles of Delaware law established in cases involving differing treatment of multiple classes or series of stock provide that a Board of Directors owes an equal duty to all shareholders and does not have separate or additional duties to any subset of shareholders. Judicial opinions in Delaware involving tracking stocks have established that decisions by directors or officers involving differing treatment of holders of tracking stocks may be judged under the business judgment rule. In some circumstances, our directors or officers may</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1"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 required to make a decision that is viewed as adverse to the holders of shares relating to a particular group. Under the principles of Delaware law and the business judgment rule referred to above, you may not be able to successfully challenge decisions that you believe have a disparate impact upon the shareholders of one of our groups if a majority of our Board of Directors is disinterested and independent with respect to the action taken, is adequately informed with respect to the action taken and acts in good faith and in the honest belief that the Board of Directors is acting in the best interest of FNF and our shareholders as a whole.</w:t>
      </w:r>
    </w:p>
    <w:p>
      <w:pPr>
        <w:spacing w:after="0" w:line="8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Shareholders will not vote on how to attribute consideration received in connection with a merger involving our Company among holders of FNF Group common stock and FNFV Group common stock.</w:t>
      </w:r>
    </w:p>
    <w:p>
      <w:pPr>
        <w:spacing w:after="0" w:line="62"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Our Corporate Charter does not contain any provisions governing how consideration received in connection with a merger or consolidation involving our Company is to be attributed to the holders of FNF Group common stock and holders of FNFV Group common stock, and none of the holders of FNF Group common stock or FNFV Group common stock will have a separate class vote in the event of such a merger or consolidation. Consistent with applicable principles of Delaware law, our Board of Directors will seek to divide the type and amount of consideration received in a merger or consolidation involving our Company among holders of FNF Group common stock and FNFV Group common stock in a fair manner. As the different ways our Board of Directors may divide the consideration between holders of stock relating to the different groups might have materially different results, the consideration to be received by holders of FNF Group common stock and FNFV Group common stock in any such merger or consolidation may be materially less valuable than the consideration they would have received if they had a separate class vote on such merger or consolidation.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dispose of assets of the FNF Group or the FNFV Group without your approval.</w:t>
      </w:r>
    </w:p>
    <w:p>
      <w:pPr>
        <w:spacing w:after="0" w:line="117"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Delaware law requires shareholder approval only for a sale or other disposition of all or substantially all of the assets of our Company taken as a whole, and our Corporate Charter does not require a separate class vote in the case of a sale of a significant amount of assets of any of our groups. As long as the assets attributed to the FNF Group or the FNFV Group proposed to be disposed of represent less than substantially all of our assets, we may approve sales and other dispositions of any amount of the assets of such group without any shareholder approval. If we dispose of all or substantially all of the assets attributed to any group (which means, for this purpose, assets representing 80% of the fair market value of the total assets of the disposing group, as determined by our Board of Directors), we would be required, if the disposition is not an exempt disposition under the terms of our Corporate Charter, to choose one or more of the following three alternatives:</w:t>
      </w:r>
    </w:p>
    <w:p>
      <w:pPr>
        <w:spacing w:after="0" w:line="8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declare and pay a dividend on the disposing group’s common stock;</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redeem shares of the disposing group’s common stock in exchange for cash, securities or other property; and/or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convert all or a portion of the disposing group’s outstanding common stock into common stock of the other group.</w:t>
      </w:r>
    </w:p>
    <w:p>
      <w:pPr>
        <w:spacing w:after="0" w:line="10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this type of a transaction, holders of the disposing group’s common stock may receive less value than the value that a third-party buyer might pay for all or substantially all of the assets of the disposing group. Our Board of Directors will decide, in its sole discretion, how to proceed and is not required to select the option that would result in the highest value to holders of any group of our common stock.</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Holders of FNF Group common stock or FNFV Group common stock may receive less consideration upon a sale of the assets attributed to that group than if that group were a separate company.</w:t>
      </w:r>
    </w:p>
    <w:p>
      <w:pPr>
        <w:spacing w:after="0" w:line="62"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If the FNF Group or the FNFV Group were a separate, independent company and its shares were acquired by another person, certain costs of that sale, including corporate level taxes, might not be payable in connection with that acquisition. As a result, shareholders of a separate, independent company with the same assets might receive a greater amount of proceeds than the holders of FNF Group common stock or FNFV Group common stock would receive upon a sale of all or substantially all of the assets of the group to which their shares relate. In addition, we cannot assure you that in the event of such a sale the per share consideration to be paid to holders of FNF Group common stock or FNFV Group common stock, as the case may be, will be equal to or more than the per share value of that share of stock prior to or after the announcement of a sale of all or substantially all of the assets of the applicable group. Further, there is no requirement that the consideration paid be tax-free to the holders of the shares of common stock of that group. Accordingly, if we sell all or substantially all of the assets attributed to the FNF Group or the FNFV Group, our shareholders could suffer a loss in the value of their investment in our Company.</w:t>
      </w:r>
    </w:p>
    <w:p>
      <w:pPr>
        <w:spacing w:after="0" w:line="5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In the event of a liquidation of FNF, holders of FNF Group common stock and FNFV Group common stock will not have a priority with respect to the assets attributed to the related tracking stock group remaining for distribution to shareholders.</w:t>
      </w:r>
    </w:p>
    <w:p>
      <w:pPr>
        <w:spacing w:after="0" w:line="6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Under the Corporate Charter, upon FNF’s liquidation, dissolution or winding up, holders of the FNF Group common stock and the FNFV Group common stock will be entitled to receive, in respect of their shares of such stock, their proportionate interest in all of FNF’s assets, if any, remaining for distribution to holders of common stock in proportion to their respective number of “liquidation units” per share. Relative liquidation units will be based on the volume weighted average prices of the FNF Group common stock and the FNFV Group common stock over the 10 trading day period commencing shortly after the initial filing of the Corporate Charter. Hence, the assets to be distributed to a holder of either tracking stock upon a liquidation, dissolution or</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1"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winding up of FNF will have nothing to do with the value of the assets attributed to the related tracking stock group or to changes in the relative value of the FNF Group common stock and the FNFV Group common stock over time.</w:t>
      </w:r>
    </w:p>
    <w:p>
      <w:pPr>
        <w:spacing w:after="0" w:line="62" w:lineRule="exact"/>
        <w:rPr>
          <w:sz w:val="20"/>
          <w:szCs w:val="20"/>
          <w:color w:val="auto"/>
        </w:rPr>
      </w:pPr>
    </w:p>
    <w:p>
      <w:pPr>
        <w:jc w:val="both"/>
        <w:ind w:right="20"/>
        <w:spacing w:after="0" w:line="375" w:lineRule="auto"/>
        <w:rPr>
          <w:sz w:val="20"/>
          <w:szCs w:val="20"/>
          <w:color w:val="auto"/>
        </w:rPr>
      </w:pPr>
      <w:r>
        <w:rPr>
          <w:rFonts w:ascii="Arial" w:cs="Arial" w:eastAsia="Arial" w:hAnsi="Arial"/>
          <w:sz w:val="15"/>
          <w:szCs w:val="15"/>
          <w:b w:val="1"/>
          <w:bCs w:val="1"/>
          <w:i w:val="1"/>
          <w:iCs w:val="1"/>
          <w:color w:val="auto"/>
        </w:rPr>
        <w:t>Our Board of Directors may in its sole discretion elect to convert the common stock relating to one group into common stock relating to the other group, thereby changing the nature of your investment and possibly diluting your economic interest in our Company, which could result in a loss in value to you.</w:t>
      </w:r>
    </w:p>
    <w:p>
      <w:pPr>
        <w:spacing w:after="0" w:line="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Corporate Charter permits our Board of Directors, in its sole discretion, to convert all of the outstanding shares of common stock relating to either of our groups into shares of common stock of the other group so long as the shares are converted at a ratio that provides the shareholders of the converted stock with the applicable Conversion Premium (if any) to which they are entitled. A conversion would preclude the holders of stock in each group involved in such conversion from retaining their investment in a security that is intended to reflect separately the performance of the relevant group. We cannot predict the impact on the market value of our stock of (1) our Board of Directors’ ability to effect any such conversion or (2) the exercise of this conversion right by our Company. In addition, our Board of Directors may effect such a conversion at a time when the market value of our stock could cause the shareholders of one group to be disadvantaged.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FNF Group common stock and FNFV Group common stock will vote together and will have limited separate voting rights.</w:t>
      </w:r>
    </w:p>
    <w:p>
      <w:pPr>
        <w:spacing w:after="0" w:line="117"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Holders of FNF Group common stock and FNFV Group common stock will vote together as a single class, except in certain limited circumstances prescribed by our Corporate Charter and under Delaware law. Each share of common stock of each group will have one vote per share. When holders of FNF Group common stock and FNFV Group common stock vote together as a single class, holders having a majority of the votes will be in a position to control the outcome of the vote even if the matter involves a conflict of interest among our shareholders or has a greater impact on one group than the other.</w:t>
      </w:r>
    </w:p>
    <w:p>
      <w:pPr>
        <w:spacing w:after="0" w:line="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capital structure, as well as the fact that the FNF Group and the FNFV Group are not independent companies may inhibit or prevent acquisition bids for the FNF Group or the FNFV Group and may make it difficult for a third party to acquire us, even if doing so may be beneficial to our shareholders.</w:t>
      </w:r>
    </w:p>
    <w:p>
      <w:pPr>
        <w:spacing w:after="0" w:line="73"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If the FNF Group and the FNFV Group were separate independent companies, any person interested in acquiring the FNF Group or the FNFV Group without negotiating with management could seek control of that group by obtaining control of its outstanding voting stock, by means of a tender offer, or by means of a proxy contest. Although we intend FNF Group common stock and FNFV Group common stock to reflect the separate economic performance of the FNF Group and the FNFV Group, respectively, those groups are not separate entities and a person interested in acquiring only one group without negotiation with our management could obtain control of that group only by obtaining control of a majority in voting power of all of the outstanding shares of common stock of our Company. The existence of shares of common stock relating to different groups could present complexities and in certain circumstances pose obstacles, financial and otherwise, to an acquiring person that are not present in companies that do not have capital structures similar to ours. Certain provisions of our Corporate Charter and bylaws may discourage, delay or prevent a change in control of our Company that a shareholder may consider favorable. These provisions include:</w:t>
      </w:r>
    </w:p>
    <w:p>
      <w:pPr>
        <w:spacing w:after="0" w:line="74"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classifying our Board of Directors with staggered three-year terms, which may lengthen the time required to gain control of our Board of Directors;</w:t>
      </w:r>
    </w:p>
    <w:p>
      <w:pPr>
        <w:spacing w:after="0" w:line="46" w:lineRule="exact"/>
        <w:rPr>
          <w:rFonts w:ascii="Arial" w:cs="Arial" w:eastAsia="Arial" w:hAnsi="Arial"/>
          <w:sz w:val="16"/>
          <w:szCs w:val="16"/>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limiting who may call special meetings of shareholders;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of candidates for election to our board of directors; and</w:t>
      </w:r>
    </w:p>
    <w:p>
      <w:pPr>
        <w:spacing w:after="0" w:line="9"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existence of authorized and unissued stock, including “blank check” preferred stock, which could be issued by our Board of Directors to persons friendly to our then current management, thereby protecting the continuity of our management, or which could be used to dilute the stock ownership of persons seeking to obtain control of our Company.</w:t>
      </w:r>
    </w:p>
    <w:p>
      <w:pPr>
        <w:spacing w:after="0" w:line="24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unregistered sales of equity securities during the quarter ended June 30,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1" w:right="2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07"/>
        </w:trPr>
        <w:tc>
          <w:tcPr>
            <w:tcW w:w="2020" w:type="dxa"/>
            <w:vAlign w:val="bottom"/>
            <w:gridSpan w:val="2"/>
          </w:tcPr>
          <w:p>
            <w:pPr>
              <w:spacing w:after="0"/>
              <w:rPr>
                <w:rFonts w:ascii="Arial" w:cs="Arial" w:eastAsia="Arial" w:hAnsi="Arial"/>
                <w:sz w:val="18"/>
                <w:szCs w:val="18"/>
                <w:b w:val="1"/>
                <w:bCs w:val="1"/>
                <w:color w:val="0000EE"/>
              </w:rPr>
            </w:pPr>
            <w:hyperlink w:anchor="page1">
              <w:r>
                <w:rPr>
                  <w:rFonts w:ascii="Arial" w:cs="Arial" w:eastAsia="Arial" w:hAnsi="Arial"/>
                  <w:sz w:val="18"/>
                  <w:szCs w:val="18"/>
                  <w:b w:val="1"/>
                  <w:bCs w:val="1"/>
                  <w:color w:val="0000EE"/>
                </w:rPr>
                <w:t>Table of Contents</w:t>
              </w:r>
            </w:hyperlink>
          </w:p>
        </w:tc>
        <w:tc>
          <w:tcPr>
            <w:tcW w:w="9380" w:type="dxa"/>
            <w:vAlign w:val="bottom"/>
          </w:tcPr>
          <w:p>
            <w:pPr>
              <w:spacing w:after="0"/>
              <w:rPr>
                <w:sz w:val="17"/>
                <w:szCs w:val="17"/>
                <w:color w:val="auto"/>
              </w:rPr>
            </w:pPr>
          </w:p>
        </w:tc>
      </w:tr>
      <w:tr>
        <w:trPr>
          <w:trHeight w:val="696"/>
        </w:trPr>
        <w:tc>
          <w:tcPr>
            <w:tcW w:w="136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Item 6. Exhibits</w:t>
            </w:r>
          </w:p>
        </w:tc>
        <w:tc>
          <w:tcPr>
            <w:tcW w:w="660" w:type="dxa"/>
            <w:vAlign w:val="bottom"/>
          </w:tcPr>
          <w:p>
            <w:pPr>
              <w:spacing w:after="0"/>
              <w:rPr>
                <w:sz w:val="24"/>
                <w:szCs w:val="24"/>
                <w:color w:val="auto"/>
              </w:rPr>
            </w:pPr>
          </w:p>
        </w:tc>
        <w:tc>
          <w:tcPr>
            <w:tcW w:w="9380" w:type="dxa"/>
            <w:vAlign w:val="bottom"/>
          </w:tcPr>
          <w:p>
            <w:pPr>
              <w:spacing w:after="0"/>
              <w:rPr>
                <w:sz w:val="24"/>
                <w:szCs w:val="24"/>
                <w:color w:val="auto"/>
              </w:rPr>
            </w:pPr>
          </w:p>
        </w:tc>
      </w:tr>
      <w:tr>
        <w:trPr>
          <w:trHeight w:val="324"/>
        </w:trPr>
        <w:tc>
          <w:tcPr>
            <w:tcW w:w="2020" w:type="dxa"/>
            <w:vAlign w:val="bottom"/>
            <w:gridSpan w:val="2"/>
          </w:tcPr>
          <w:p>
            <w:pPr>
              <w:ind w:left="240"/>
              <w:spacing w:after="0"/>
              <w:rPr>
                <w:sz w:val="20"/>
                <w:szCs w:val="20"/>
                <w:color w:val="auto"/>
              </w:rPr>
            </w:pPr>
            <w:r>
              <w:rPr>
                <w:rFonts w:ascii="Arial" w:cs="Arial" w:eastAsia="Arial" w:hAnsi="Arial"/>
                <w:sz w:val="18"/>
                <w:szCs w:val="18"/>
                <w:color w:val="auto"/>
              </w:rPr>
              <w:t>(a) Exhibits:</w:t>
            </w:r>
          </w:p>
        </w:tc>
        <w:tc>
          <w:tcPr>
            <w:tcW w:w="9380" w:type="dxa"/>
            <w:vAlign w:val="bottom"/>
          </w:tcPr>
          <w:p>
            <w:pPr>
              <w:spacing w:after="0"/>
              <w:rPr>
                <w:sz w:val="24"/>
                <w:szCs w:val="24"/>
                <w:color w:val="auto"/>
              </w:rPr>
            </w:pPr>
          </w:p>
        </w:tc>
      </w:tr>
      <w:tr>
        <w:trPr>
          <w:trHeight w:val="364"/>
        </w:trPr>
        <w:tc>
          <w:tcPr>
            <w:tcW w:w="1360" w:type="dxa"/>
            <w:vAlign w:val="bottom"/>
          </w:tcPr>
          <w:p>
            <w:pPr>
              <w:jc w:val="center"/>
              <w:ind w:right="110"/>
              <w:spacing w:after="0"/>
              <w:rPr>
                <w:sz w:val="20"/>
                <w:szCs w:val="20"/>
                <w:color w:val="auto"/>
              </w:rPr>
            </w:pPr>
            <w:r>
              <w:rPr>
                <w:rFonts w:ascii="Arial" w:cs="Arial" w:eastAsia="Arial" w:hAnsi="Arial"/>
                <w:sz w:val="18"/>
                <w:szCs w:val="18"/>
                <w:color w:val="auto"/>
                <w:w w:val="91"/>
              </w:rPr>
              <w:t>10.1</w:t>
            </w:r>
          </w:p>
        </w:tc>
        <w:tc>
          <w:tcPr>
            <w:tcW w:w="660" w:type="dxa"/>
            <w:vAlign w:val="bottom"/>
          </w:tcPr>
          <w:p>
            <w:pPr>
              <w:spacing w:after="0"/>
              <w:rPr>
                <w:sz w:val="24"/>
                <w:szCs w:val="24"/>
                <w:color w:val="auto"/>
              </w:rPr>
            </w:pPr>
          </w:p>
        </w:tc>
        <w:tc>
          <w:tcPr>
            <w:tcW w:w="9380" w:type="dxa"/>
            <w:vAlign w:val="bottom"/>
          </w:tcPr>
          <w:p>
            <w:pPr>
              <w:ind w:left="640"/>
              <w:spacing w:after="0"/>
              <w:rPr>
                <w:sz w:val="20"/>
                <w:szCs w:val="20"/>
                <w:color w:val="auto"/>
              </w:rPr>
            </w:pPr>
            <w:r>
              <w:rPr>
                <w:rFonts w:ascii="Arial" w:cs="Arial" w:eastAsia="Arial" w:hAnsi="Arial"/>
                <w:sz w:val="18"/>
                <w:szCs w:val="18"/>
                <w:color w:val="auto"/>
                <w:w w:val="96"/>
              </w:rPr>
              <w:t>Form of Notice of Long-Term Investment Success Performance Award Agreement under Amended and Restated</w:t>
            </w:r>
          </w:p>
        </w:tc>
      </w:tr>
      <w:tr>
        <w:trPr>
          <w:trHeight w:val="230"/>
        </w:trPr>
        <w:tc>
          <w:tcPr>
            <w:tcW w:w="1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380" w:type="dxa"/>
            <w:vAlign w:val="bottom"/>
          </w:tcPr>
          <w:p>
            <w:pPr>
              <w:ind w:left="640"/>
              <w:spacing w:after="0"/>
              <w:rPr>
                <w:sz w:val="20"/>
                <w:szCs w:val="20"/>
                <w:color w:val="auto"/>
              </w:rPr>
            </w:pPr>
            <w:r>
              <w:rPr>
                <w:rFonts w:ascii="Arial" w:cs="Arial" w:eastAsia="Arial" w:hAnsi="Arial"/>
                <w:sz w:val="18"/>
                <w:szCs w:val="18"/>
                <w:color w:val="auto"/>
              </w:rPr>
              <w:t>Fidelity National Financial, Inc. 2005 Omnibus Incentive Plan</w:t>
            </w:r>
          </w:p>
        </w:tc>
      </w:tr>
      <w:tr>
        <w:trPr>
          <w:trHeight w:val="540"/>
        </w:trPr>
        <w:tc>
          <w:tcPr>
            <w:tcW w:w="1360" w:type="dxa"/>
            <w:vAlign w:val="bottom"/>
          </w:tcPr>
          <w:p>
            <w:pPr>
              <w:jc w:val="center"/>
              <w:ind w:right="110"/>
              <w:spacing w:after="0"/>
              <w:rPr>
                <w:sz w:val="20"/>
                <w:szCs w:val="20"/>
                <w:color w:val="auto"/>
              </w:rPr>
            </w:pPr>
            <w:r>
              <w:rPr>
                <w:rFonts w:ascii="Arial" w:cs="Arial" w:eastAsia="Arial" w:hAnsi="Arial"/>
                <w:sz w:val="18"/>
                <w:szCs w:val="18"/>
                <w:color w:val="auto"/>
                <w:w w:val="91"/>
              </w:rPr>
              <w:t>31.1</w:t>
            </w:r>
          </w:p>
        </w:tc>
        <w:tc>
          <w:tcPr>
            <w:tcW w:w="660" w:type="dxa"/>
            <w:vAlign w:val="bottom"/>
          </w:tcPr>
          <w:p>
            <w:pPr>
              <w:spacing w:after="0"/>
              <w:rPr>
                <w:sz w:val="24"/>
                <w:szCs w:val="24"/>
                <w:color w:val="auto"/>
              </w:rPr>
            </w:pPr>
          </w:p>
        </w:tc>
        <w:tc>
          <w:tcPr>
            <w:tcW w:w="9380" w:type="dxa"/>
            <w:vAlign w:val="bottom"/>
          </w:tcPr>
          <w:p>
            <w:pPr>
              <w:ind w:left="64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540"/>
        </w:trPr>
        <w:tc>
          <w:tcPr>
            <w:tcW w:w="1360" w:type="dxa"/>
            <w:vAlign w:val="bottom"/>
          </w:tcPr>
          <w:p>
            <w:pPr>
              <w:jc w:val="center"/>
              <w:ind w:right="110"/>
              <w:spacing w:after="0"/>
              <w:rPr>
                <w:sz w:val="20"/>
                <w:szCs w:val="20"/>
                <w:color w:val="auto"/>
              </w:rPr>
            </w:pPr>
            <w:r>
              <w:rPr>
                <w:rFonts w:ascii="Arial" w:cs="Arial" w:eastAsia="Arial" w:hAnsi="Arial"/>
                <w:sz w:val="18"/>
                <w:szCs w:val="18"/>
                <w:color w:val="auto"/>
                <w:w w:val="91"/>
              </w:rPr>
              <w:t>31.2</w:t>
            </w:r>
          </w:p>
        </w:tc>
        <w:tc>
          <w:tcPr>
            <w:tcW w:w="660" w:type="dxa"/>
            <w:vAlign w:val="bottom"/>
          </w:tcPr>
          <w:p>
            <w:pPr>
              <w:spacing w:after="0"/>
              <w:rPr>
                <w:sz w:val="24"/>
                <w:szCs w:val="24"/>
                <w:color w:val="auto"/>
              </w:rPr>
            </w:pPr>
          </w:p>
        </w:tc>
        <w:tc>
          <w:tcPr>
            <w:tcW w:w="9380" w:type="dxa"/>
            <w:vAlign w:val="bottom"/>
          </w:tcPr>
          <w:p>
            <w:pPr>
              <w:ind w:left="64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526"/>
        </w:trPr>
        <w:tc>
          <w:tcPr>
            <w:tcW w:w="1360" w:type="dxa"/>
            <w:vAlign w:val="bottom"/>
          </w:tcPr>
          <w:p>
            <w:pPr>
              <w:jc w:val="center"/>
              <w:ind w:right="110"/>
              <w:spacing w:after="0"/>
              <w:rPr>
                <w:sz w:val="20"/>
                <w:szCs w:val="20"/>
                <w:color w:val="auto"/>
              </w:rPr>
            </w:pPr>
            <w:r>
              <w:rPr>
                <w:rFonts w:ascii="Arial" w:cs="Arial" w:eastAsia="Arial" w:hAnsi="Arial"/>
                <w:sz w:val="18"/>
                <w:szCs w:val="18"/>
                <w:color w:val="auto"/>
                <w:w w:val="91"/>
              </w:rPr>
              <w:t>32.1</w:t>
            </w:r>
          </w:p>
        </w:tc>
        <w:tc>
          <w:tcPr>
            <w:tcW w:w="660" w:type="dxa"/>
            <w:vAlign w:val="bottom"/>
          </w:tcPr>
          <w:p>
            <w:pPr>
              <w:spacing w:after="0"/>
              <w:rPr>
                <w:sz w:val="24"/>
                <w:szCs w:val="24"/>
                <w:color w:val="auto"/>
              </w:rPr>
            </w:pPr>
          </w:p>
        </w:tc>
        <w:tc>
          <w:tcPr>
            <w:tcW w:w="9380" w:type="dxa"/>
            <w:vAlign w:val="bottom"/>
          </w:tcPr>
          <w:p>
            <w:pPr>
              <w:ind w:left="640"/>
              <w:spacing w:after="0"/>
              <w:rPr>
                <w:sz w:val="20"/>
                <w:szCs w:val="20"/>
                <w:color w:val="auto"/>
              </w:rPr>
            </w:pPr>
            <w:r>
              <w:rPr>
                <w:rFonts w:ascii="Arial" w:cs="Arial" w:eastAsia="Arial" w:hAnsi="Arial"/>
                <w:sz w:val="18"/>
                <w:szCs w:val="18"/>
                <w:color w:val="auto"/>
                <w:w w:val="94"/>
              </w:rPr>
              <w:t>Certification by Chief Executive Officer of Periodic Financial Reports pursuant to Section 906 of the Sarbanes-Oxley</w:t>
            </w:r>
          </w:p>
        </w:tc>
      </w:tr>
      <w:tr>
        <w:trPr>
          <w:trHeight w:val="230"/>
        </w:trPr>
        <w:tc>
          <w:tcPr>
            <w:tcW w:w="1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380" w:type="dxa"/>
            <w:vAlign w:val="bottom"/>
          </w:tcPr>
          <w:p>
            <w:pPr>
              <w:ind w:left="640"/>
              <w:spacing w:after="0"/>
              <w:rPr>
                <w:sz w:val="20"/>
                <w:szCs w:val="20"/>
                <w:color w:val="auto"/>
              </w:rPr>
            </w:pPr>
            <w:r>
              <w:rPr>
                <w:rFonts w:ascii="Arial" w:cs="Arial" w:eastAsia="Arial" w:hAnsi="Arial"/>
                <w:sz w:val="18"/>
                <w:szCs w:val="18"/>
                <w:color w:val="auto"/>
              </w:rPr>
              <w:t>Act of 2002, 18 U.S.C. Section 1350.</w:t>
            </w:r>
          </w:p>
        </w:tc>
      </w:tr>
      <w:tr>
        <w:trPr>
          <w:trHeight w:val="526"/>
        </w:trPr>
        <w:tc>
          <w:tcPr>
            <w:tcW w:w="1360" w:type="dxa"/>
            <w:vAlign w:val="bottom"/>
          </w:tcPr>
          <w:p>
            <w:pPr>
              <w:jc w:val="center"/>
              <w:ind w:right="110"/>
              <w:spacing w:after="0"/>
              <w:rPr>
                <w:sz w:val="20"/>
                <w:szCs w:val="20"/>
                <w:color w:val="auto"/>
              </w:rPr>
            </w:pPr>
            <w:r>
              <w:rPr>
                <w:rFonts w:ascii="Arial" w:cs="Arial" w:eastAsia="Arial" w:hAnsi="Arial"/>
                <w:sz w:val="18"/>
                <w:szCs w:val="18"/>
                <w:color w:val="auto"/>
                <w:w w:val="91"/>
              </w:rPr>
              <w:t>32.2</w:t>
            </w:r>
          </w:p>
        </w:tc>
        <w:tc>
          <w:tcPr>
            <w:tcW w:w="660" w:type="dxa"/>
            <w:vAlign w:val="bottom"/>
          </w:tcPr>
          <w:p>
            <w:pPr>
              <w:spacing w:after="0"/>
              <w:rPr>
                <w:sz w:val="24"/>
                <w:szCs w:val="24"/>
                <w:color w:val="auto"/>
              </w:rPr>
            </w:pPr>
          </w:p>
        </w:tc>
        <w:tc>
          <w:tcPr>
            <w:tcW w:w="9380" w:type="dxa"/>
            <w:vAlign w:val="bottom"/>
          </w:tcPr>
          <w:p>
            <w:pPr>
              <w:ind w:left="640"/>
              <w:spacing w:after="0"/>
              <w:rPr>
                <w:sz w:val="20"/>
                <w:szCs w:val="20"/>
                <w:color w:val="auto"/>
              </w:rPr>
            </w:pPr>
            <w:r>
              <w:rPr>
                <w:rFonts w:ascii="Arial" w:cs="Arial" w:eastAsia="Arial" w:hAnsi="Arial"/>
                <w:sz w:val="18"/>
                <w:szCs w:val="18"/>
                <w:color w:val="auto"/>
                <w:w w:val="92"/>
              </w:rPr>
              <w:t>Certification by Chief Financial Officer of Periodic Financial Reports pursuant to Section 906 of the Sarbanes-Oxley Act</w:t>
            </w:r>
          </w:p>
        </w:tc>
      </w:tr>
      <w:tr>
        <w:trPr>
          <w:trHeight w:val="230"/>
        </w:trPr>
        <w:tc>
          <w:tcPr>
            <w:tcW w:w="1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380" w:type="dxa"/>
            <w:vAlign w:val="bottom"/>
          </w:tcPr>
          <w:p>
            <w:pPr>
              <w:ind w:left="640"/>
              <w:spacing w:after="0"/>
              <w:rPr>
                <w:sz w:val="20"/>
                <w:szCs w:val="20"/>
                <w:color w:val="auto"/>
              </w:rPr>
            </w:pPr>
            <w:r>
              <w:rPr>
                <w:rFonts w:ascii="Arial" w:cs="Arial" w:eastAsia="Arial" w:hAnsi="Arial"/>
                <w:sz w:val="18"/>
                <w:szCs w:val="18"/>
                <w:color w:val="auto"/>
              </w:rPr>
              <w:t>of 2002, 18 U.S.C. Section 1350.</w:t>
            </w:r>
          </w:p>
        </w:tc>
      </w:tr>
      <w:tr>
        <w:trPr>
          <w:trHeight w:val="526"/>
        </w:trPr>
        <w:tc>
          <w:tcPr>
            <w:tcW w:w="1360" w:type="dxa"/>
            <w:vAlign w:val="bottom"/>
          </w:tcPr>
          <w:p>
            <w:pPr>
              <w:jc w:val="center"/>
              <w:ind w:right="110"/>
              <w:spacing w:after="0"/>
              <w:rPr>
                <w:sz w:val="20"/>
                <w:szCs w:val="20"/>
                <w:color w:val="auto"/>
              </w:rPr>
            </w:pPr>
            <w:r>
              <w:rPr>
                <w:rFonts w:ascii="Arial" w:cs="Arial" w:eastAsia="Arial" w:hAnsi="Arial"/>
                <w:sz w:val="18"/>
                <w:szCs w:val="18"/>
                <w:color w:val="auto"/>
                <w:w w:val="93"/>
              </w:rPr>
              <w:t>101</w:t>
            </w:r>
          </w:p>
        </w:tc>
        <w:tc>
          <w:tcPr>
            <w:tcW w:w="660" w:type="dxa"/>
            <w:vAlign w:val="bottom"/>
          </w:tcPr>
          <w:p>
            <w:pPr>
              <w:spacing w:after="0"/>
              <w:rPr>
                <w:sz w:val="24"/>
                <w:szCs w:val="24"/>
                <w:color w:val="auto"/>
              </w:rPr>
            </w:pPr>
          </w:p>
        </w:tc>
        <w:tc>
          <w:tcPr>
            <w:tcW w:w="9380" w:type="dxa"/>
            <w:vAlign w:val="bottom"/>
          </w:tcPr>
          <w:p>
            <w:pPr>
              <w:ind w:left="640"/>
              <w:spacing w:after="0"/>
              <w:rPr>
                <w:sz w:val="20"/>
                <w:szCs w:val="20"/>
                <w:color w:val="auto"/>
              </w:rPr>
            </w:pPr>
            <w:r>
              <w:rPr>
                <w:rFonts w:ascii="Arial" w:cs="Arial" w:eastAsia="Arial" w:hAnsi="Arial"/>
                <w:sz w:val="18"/>
                <w:szCs w:val="18"/>
                <w:color w:val="auto"/>
                <w:w w:val="94"/>
              </w:rPr>
              <w:t>The following materials from Fidelity National Financial's Quarterly Report on Form 10-Q for the quarter ended June</w:t>
            </w:r>
          </w:p>
        </w:tc>
      </w:tr>
      <w:tr>
        <w:trPr>
          <w:trHeight w:val="230"/>
        </w:trPr>
        <w:tc>
          <w:tcPr>
            <w:tcW w:w="1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380" w:type="dxa"/>
            <w:vAlign w:val="bottom"/>
          </w:tcPr>
          <w:p>
            <w:pPr>
              <w:ind w:left="640"/>
              <w:spacing w:after="0"/>
              <w:rPr>
                <w:sz w:val="20"/>
                <w:szCs w:val="20"/>
                <w:color w:val="auto"/>
              </w:rPr>
            </w:pPr>
            <w:r>
              <w:rPr>
                <w:rFonts w:ascii="Arial" w:cs="Arial" w:eastAsia="Arial" w:hAnsi="Arial"/>
                <w:sz w:val="18"/>
                <w:szCs w:val="18"/>
                <w:color w:val="auto"/>
                <w:w w:val="96"/>
              </w:rPr>
              <w:t>30, 2014, formatted in Extensible Business Reporting Language (XBRL): (i) the Condensed Consolidated Balance</w:t>
            </w:r>
          </w:p>
        </w:tc>
      </w:tr>
    </w:tbl>
    <w:p>
      <w:pPr>
        <w:jc w:val="both"/>
        <w:ind w:left="2660" w:right="20"/>
        <w:spacing w:after="0" w:line="277" w:lineRule="auto"/>
        <w:rPr>
          <w:sz w:val="20"/>
          <w:szCs w:val="20"/>
          <w:color w:val="auto"/>
        </w:rPr>
      </w:pPr>
      <w:r>
        <w:rPr>
          <w:rFonts w:ascii="Arial" w:cs="Arial" w:eastAsia="Arial" w:hAnsi="Arial"/>
          <w:sz w:val="17"/>
          <w:szCs w:val="17"/>
          <w:color w:val="auto"/>
        </w:rPr>
        <w:t>Sheets, (ii) the Condensed Consolidated Statements of Earnings, (iii) the Condensed Consolidated Statements of Comprehensive Earnings, (iv) the Condensed Consolidated Statements of Stockholders' Equity, (v) the Condensed Consolidated Statements of Cash Flows, and (vi) the Notes to the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08"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Date: August 1, 2014</w:t>
            </w:r>
          </w:p>
        </w:tc>
        <w:tc>
          <w:tcPr>
            <w:tcW w:w="6420" w:type="dxa"/>
            <w:vAlign w:val="bottom"/>
            <w:gridSpan w:val="2"/>
          </w:tcPr>
          <w:p>
            <w:pPr>
              <w:ind w:left="1720"/>
              <w:spacing w:after="0"/>
              <w:rPr>
                <w:sz w:val="20"/>
                <w:szCs w:val="20"/>
                <w:color w:val="auto"/>
              </w:rPr>
            </w:pPr>
            <w:r>
              <w:rPr>
                <w:rFonts w:ascii="Arial" w:cs="Arial" w:eastAsia="Arial" w:hAnsi="Arial"/>
                <w:sz w:val="18"/>
                <w:szCs w:val="18"/>
                <w:color w:val="auto"/>
              </w:rPr>
              <w:t>FIDELITY NATIONAL FINANCIAL, INC.</w:t>
            </w:r>
          </w:p>
        </w:tc>
      </w:tr>
      <w:tr>
        <w:trPr>
          <w:trHeight w:val="230"/>
        </w:trPr>
        <w:tc>
          <w:tcPr>
            <w:tcW w:w="3280" w:type="dxa"/>
            <w:vAlign w:val="bottom"/>
          </w:tcPr>
          <w:p>
            <w:pPr>
              <w:spacing w:after="0"/>
              <w:rPr>
                <w:sz w:val="20"/>
                <w:szCs w:val="20"/>
                <w:color w:val="auto"/>
              </w:rPr>
            </w:pPr>
          </w:p>
        </w:tc>
        <w:tc>
          <w:tcPr>
            <w:tcW w:w="6420" w:type="dxa"/>
            <w:vAlign w:val="bottom"/>
            <w:gridSpan w:val="2"/>
          </w:tcPr>
          <w:p>
            <w:pPr>
              <w:ind w:left="1720"/>
              <w:spacing w:after="0"/>
              <w:rPr>
                <w:sz w:val="20"/>
                <w:szCs w:val="20"/>
                <w:color w:val="auto"/>
              </w:rPr>
            </w:pPr>
            <w:r>
              <w:rPr>
                <w:rFonts w:ascii="Arial" w:cs="Arial" w:eastAsia="Arial" w:hAnsi="Arial"/>
                <w:sz w:val="18"/>
                <w:szCs w:val="18"/>
                <w:color w:val="auto"/>
              </w:rPr>
              <w:t>(registrant)</w:t>
            </w:r>
          </w:p>
        </w:tc>
      </w:tr>
      <w:tr>
        <w:trPr>
          <w:trHeight w:val="486"/>
        </w:trPr>
        <w:tc>
          <w:tcPr>
            <w:tcW w:w="3280" w:type="dxa"/>
            <w:vAlign w:val="bottom"/>
          </w:tcPr>
          <w:p>
            <w:pPr>
              <w:spacing w:after="0"/>
              <w:rPr>
                <w:sz w:val="24"/>
                <w:szCs w:val="24"/>
                <w:color w:val="auto"/>
              </w:rPr>
            </w:pPr>
          </w:p>
        </w:tc>
        <w:tc>
          <w:tcPr>
            <w:tcW w:w="6420" w:type="dxa"/>
            <w:vAlign w:val="bottom"/>
            <w:gridSpan w:val="2"/>
          </w:tcPr>
          <w:p>
            <w:pPr>
              <w:ind w:left="1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Anthony J. Park</w:t>
            </w:r>
          </w:p>
        </w:tc>
      </w:tr>
      <w:tr>
        <w:trPr>
          <w:trHeight w:val="27"/>
        </w:trPr>
        <w:tc>
          <w:tcPr>
            <w:tcW w:w="3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37"/>
        </w:trPr>
        <w:tc>
          <w:tcPr>
            <w:tcW w:w="32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300" w:type="dxa"/>
            <w:vAlign w:val="bottom"/>
          </w:tcPr>
          <w:p>
            <w:pPr>
              <w:ind w:left="40"/>
              <w:spacing w:after="0"/>
              <w:rPr>
                <w:sz w:val="20"/>
                <w:szCs w:val="20"/>
                <w:color w:val="auto"/>
              </w:rPr>
            </w:pPr>
            <w:r>
              <w:rPr>
                <w:rFonts w:ascii="Arial" w:cs="Arial" w:eastAsia="Arial" w:hAnsi="Arial"/>
                <w:sz w:val="18"/>
                <w:szCs w:val="18"/>
                <w:color w:val="auto"/>
              </w:rPr>
              <w:t>Anthony J. Park</w:t>
            </w:r>
          </w:p>
        </w:tc>
      </w:tr>
      <w:tr>
        <w:trPr>
          <w:trHeight w:val="256"/>
        </w:trPr>
        <w:tc>
          <w:tcPr>
            <w:tcW w:w="328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430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30"/>
        </w:trPr>
        <w:tc>
          <w:tcPr>
            <w:tcW w:w="32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300" w:type="dxa"/>
            <w:vAlign w:val="bottom"/>
          </w:tcPr>
          <w:p>
            <w:pPr>
              <w:ind w:left="40"/>
              <w:spacing w:after="0"/>
              <w:rPr>
                <w:sz w:val="20"/>
                <w:szCs w:val="20"/>
                <w:color w:val="auto"/>
              </w:rPr>
            </w:pPr>
            <w:r>
              <w:rPr>
                <w:rFonts w:ascii="Arial" w:cs="Arial" w:eastAsia="Arial" w:hAnsi="Arial"/>
                <w:sz w:val="18"/>
                <w:szCs w:val="18"/>
                <w:color w:val="auto"/>
              </w:rPr>
              <w:t>(Principal Financial and Accounting Officer)</w:t>
            </w:r>
          </w:p>
        </w:tc>
      </w:tr>
      <w:tr>
        <w:trPr>
          <w:trHeight w:val="486"/>
        </w:trPr>
        <w:tc>
          <w:tcPr>
            <w:tcW w:w="3280" w:type="dxa"/>
            <w:vAlign w:val="bottom"/>
          </w:tcPr>
          <w:p>
            <w:pPr>
              <w:spacing w:after="0"/>
              <w:rPr>
                <w:sz w:val="24"/>
                <w:szCs w:val="24"/>
                <w:color w:val="auto"/>
              </w:rPr>
            </w:pP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53</w:t>
            </w:r>
          </w:p>
        </w:tc>
        <w:tc>
          <w:tcPr>
            <w:tcW w:w="4300" w:type="dxa"/>
            <w:vAlign w:val="bottom"/>
          </w:tcPr>
          <w:p>
            <w:pPr>
              <w:spacing w:after="0"/>
              <w:rPr>
                <w:sz w:val="24"/>
                <w:szCs w:val="24"/>
                <w:color w:val="auto"/>
              </w:rPr>
            </w:pPr>
          </w:p>
        </w:tc>
      </w:tr>
    </w:tbl>
    <w:p>
      <w:pPr>
        <w:sectPr>
          <w:pgSz w:w="11900" w:h="16838" w:orient="portrait"/>
          <w:cols w:equalWidth="0" w:num="1">
            <w:col w:w="11380"/>
          </w:cols>
          <w:pgMar w:left="240" w:top="121"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780" w:type="dxa"/>
            <w:vAlign w:val="bottom"/>
          </w:tcPr>
          <w:p>
            <w:pPr>
              <w:ind w:left="2380"/>
              <w:spacing w:after="0"/>
              <w:rPr>
                <w:sz w:val="20"/>
                <w:szCs w:val="20"/>
                <w:color w:val="auto"/>
              </w:rPr>
            </w:pPr>
            <w:r>
              <w:rPr>
                <w:rFonts w:ascii="Arial" w:cs="Arial" w:eastAsia="Arial" w:hAnsi="Arial"/>
                <w:sz w:val="18"/>
                <w:szCs w:val="18"/>
                <w:b w:val="1"/>
                <w:bCs w:val="1"/>
                <w:color w:val="auto"/>
              </w:rPr>
              <w:t>EXHIBIT INDEX</w:t>
            </w:r>
          </w:p>
        </w:tc>
      </w:tr>
      <w:tr>
        <w:trPr>
          <w:trHeight w:val="326"/>
        </w:trPr>
        <w:tc>
          <w:tcPr>
            <w:tcW w:w="2640" w:type="dxa"/>
            <w:vAlign w:val="bottom"/>
            <w:gridSpan w:val="2"/>
          </w:tcPr>
          <w:p>
            <w:pPr>
              <w:jc w:val="center"/>
              <w:ind w:right="1460"/>
              <w:spacing w:after="0"/>
              <w:rPr>
                <w:sz w:val="20"/>
                <w:szCs w:val="20"/>
                <w:color w:val="auto"/>
              </w:rPr>
            </w:pPr>
            <w:r>
              <w:rPr>
                <w:rFonts w:ascii="Arial" w:cs="Arial" w:eastAsia="Arial" w:hAnsi="Arial"/>
                <w:sz w:val="14"/>
                <w:szCs w:val="14"/>
                <w:b w:val="1"/>
                <w:bCs w:val="1"/>
                <w:color w:val="auto"/>
                <w:w w:val="98"/>
              </w:rPr>
              <w:t>Exhibit</w:t>
            </w:r>
          </w:p>
        </w:tc>
        <w:tc>
          <w:tcPr>
            <w:tcW w:w="8780" w:type="dxa"/>
            <w:vAlign w:val="bottom"/>
          </w:tcPr>
          <w:p>
            <w:pPr>
              <w:spacing w:after="0"/>
              <w:rPr>
                <w:sz w:val="24"/>
                <w:szCs w:val="24"/>
                <w:color w:val="auto"/>
              </w:rPr>
            </w:pPr>
          </w:p>
        </w:tc>
      </w:tr>
      <w:tr>
        <w:trPr>
          <w:trHeight w:val="209"/>
        </w:trPr>
        <w:tc>
          <w:tcPr>
            <w:tcW w:w="2640" w:type="dxa"/>
            <w:vAlign w:val="bottom"/>
            <w:gridSpan w:val="2"/>
          </w:tcPr>
          <w:p>
            <w:pPr>
              <w:jc w:val="center"/>
              <w:ind w:right="1480"/>
              <w:spacing w:after="0"/>
              <w:rPr>
                <w:sz w:val="20"/>
                <w:szCs w:val="20"/>
                <w:color w:val="auto"/>
              </w:rPr>
            </w:pPr>
            <w:r>
              <w:rPr>
                <w:rFonts w:ascii="Arial" w:cs="Arial" w:eastAsia="Arial" w:hAnsi="Arial"/>
                <w:sz w:val="14"/>
                <w:szCs w:val="14"/>
                <w:b w:val="1"/>
                <w:bCs w:val="1"/>
                <w:color w:val="auto"/>
                <w:w w:val="88"/>
              </w:rPr>
              <w:t>No.</w:t>
            </w:r>
          </w:p>
        </w:tc>
        <w:tc>
          <w:tcPr>
            <w:tcW w:w="8780" w:type="dxa"/>
            <w:vAlign w:val="bottom"/>
          </w:tcPr>
          <w:p>
            <w:pPr>
              <w:ind w:left="4040"/>
              <w:spacing w:after="0"/>
              <w:rPr>
                <w:sz w:val="20"/>
                <w:szCs w:val="20"/>
                <w:color w:val="auto"/>
              </w:rPr>
            </w:pPr>
            <w:r>
              <w:rPr>
                <w:rFonts w:ascii="Arial" w:cs="Arial" w:eastAsia="Arial" w:hAnsi="Arial"/>
                <w:sz w:val="14"/>
                <w:szCs w:val="14"/>
                <w:b w:val="1"/>
                <w:bCs w:val="1"/>
                <w:color w:val="auto"/>
              </w:rPr>
              <w:t>Description</w:t>
            </w:r>
          </w:p>
        </w:tc>
      </w:tr>
      <w:tr>
        <w:trPr>
          <w:trHeight w:val="228"/>
        </w:trPr>
        <w:tc>
          <w:tcPr>
            <w:tcW w:w="1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10.1</w:t>
            </w:r>
          </w:p>
        </w:tc>
        <w:tc>
          <w:tcPr>
            <w:tcW w:w="1480" w:type="dxa"/>
            <w:vAlign w:val="bottom"/>
          </w:tcPr>
          <w:p>
            <w:pPr>
              <w:spacing w:after="0"/>
              <w:rPr>
                <w:sz w:val="19"/>
                <w:szCs w:val="19"/>
                <w:color w:val="auto"/>
              </w:rPr>
            </w:pPr>
          </w:p>
        </w:tc>
        <w:tc>
          <w:tcPr>
            <w:tcW w:w="8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7"/>
              </w:rPr>
              <w:t>Form of Notice of Long-Term Investment Success Performance Award Agreement under Amended and Restated</w:t>
            </w:r>
          </w:p>
        </w:tc>
      </w:tr>
      <w:tr>
        <w:trPr>
          <w:trHeight w:val="230"/>
        </w:trPr>
        <w:tc>
          <w:tcPr>
            <w:tcW w:w="1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780" w:type="dxa"/>
            <w:vAlign w:val="bottom"/>
          </w:tcPr>
          <w:p>
            <w:pPr>
              <w:ind w:left="20"/>
              <w:spacing w:after="0"/>
              <w:rPr>
                <w:sz w:val="20"/>
                <w:szCs w:val="20"/>
                <w:color w:val="auto"/>
              </w:rPr>
            </w:pPr>
            <w:r>
              <w:rPr>
                <w:rFonts w:ascii="Arial" w:cs="Arial" w:eastAsia="Arial" w:hAnsi="Arial"/>
                <w:sz w:val="18"/>
                <w:szCs w:val="18"/>
                <w:color w:val="auto"/>
              </w:rPr>
              <w:t>Fidelity National Financial, Inc. 2005 Omnibus Incentive Plan</w:t>
            </w:r>
          </w:p>
        </w:tc>
      </w:tr>
      <w:tr>
        <w:trPr>
          <w:trHeight w:val="540"/>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480" w:type="dxa"/>
            <w:vAlign w:val="bottom"/>
          </w:tcPr>
          <w:p>
            <w:pPr>
              <w:spacing w:after="0"/>
              <w:rPr>
                <w:sz w:val="24"/>
                <w:szCs w:val="24"/>
                <w:color w:val="auto"/>
              </w:rPr>
            </w:pPr>
          </w:p>
        </w:tc>
        <w:tc>
          <w:tcPr>
            <w:tcW w:w="8780" w:type="dxa"/>
            <w:vAlign w:val="bottom"/>
          </w:tcPr>
          <w:p>
            <w:pPr>
              <w:ind w:left="2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540"/>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480" w:type="dxa"/>
            <w:vAlign w:val="bottom"/>
          </w:tcPr>
          <w:p>
            <w:pPr>
              <w:spacing w:after="0"/>
              <w:rPr>
                <w:sz w:val="24"/>
                <w:szCs w:val="24"/>
                <w:color w:val="auto"/>
              </w:rPr>
            </w:pPr>
          </w:p>
        </w:tc>
        <w:tc>
          <w:tcPr>
            <w:tcW w:w="8780" w:type="dxa"/>
            <w:vAlign w:val="bottom"/>
          </w:tcPr>
          <w:p>
            <w:pPr>
              <w:ind w:left="2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526"/>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480" w:type="dxa"/>
            <w:vAlign w:val="bottom"/>
          </w:tcPr>
          <w:p>
            <w:pPr>
              <w:spacing w:after="0"/>
              <w:rPr>
                <w:sz w:val="24"/>
                <w:szCs w:val="24"/>
                <w:color w:val="auto"/>
              </w:rPr>
            </w:pPr>
          </w:p>
        </w:tc>
        <w:tc>
          <w:tcPr>
            <w:tcW w:w="8780" w:type="dxa"/>
            <w:vAlign w:val="bottom"/>
          </w:tcPr>
          <w:p>
            <w:pPr>
              <w:ind w:left="20"/>
              <w:spacing w:after="0"/>
              <w:rPr>
                <w:sz w:val="20"/>
                <w:szCs w:val="20"/>
                <w:color w:val="auto"/>
              </w:rPr>
            </w:pPr>
            <w:r>
              <w:rPr>
                <w:rFonts w:ascii="Arial" w:cs="Arial" w:eastAsia="Arial" w:hAnsi="Arial"/>
                <w:sz w:val="18"/>
                <w:szCs w:val="18"/>
                <w:color w:val="auto"/>
                <w:w w:val="94"/>
              </w:rPr>
              <w:t>Certification by Chief Executive Officer of Periodic Financial Reports pursuant to Section 906 of the Sarbanes-Oxley</w:t>
            </w:r>
          </w:p>
        </w:tc>
      </w:tr>
      <w:tr>
        <w:trPr>
          <w:trHeight w:val="230"/>
        </w:trPr>
        <w:tc>
          <w:tcPr>
            <w:tcW w:w="1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780" w:type="dxa"/>
            <w:vAlign w:val="bottom"/>
          </w:tcPr>
          <w:p>
            <w:pPr>
              <w:ind w:left="20"/>
              <w:spacing w:after="0"/>
              <w:rPr>
                <w:sz w:val="20"/>
                <w:szCs w:val="20"/>
                <w:color w:val="auto"/>
              </w:rPr>
            </w:pPr>
            <w:r>
              <w:rPr>
                <w:rFonts w:ascii="Arial" w:cs="Arial" w:eastAsia="Arial" w:hAnsi="Arial"/>
                <w:sz w:val="18"/>
                <w:szCs w:val="18"/>
                <w:color w:val="auto"/>
              </w:rPr>
              <w:t>Act of 2002, 18 U.S.C. Section 1350.</w:t>
            </w:r>
          </w:p>
        </w:tc>
      </w:tr>
      <w:tr>
        <w:trPr>
          <w:trHeight w:val="526"/>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1480" w:type="dxa"/>
            <w:vAlign w:val="bottom"/>
          </w:tcPr>
          <w:p>
            <w:pPr>
              <w:spacing w:after="0"/>
              <w:rPr>
                <w:sz w:val="24"/>
                <w:szCs w:val="24"/>
                <w:color w:val="auto"/>
              </w:rPr>
            </w:pPr>
          </w:p>
        </w:tc>
        <w:tc>
          <w:tcPr>
            <w:tcW w:w="8780" w:type="dxa"/>
            <w:vAlign w:val="bottom"/>
          </w:tcPr>
          <w:p>
            <w:pPr>
              <w:ind w:left="20"/>
              <w:spacing w:after="0"/>
              <w:rPr>
                <w:sz w:val="20"/>
                <w:szCs w:val="20"/>
                <w:color w:val="auto"/>
              </w:rPr>
            </w:pPr>
            <w:r>
              <w:rPr>
                <w:rFonts w:ascii="Arial" w:cs="Arial" w:eastAsia="Arial" w:hAnsi="Arial"/>
                <w:sz w:val="18"/>
                <w:szCs w:val="18"/>
                <w:color w:val="auto"/>
                <w:w w:val="92"/>
              </w:rPr>
              <w:t>Certification by Chief Financial Officer of Periodic Financial Reports pursuant to Section 906 of the Sarbanes-Oxley Act</w:t>
            </w:r>
          </w:p>
        </w:tc>
      </w:tr>
      <w:tr>
        <w:trPr>
          <w:trHeight w:val="230"/>
        </w:trPr>
        <w:tc>
          <w:tcPr>
            <w:tcW w:w="1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780" w:type="dxa"/>
            <w:vAlign w:val="bottom"/>
          </w:tcPr>
          <w:p>
            <w:pPr>
              <w:ind w:left="20"/>
              <w:spacing w:after="0"/>
              <w:rPr>
                <w:sz w:val="20"/>
                <w:szCs w:val="20"/>
                <w:color w:val="auto"/>
              </w:rPr>
            </w:pPr>
            <w:r>
              <w:rPr>
                <w:rFonts w:ascii="Arial" w:cs="Arial" w:eastAsia="Arial" w:hAnsi="Arial"/>
                <w:sz w:val="18"/>
                <w:szCs w:val="18"/>
                <w:color w:val="auto"/>
              </w:rPr>
              <w:t>of 2002, 18 U.S.C. Section 1350.</w:t>
            </w:r>
          </w:p>
        </w:tc>
      </w:tr>
      <w:tr>
        <w:trPr>
          <w:trHeight w:val="499"/>
        </w:trPr>
        <w:tc>
          <w:tcPr>
            <w:tcW w:w="1160" w:type="dxa"/>
            <w:vAlign w:val="bottom"/>
          </w:tcPr>
          <w:p>
            <w:pPr>
              <w:jc w:val="center"/>
              <w:spacing w:after="0"/>
              <w:rPr>
                <w:sz w:val="20"/>
                <w:szCs w:val="20"/>
                <w:color w:val="auto"/>
              </w:rPr>
            </w:pPr>
            <w:r>
              <w:rPr>
                <w:rFonts w:ascii="Arial" w:cs="Arial" w:eastAsia="Arial" w:hAnsi="Arial"/>
                <w:sz w:val="18"/>
                <w:szCs w:val="18"/>
                <w:color w:val="auto"/>
                <w:w w:val="93"/>
              </w:rPr>
              <w:t>101</w:t>
            </w:r>
          </w:p>
        </w:tc>
        <w:tc>
          <w:tcPr>
            <w:tcW w:w="1480" w:type="dxa"/>
            <w:vAlign w:val="bottom"/>
          </w:tcPr>
          <w:p>
            <w:pPr>
              <w:spacing w:after="0"/>
              <w:rPr>
                <w:sz w:val="24"/>
                <w:szCs w:val="24"/>
                <w:color w:val="auto"/>
              </w:rPr>
            </w:pPr>
          </w:p>
        </w:tc>
        <w:tc>
          <w:tcPr>
            <w:tcW w:w="8780" w:type="dxa"/>
            <w:vAlign w:val="bottom"/>
          </w:tcPr>
          <w:p>
            <w:pPr>
              <w:ind w:left="20"/>
              <w:spacing w:after="0"/>
              <w:rPr>
                <w:sz w:val="20"/>
                <w:szCs w:val="20"/>
                <w:color w:val="auto"/>
              </w:rPr>
            </w:pPr>
            <w:r>
              <w:rPr>
                <w:rFonts w:ascii="Arial" w:cs="Arial" w:eastAsia="Arial" w:hAnsi="Arial"/>
                <w:sz w:val="18"/>
                <w:szCs w:val="18"/>
                <w:color w:val="auto"/>
                <w:w w:val="95"/>
              </w:rPr>
              <w:t>The following materials from Fidelity National Financial's Quarterly Report on Form 10-Q for the quarter ended June</w:t>
            </w:r>
          </w:p>
        </w:tc>
      </w:tr>
      <w:tr>
        <w:trPr>
          <w:trHeight w:val="230"/>
        </w:trPr>
        <w:tc>
          <w:tcPr>
            <w:tcW w:w="1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780" w:type="dxa"/>
            <w:vAlign w:val="bottom"/>
          </w:tcPr>
          <w:p>
            <w:pPr>
              <w:ind w:left="20"/>
              <w:spacing w:after="0"/>
              <w:rPr>
                <w:sz w:val="20"/>
                <w:szCs w:val="20"/>
                <w:color w:val="auto"/>
              </w:rPr>
            </w:pPr>
            <w:r>
              <w:rPr>
                <w:rFonts w:ascii="Arial" w:cs="Arial" w:eastAsia="Arial" w:hAnsi="Arial"/>
                <w:sz w:val="18"/>
                <w:szCs w:val="18"/>
                <w:color w:val="auto"/>
                <w:w w:val="96"/>
              </w:rPr>
              <w:t>30, 2014, formatted in Extensible Business Reporting Language (XBRL): (i) the Condensed Consolidated Balance</w:t>
            </w:r>
          </w:p>
        </w:tc>
      </w:tr>
    </w:tbl>
    <w:p>
      <w:pPr>
        <w:jc w:val="both"/>
        <w:ind w:left="2660" w:right="40"/>
        <w:spacing w:after="0" w:line="277" w:lineRule="auto"/>
        <w:rPr>
          <w:sz w:val="20"/>
          <w:szCs w:val="20"/>
          <w:color w:val="auto"/>
        </w:rPr>
      </w:pPr>
      <w:r>
        <w:rPr>
          <w:rFonts w:ascii="Arial" w:cs="Arial" w:eastAsia="Arial" w:hAnsi="Arial"/>
          <w:sz w:val="17"/>
          <w:szCs w:val="17"/>
          <w:color w:val="auto"/>
        </w:rPr>
        <w:t>Sheets, (ii) the Condensed Consolidated Statements of Earnings, (iii) the Condensed Consolidated Statements of Comprehensive Earnings, (iv) the Condensed Consolidated Statements of Stockholders' Equity, (v) the Condensed Consolidated Statements of Cash Flows, and (vi) the Notes to the Consolidated Financial Statements.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1"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Long-Term Investment Success Performance Award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You (the “</w:t>
      </w:r>
      <w:r>
        <w:rPr>
          <w:rFonts w:ascii="Arial" w:cs="Arial" w:eastAsia="Arial" w:hAnsi="Arial"/>
          <w:sz w:val="17"/>
          <w:szCs w:val="17"/>
          <w:u w:val="single" w:color="auto"/>
          <w:color w:val="auto"/>
        </w:rPr>
        <w:t>Grantee</w:t>
      </w:r>
      <w:r>
        <w:rPr>
          <w:rFonts w:ascii="Arial" w:cs="Arial" w:eastAsia="Arial" w:hAnsi="Arial"/>
          <w:sz w:val="17"/>
          <w:szCs w:val="17"/>
          <w:color w:val="auto"/>
        </w:rPr>
        <w:t>”) have been granted the following Long-Term Investment Success Performance Award (the “</w:t>
      </w:r>
      <w:r>
        <w:rPr>
          <w:rFonts w:ascii="Arial" w:cs="Arial" w:eastAsia="Arial" w:hAnsi="Arial"/>
          <w:sz w:val="17"/>
          <w:szCs w:val="17"/>
          <w:u w:val="single" w:color="auto"/>
          <w:color w:val="auto"/>
        </w:rPr>
        <w:t>Award</w:t>
      </w:r>
      <w:r>
        <w:rPr>
          <w:rFonts w:ascii="Arial" w:cs="Arial" w:eastAsia="Arial" w:hAnsi="Arial"/>
          <w:sz w:val="17"/>
          <w:szCs w:val="17"/>
          <w:color w:val="auto"/>
        </w:rPr>
        <w:t>”) pursuant to the Amended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Restated Fidelity National Financial, Inc. 2005 Omnibus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w:t>
      </w:r>
    </w:p>
    <w:p>
      <w:pPr>
        <w:spacing w:after="0" w:line="340" w:lineRule="exact"/>
        <w:rPr>
          <w:sz w:val="20"/>
          <w:szCs w:val="20"/>
          <w:color w:val="auto"/>
        </w:rPr>
      </w:pPr>
    </w:p>
    <w:tbl>
      <w:tblPr>
        <w:tblLayout w:type="fixed"/>
        <w:tblInd w:w="470" w:type="dxa"/>
        <w:tblCellMar>
          <w:top w:w="0" w:type="dxa"/>
          <w:left w:w="0" w:type="dxa"/>
          <w:bottom w:w="0" w:type="dxa"/>
          <w:right w:w="0" w:type="dxa"/>
        </w:tblCellMar>
      </w:tblPr>
      <w:tr>
        <w:trPr>
          <w:trHeight w:val="257"/>
        </w:trPr>
        <w:tc>
          <w:tcPr>
            <w:tcW w:w="50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Name of Grantee:</w:t>
            </w:r>
          </w:p>
        </w:tc>
        <w:tc>
          <w:tcPr>
            <w:tcW w:w="54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William P. Foley, II</w:t>
            </w:r>
          </w:p>
        </w:tc>
      </w:tr>
      <w:tr>
        <w:trPr>
          <w:trHeight w:val="27"/>
        </w:trPr>
        <w:tc>
          <w:tcPr>
            <w:tcW w:w="5060" w:type="dxa"/>
            <w:vAlign w:val="bottom"/>
            <w:tcBorders>
              <w:left w:val="single" w:sz="8" w:color="auto"/>
              <w:bottom w:val="single" w:sz="8" w:color="auto"/>
              <w:right w:val="single" w:sz="8" w:color="auto"/>
            </w:tcBorders>
          </w:tcPr>
          <w:p>
            <w:pPr>
              <w:spacing w:after="0"/>
              <w:rPr>
                <w:sz w:val="2"/>
                <w:szCs w:val="2"/>
                <w:color w:val="auto"/>
              </w:rPr>
            </w:pPr>
          </w:p>
        </w:tc>
        <w:tc>
          <w:tcPr>
            <w:tcW w:w="5460" w:type="dxa"/>
            <w:vAlign w:val="bottom"/>
            <w:tcBorders>
              <w:bottom w:val="single" w:sz="8" w:color="auto"/>
              <w:right w:val="single" w:sz="8" w:color="auto"/>
            </w:tcBorders>
          </w:tcPr>
          <w:p>
            <w:pPr>
              <w:spacing w:after="0"/>
              <w:rPr>
                <w:sz w:val="2"/>
                <w:szCs w:val="2"/>
                <w:color w:val="auto"/>
              </w:rPr>
            </w:pPr>
          </w:p>
        </w:tc>
      </w:tr>
      <w:tr>
        <w:trPr>
          <w:trHeight w:val="237"/>
        </w:trPr>
        <w:tc>
          <w:tcPr>
            <w:tcW w:w="50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Award Opportunity:</w:t>
            </w:r>
          </w:p>
        </w:tc>
        <w:tc>
          <w:tcPr>
            <w:tcW w:w="5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See Appendix A</w:t>
            </w:r>
          </w:p>
        </w:tc>
      </w:tr>
      <w:tr>
        <w:trPr>
          <w:trHeight w:val="27"/>
        </w:trPr>
        <w:tc>
          <w:tcPr>
            <w:tcW w:w="5060" w:type="dxa"/>
            <w:vAlign w:val="bottom"/>
            <w:tcBorders>
              <w:left w:val="single" w:sz="8" w:color="auto"/>
              <w:bottom w:val="single" w:sz="8" w:color="auto"/>
              <w:right w:val="single" w:sz="8" w:color="auto"/>
            </w:tcBorders>
          </w:tcPr>
          <w:p>
            <w:pPr>
              <w:spacing w:after="0"/>
              <w:rPr>
                <w:sz w:val="2"/>
                <w:szCs w:val="2"/>
                <w:color w:val="auto"/>
              </w:rPr>
            </w:pPr>
          </w:p>
        </w:tc>
        <w:tc>
          <w:tcPr>
            <w:tcW w:w="5460" w:type="dxa"/>
            <w:vAlign w:val="bottom"/>
            <w:tcBorders>
              <w:bottom w:val="single" w:sz="8" w:color="auto"/>
              <w:right w:val="single" w:sz="8" w:color="auto"/>
            </w:tcBorders>
          </w:tcPr>
          <w:p>
            <w:pPr>
              <w:spacing w:after="0"/>
              <w:rPr>
                <w:sz w:val="2"/>
                <w:szCs w:val="2"/>
                <w:color w:val="auto"/>
              </w:rPr>
            </w:pPr>
          </w:p>
        </w:tc>
      </w:tr>
      <w:tr>
        <w:trPr>
          <w:trHeight w:val="237"/>
        </w:trPr>
        <w:tc>
          <w:tcPr>
            <w:tcW w:w="50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Effective Date of Grant:</w:t>
            </w:r>
          </w:p>
        </w:tc>
        <w:tc>
          <w:tcPr>
            <w:tcW w:w="5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March 31, 2014</w:t>
            </w:r>
          </w:p>
        </w:tc>
      </w:tr>
      <w:tr>
        <w:trPr>
          <w:trHeight w:val="27"/>
        </w:trPr>
        <w:tc>
          <w:tcPr>
            <w:tcW w:w="5060" w:type="dxa"/>
            <w:vAlign w:val="bottom"/>
            <w:tcBorders>
              <w:left w:val="single" w:sz="8" w:color="auto"/>
              <w:bottom w:val="single" w:sz="8" w:color="auto"/>
              <w:right w:val="single" w:sz="8" w:color="auto"/>
            </w:tcBorders>
          </w:tcPr>
          <w:p>
            <w:pPr>
              <w:spacing w:after="0"/>
              <w:rPr>
                <w:sz w:val="2"/>
                <w:szCs w:val="2"/>
                <w:color w:val="auto"/>
              </w:rPr>
            </w:pPr>
          </w:p>
        </w:tc>
        <w:tc>
          <w:tcPr>
            <w:tcW w:w="5460" w:type="dxa"/>
            <w:vAlign w:val="bottom"/>
            <w:tcBorders>
              <w:bottom w:val="single" w:sz="8" w:color="auto"/>
              <w:right w:val="single" w:sz="8" w:color="auto"/>
            </w:tcBorders>
          </w:tcPr>
          <w:p>
            <w:pPr>
              <w:spacing w:after="0"/>
              <w:rPr>
                <w:sz w:val="2"/>
                <w:szCs w:val="2"/>
                <w:color w:val="auto"/>
              </w:rPr>
            </w:pPr>
          </w:p>
        </w:tc>
      </w:tr>
      <w:tr>
        <w:trPr>
          <w:trHeight w:val="237"/>
        </w:trPr>
        <w:tc>
          <w:tcPr>
            <w:tcW w:w="50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Vesting Conditions:</w:t>
            </w:r>
          </w:p>
        </w:tc>
        <w:tc>
          <w:tcPr>
            <w:tcW w:w="5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See Appendix A</w:t>
            </w:r>
          </w:p>
        </w:tc>
      </w:tr>
      <w:tr>
        <w:trPr>
          <w:trHeight w:val="27"/>
        </w:trPr>
        <w:tc>
          <w:tcPr>
            <w:tcW w:w="5060" w:type="dxa"/>
            <w:vAlign w:val="bottom"/>
            <w:tcBorders>
              <w:left w:val="single" w:sz="8" w:color="auto"/>
              <w:bottom w:val="single" w:sz="8" w:color="auto"/>
              <w:right w:val="single" w:sz="8" w:color="auto"/>
            </w:tcBorders>
          </w:tcPr>
          <w:p>
            <w:pPr>
              <w:spacing w:after="0"/>
              <w:rPr>
                <w:sz w:val="2"/>
                <w:szCs w:val="2"/>
                <w:color w:val="auto"/>
              </w:rPr>
            </w:pPr>
          </w:p>
        </w:tc>
        <w:tc>
          <w:tcPr>
            <w:tcW w:w="5460" w:type="dxa"/>
            <w:vAlign w:val="bottom"/>
            <w:tcBorders>
              <w:bottom w:val="single" w:sz="8" w:color="auto"/>
              <w:right w:val="single" w:sz="8" w:color="auto"/>
            </w:tcBorders>
          </w:tcPr>
          <w:p>
            <w:pPr>
              <w:spacing w:after="0"/>
              <w:rPr>
                <w:sz w:val="2"/>
                <w:szCs w:val="2"/>
                <w:color w:val="auto"/>
              </w:rPr>
            </w:pPr>
          </w:p>
        </w:tc>
      </w:tr>
      <w:tr>
        <w:trPr>
          <w:trHeight w:val="237"/>
        </w:trPr>
        <w:tc>
          <w:tcPr>
            <w:tcW w:w="50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Share of ROI Incentive Pool</w:t>
            </w:r>
          </w:p>
        </w:tc>
        <w:tc>
          <w:tcPr>
            <w:tcW w:w="5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60%</w:t>
            </w:r>
          </w:p>
        </w:tc>
      </w:tr>
      <w:tr>
        <w:trPr>
          <w:trHeight w:val="27"/>
        </w:trPr>
        <w:tc>
          <w:tcPr>
            <w:tcW w:w="5060" w:type="dxa"/>
            <w:vAlign w:val="bottom"/>
            <w:tcBorders>
              <w:left w:val="single" w:sz="8" w:color="auto"/>
              <w:bottom w:val="single" w:sz="8" w:color="auto"/>
              <w:right w:val="single" w:sz="8" w:color="auto"/>
            </w:tcBorders>
          </w:tcPr>
          <w:p>
            <w:pPr>
              <w:spacing w:after="0"/>
              <w:rPr>
                <w:sz w:val="2"/>
                <w:szCs w:val="2"/>
                <w:color w:val="auto"/>
              </w:rPr>
            </w:pPr>
          </w:p>
        </w:tc>
        <w:tc>
          <w:tcPr>
            <w:tcW w:w="546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By your signature and the signature of the Company’s representative below, you and Fidelity National Financial, Inc. (the “</w:t>
      </w:r>
      <w:r>
        <w:rPr>
          <w:rFonts w:ascii="Arial" w:cs="Arial" w:eastAsia="Arial" w:hAnsi="Arial"/>
          <w:sz w:val="17"/>
          <w:szCs w:val="17"/>
          <w:u w:val="single" w:color="auto"/>
          <w:color w:val="auto"/>
        </w:rPr>
        <w:t>Company</w:t>
      </w:r>
      <w:r>
        <w:rPr>
          <w:rFonts w:ascii="Arial" w:cs="Arial" w:eastAsia="Arial" w:hAnsi="Arial"/>
          <w:sz w:val="17"/>
          <w:szCs w:val="17"/>
          <w:color w:val="auto"/>
        </w:rPr>
        <w:t>”) agree and acknowledge that the Award is granted under and governed by the terms and conditions of the Plan, this Notice of Long-Term Investment Success Performance Award (including Appendix A, the “</w:t>
      </w:r>
      <w:r>
        <w:rPr>
          <w:rFonts w:ascii="Arial" w:cs="Arial" w:eastAsia="Arial" w:hAnsi="Arial"/>
          <w:sz w:val="17"/>
          <w:szCs w:val="17"/>
          <w:u w:val="single" w:color="auto"/>
          <w:color w:val="auto"/>
        </w:rPr>
        <w:t>Notice</w:t>
      </w:r>
      <w:r>
        <w:rPr>
          <w:rFonts w:ascii="Arial" w:cs="Arial" w:eastAsia="Arial" w:hAnsi="Arial"/>
          <w:sz w:val="17"/>
          <w:szCs w:val="17"/>
          <w:color w:val="auto"/>
        </w:rPr>
        <w:t>”) and the Long-Term Investment Success Performance Award Agreement (the “</w:t>
      </w:r>
      <w:r>
        <w:rPr>
          <w:rFonts w:ascii="Arial" w:cs="Arial" w:eastAsia="Arial" w:hAnsi="Arial"/>
          <w:sz w:val="17"/>
          <w:szCs w:val="17"/>
          <w:u w:val="single" w:color="auto"/>
          <w:color w:val="auto"/>
        </w:rPr>
        <w:t>Award Agreement</w:t>
      </w:r>
      <w:r>
        <w:rPr>
          <w:rFonts w:ascii="Arial" w:cs="Arial" w:eastAsia="Arial" w:hAnsi="Arial"/>
          <w:sz w:val="17"/>
          <w:szCs w:val="17"/>
          <w:color w:val="auto"/>
        </w:rPr>
        <w:t>”), which are incorporated herein by reference, and that you have been provided a copy of the Plan, the Notice and the Award Agreement.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80" w:type="dxa"/>
            <w:vAlign w:val="bottom"/>
            <w:gridSpan w:val="2"/>
          </w:tcPr>
          <w:p>
            <w:pPr>
              <w:spacing w:after="0"/>
              <w:rPr>
                <w:sz w:val="20"/>
                <w:szCs w:val="20"/>
                <w:color w:val="auto"/>
              </w:rPr>
            </w:pPr>
            <w:r>
              <w:rPr>
                <w:rFonts w:ascii="Arial" w:cs="Arial" w:eastAsia="Arial" w:hAnsi="Arial"/>
                <w:sz w:val="18"/>
                <w:szCs w:val="18"/>
                <w:b w:val="1"/>
                <w:bCs w:val="1"/>
                <w:color w:val="auto"/>
              </w:rPr>
              <w:t>Grantee:</w:t>
            </w:r>
          </w:p>
        </w:tc>
        <w:tc>
          <w:tcPr>
            <w:tcW w:w="3800" w:type="dxa"/>
            <w:vAlign w:val="bottom"/>
            <w:gridSpan w:val="5"/>
          </w:tcPr>
          <w:p>
            <w:pPr>
              <w:ind w:left="100"/>
              <w:spacing w:after="0"/>
              <w:rPr>
                <w:sz w:val="20"/>
                <w:szCs w:val="20"/>
                <w:color w:val="auto"/>
              </w:rPr>
            </w:pPr>
            <w:r>
              <w:rPr>
                <w:rFonts w:ascii="Arial" w:cs="Arial" w:eastAsia="Arial" w:hAnsi="Arial"/>
                <w:sz w:val="18"/>
                <w:szCs w:val="18"/>
                <w:b w:val="1"/>
                <w:bCs w:val="1"/>
                <w:color w:val="auto"/>
              </w:rPr>
              <w:t>Fidelity National Financial, Inc.</w:t>
            </w:r>
          </w:p>
        </w:tc>
      </w:tr>
      <w:tr>
        <w:trPr>
          <w:trHeight w:val="716"/>
        </w:trPr>
        <w:tc>
          <w:tcPr>
            <w:tcW w:w="2420" w:type="dxa"/>
            <w:vAlign w:val="bottom"/>
            <w:gridSpan w:val="4"/>
          </w:tcPr>
          <w:p>
            <w:pPr>
              <w:spacing w:after="0"/>
              <w:rPr>
                <w:sz w:val="20"/>
                <w:szCs w:val="20"/>
                <w:color w:val="auto"/>
              </w:rPr>
            </w:pPr>
            <w:r>
              <w:rPr>
                <w:rFonts w:ascii="Arial" w:cs="Arial" w:eastAsia="Arial" w:hAnsi="Arial"/>
                <w:sz w:val="18"/>
                <w:szCs w:val="18"/>
                <w:color w:val="auto"/>
              </w:rPr>
              <w:t>By: /s/ William P. Foley, II</w:t>
            </w:r>
          </w:p>
        </w:tc>
        <w:tc>
          <w:tcPr>
            <w:tcW w:w="3060" w:type="dxa"/>
            <w:vAlign w:val="bottom"/>
            <w:gridSpan w:val="3"/>
          </w:tcPr>
          <w:p>
            <w:pPr>
              <w:ind w:left="100"/>
              <w:spacing w:after="0"/>
              <w:rPr>
                <w:sz w:val="20"/>
                <w:szCs w:val="20"/>
                <w:color w:val="auto"/>
              </w:rPr>
            </w:pPr>
            <w:r>
              <w:rPr>
                <w:rFonts w:ascii="Arial" w:cs="Arial" w:eastAsia="Arial" w:hAnsi="Arial"/>
                <w:sz w:val="18"/>
                <w:szCs w:val="18"/>
                <w:color w:val="auto"/>
              </w:rPr>
              <w:t>By: /s/ Michael L. Gravelle</w:t>
            </w:r>
          </w:p>
        </w:tc>
      </w:tr>
      <w:tr>
        <w:trPr>
          <w:trHeight w:val="20"/>
        </w:trPr>
        <w:tc>
          <w:tcPr>
            <w:tcW w:w="320" w:type="dxa"/>
            <w:vAlign w:val="bottom"/>
          </w:tcPr>
          <w:p>
            <w:pPr>
              <w:spacing w:after="0" w:line="20" w:lineRule="exact"/>
              <w:rPr>
                <w:sz w:val="1"/>
                <w:szCs w:val="1"/>
                <w:color w:val="auto"/>
              </w:rPr>
            </w:pPr>
          </w:p>
        </w:tc>
        <w:tc>
          <w:tcPr>
            <w:tcW w:w="162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2"/>
        </w:trPr>
        <w:tc>
          <w:tcPr>
            <w:tcW w:w="2420" w:type="dxa"/>
            <w:vAlign w:val="bottom"/>
            <w:gridSpan w:val="4"/>
          </w:tcPr>
          <w:p>
            <w:pPr>
              <w:spacing w:after="0"/>
              <w:rPr>
                <w:sz w:val="20"/>
                <w:szCs w:val="20"/>
                <w:color w:val="auto"/>
              </w:rPr>
            </w:pPr>
            <w:r>
              <w:rPr>
                <w:rFonts w:ascii="Arial" w:cs="Arial" w:eastAsia="Arial" w:hAnsi="Arial"/>
                <w:sz w:val="18"/>
                <w:szCs w:val="18"/>
                <w:color w:val="auto"/>
                <w:w w:val="96"/>
              </w:rPr>
              <w:t>Print Name: William P. Foley, II</w:t>
            </w:r>
          </w:p>
        </w:tc>
        <w:tc>
          <w:tcPr>
            <w:tcW w:w="400" w:type="dxa"/>
            <w:vAlign w:val="bottom"/>
          </w:tcPr>
          <w:p>
            <w:pPr>
              <w:spacing w:after="0"/>
              <w:rPr>
                <w:sz w:val="19"/>
                <w:szCs w:val="19"/>
                <w:color w:val="auto"/>
              </w:rPr>
            </w:pPr>
          </w:p>
        </w:tc>
        <w:tc>
          <w:tcPr>
            <w:tcW w:w="2660" w:type="dxa"/>
            <w:vAlign w:val="bottom"/>
            <w:gridSpan w:val="2"/>
          </w:tcPr>
          <w:p>
            <w:pPr>
              <w:ind w:left="240"/>
              <w:spacing w:after="0"/>
              <w:rPr>
                <w:sz w:val="20"/>
                <w:szCs w:val="20"/>
                <w:color w:val="auto"/>
              </w:rPr>
            </w:pPr>
            <w:r>
              <w:rPr>
                <w:rFonts w:ascii="Arial" w:cs="Arial" w:eastAsia="Arial" w:hAnsi="Arial"/>
                <w:sz w:val="18"/>
                <w:szCs w:val="18"/>
                <w:color w:val="auto"/>
                <w:w w:val="94"/>
              </w:rPr>
              <w:t>Print Name: Michael L. Gravelle</w:t>
            </w:r>
          </w:p>
        </w:tc>
      </w:tr>
      <w:tr>
        <w:trPr>
          <w:trHeight w:val="216"/>
        </w:trPr>
        <w:tc>
          <w:tcPr>
            <w:tcW w:w="1680" w:type="dxa"/>
            <w:vAlign w:val="bottom"/>
            <w:gridSpan w:val="2"/>
          </w:tcPr>
          <w:p>
            <w:pPr>
              <w:spacing w:after="0"/>
              <w:rPr>
                <w:sz w:val="20"/>
                <w:szCs w:val="20"/>
                <w:color w:val="auto"/>
              </w:rPr>
            </w:pPr>
            <w:r>
              <w:rPr>
                <w:rFonts w:ascii="Arial" w:cs="Arial" w:eastAsia="Arial" w:hAnsi="Arial"/>
                <w:sz w:val="18"/>
                <w:szCs w:val="18"/>
                <w:color w:val="auto"/>
                <w:w w:val="95"/>
              </w:rPr>
              <w:t>Date: March 31, 2014</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60" w:type="dxa"/>
            <w:vAlign w:val="bottom"/>
            <w:gridSpan w:val="3"/>
          </w:tcPr>
          <w:p>
            <w:pPr>
              <w:ind w:left="60"/>
              <w:spacing w:after="0"/>
              <w:rPr>
                <w:sz w:val="20"/>
                <w:szCs w:val="20"/>
                <w:color w:val="auto"/>
              </w:rPr>
            </w:pPr>
            <w:r>
              <w:rPr>
                <w:rFonts w:ascii="Arial" w:cs="Arial" w:eastAsia="Arial" w:hAnsi="Arial"/>
                <w:sz w:val="18"/>
                <w:szCs w:val="18"/>
                <w:color w:val="auto"/>
                <w:w w:val="98"/>
              </w:rPr>
              <w:t>Its: Executive Vice President, General</w:t>
            </w:r>
          </w:p>
        </w:tc>
      </w:tr>
      <w:tr>
        <w:trPr>
          <w:trHeight w:val="216"/>
        </w:trPr>
        <w:tc>
          <w:tcPr>
            <w:tcW w:w="2420" w:type="dxa"/>
            <w:vAlign w:val="bottom"/>
            <w:gridSpan w:val="4"/>
          </w:tcPr>
          <w:p>
            <w:pPr>
              <w:spacing w:after="0"/>
              <w:rPr>
                <w:sz w:val="20"/>
                <w:szCs w:val="20"/>
                <w:color w:val="auto"/>
              </w:rPr>
            </w:pPr>
            <w:r>
              <w:rPr>
                <w:rFonts w:ascii="Arial" w:cs="Arial" w:eastAsia="Arial" w:hAnsi="Arial"/>
                <w:sz w:val="18"/>
                <w:szCs w:val="18"/>
                <w:color w:val="auto"/>
                <w:w w:val="95"/>
              </w:rPr>
              <w:t>Address: 601 Riverside Avenue</w:t>
            </w:r>
          </w:p>
        </w:tc>
        <w:tc>
          <w:tcPr>
            <w:tcW w:w="400" w:type="dxa"/>
            <w:vAlign w:val="bottom"/>
          </w:tcPr>
          <w:p>
            <w:pPr>
              <w:spacing w:after="0"/>
              <w:rPr>
                <w:sz w:val="18"/>
                <w:szCs w:val="18"/>
                <w:color w:val="auto"/>
              </w:rPr>
            </w:pPr>
          </w:p>
        </w:tc>
        <w:tc>
          <w:tcPr>
            <w:tcW w:w="2660" w:type="dxa"/>
            <w:vAlign w:val="bottom"/>
            <w:gridSpan w:val="2"/>
          </w:tcPr>
          <w:p>
            <w:pPr>
              <w:ind w:left="280"/>
              <w:spacing w:after="0"/>
              <w:rPr>
                <w:sz w:val="20"/>
                <w:szCs w:val="20"/>
                <w:color w:val="auto"/>
              </w:rPr>
            </w:pPr>
            <w:r>
              <w:rPr>
                <w:rFonts w:ascii="Arial" w:cs="Arial" w:eastAsia="Arial" w:hAnsi="Arial"/>
                <w:sz w:val="18"/>
                <w:szCs w:val="18"/>
                <w:color w:val="auto"/>
                <w:w w:val="88"/>
              </w:rPr>
              <w:t>Counsel and Corporate Secretary</w:t>
            </w:r>
          </w:p>
        </w:tc>
      </w:tr>
      <w:tr>
        <w:trPr>
          <w:trHeight w:val="230"/>
        </w:trPr>
        <w:tc>
          <w:tcPr>
            <w:tcW w:w="320" w:type="dxa"/>
            <w:vAlign w:val="bottom"/>
          </w:tcPr>
          <w:p>
            <w:pPr>
              <w:spacing w:after="0"/>
              <w:rPr>
                <w:sz w:val="20"/>
                <w:szCs w:val="20"/>
                <w:color w:val="auto"/>
              </w:rPr>
            </w:pPr>
          </w:p>
        </w:tc>
        <w:tc>
          <w:tcPr>
            <w:tcW w:w="2100" w:type="dxa"/>
            <w:vAlign w:val="bottom"/>
            <w:gridSpan w:val="3"/>
          </w:tcPr>
          <w:p>
            <w:pPr>
              <w:ind w:left="340"/>
              <w:spacing w:after="0"/>
              <w:rPr>
                <w:sz w:val="20"/>
                <w:szCs w:val="20"/>
                <w:color w:val="auto"/>
              </w:rPr>
            </w:pPr>
            <w:r>
              <w:rPr>
                <w:rFonts w:ascii="Arial" w:cs="Arial" w:eastAsia="Arial" w:hAnsi="Arial"/>
                <w:sz w:val="18"/>
                <w:szCs w:val="18"/>
                <w:color w:val="auto"/>
                <w:w w:val="95"/>
              </w:rPr>
              <w:t>Jacksonville, FL 32204</w:t>
            </w:r>
          </w:p>
        </w:tc>
        <w:tc>
          <w:tcPr>
            <w:tcW w:w="4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980" w:type="dxa"/>
            <w:vAlign w:val="bottom"/>
          </w:tcPr>
          <w:p>
            <w:pPr>
              <w:spacing w:after="0"/>
              <w:rPr>
                <w:sz w:val="20"/>
                <w:szCs w:val="20"/>
                <w:color w:val="auto"/>
              </w:rPr>
            </w:pPr>
          </w:p>
        </w:tc>
      </w:tr>
    </w:tbl>
    <w:p>
      <w:pPr>
        <w:sectPr>
          <w:pgSz w:w="11900" w:h="16838" w:orient="portrait"/>
          <w:cols w:equalWidth="0" w:num="1">
            <w:col w:w="11420"/>
          </w:cols>
          <w:pgMar w:left="240" w:top="580"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 and Purpose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Award</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Award is a performance-based, cash incentive award that provides the Grantee the opportunity to share in the return on investment (calculated as described below, “</w:t>
      </w:r>
      <w:r>
        <w:rPr>
          <w:rFonts w:ascii="Arial" w:cs="Arial" w:eastAsia="Arial" w:hAnsi="Arial"/>
          <w:sz w:val="18"/>
          <w:szCs w:val="18"/>
          <w:u w:val="single" w:color="auto"/>
          <w:color w:val="auto"/>
        </w:rPr>
        <w:t>ROI</w:t>
      </w:r>
      <w:r>
        <w:rPr>
          <w:rFonts w:ascii="Arial" w:cs="Arial" w:eastAsia="Arial" w:hAnsi="Arial"/>
          <w:sz w:val="18"/>
          <w:szCs w:val="18"/>
          <w:color w:val="auto"/>
        </w:rPr>
        <w:t>”) recognized by the Company with respect to its interests in Remy International, Inc. (“</w:t>
      </w:r>
      <w:r>
        <w:rPr>
          <w:rFonts w:ascii="Arial" w:cs="Arial" w:eastAsia="Arial" w:hAnsi="Arial"/>
          <w:sz w:val="18"/>
          <w:szCs w:val="18"/>
          <w:u w:val="single" w:color="auto"/>
          <w:color w:val="auto"/>
        </w:rPr>
        <w:t>Remy</w:t>
      </w:r>
      <w:r>
        <w:rPr>
          <w:rFonts w:ascii="Arial" w:cs="Arial" w:eastAsia="Arial" w:hAnsi="Arial"/>
          <w:sz w:val="18"/>
          <w:szCs w:val="18"/>
          <w:color w:val="auto"/>
        </w:rPr>
        <w:t>”) and American Blue Ribbon Holdings, LLC’s Casual Dining division and the Company’s Upscale Dining division (collectively, the “</w:t>
      </w:r>
      <w:r>
        <w:rPr>
          <w:rFonts w:ascii="Arial" w:cs="Arial" w:eastAsia="Arial" w:hAnsi="Arial"/>
          <w:sz w:val="18"/>
          <w:szCs w:val="18"/>
          <w:u w:val="single" w:color="auto"/>
          <w:color w:val="auto"/>
        </w:rPr>
        <w:t>Restaurant Group</w:t>
      </w:r>
      <w:r>
        <w:rPr>
          <w:rFonts w:ascii="Arial" w:cs="Arial" w:eastAsia="Arial" w:hAnsi="Arial"/>
          <w:sz w:val="18"/>
          <w:szCs w:val="18"/>
          <w:color w:val="auto"/>
        </w:rPr>
        <w:t>”) (each an “</w:t>
      </w:r>
      <w:r>
        <w:rPr>
          <w:rFonts w:ascii="Arial" w:cs="Arial" w:eastAsia="Arial" w:hAnsi="Arial"/>
          <w:sz w:val="18"/>
          <w:szCs w:val="18"/>
          <w:u w:val="single" w:color="auto"/>
          <w:color w:val="auto"/>
        </w:rPr>
        <w:t>Investment</w:t>
      </w:r>
      <w:r>
        <w:rPr>
          <w:rFonts w:ascii="Arial" w:cs="Arial" w:eastAsia="Arial" w:hAnsi="Arial"/>
          <w:sz w:val="18"/>
          <w:szCs w:val="18"/>
          <w:color w:val="auto"/>
        </w:rPr>
        <w:t>” and, together, the “</w:t>
      </w:r>
      <w:r>
        <w:rPr>
          <w:rFonts w:ascii="Arial" w:cs="Arial" w:eastAsia="Arial" w:hAnsi="Arial"/>
          <w:sz w:val="18"/>
          <w:szCs w:val="18"/>
          <w:u w:val="single" w:color="auto"/>
          <w:color w:val="auto"/>
        </w:rPr>
        <w:t>Investments</w:t>
      </w:r>
      <w:r>
        <w:rPr>
          <w:rFonts w:ascii="Arial" w:cs="Arial" w:eastAsia="Arial" w:hAnsi="Arial"/>
          <w:sz w:val="18"/>
          <w:szCs w:val="18"/>
          <w:color w:val="auto"/>
        </w:rPr>
        <w:t>”) during the period beginning January 1, 2014 and ending December 31, 2016 (the “</w:t>
      </w:r>
      <w:r>
        <w:rPr>
          <w:rFonts w:ascii="Arial" w:cs="Arial" w:eastAsia="Arial" w:hAnsi="Arial"/>
          <w:sz w:val="18"/>
          <w:szCs w:val="18"/>
          <w:u w:val="single" w:color="auto"/>
          <w:color w:val="auto"/>
        </w:rPr>
        <w:t>Performance Period</w:t>
      </w:r>
      <w:r>
        <w:rPr>
          <w:rFonts w:ascii="Arial" w:cs="Arial" w:eastAsia="Arial" w:hAnsi="Arial"/>
          <w:sz w:val="18"/>
          <w:szCs w:val="18"/>
          <w:color w:val="auto"/>
        </w:rPr>
        <w:t>”). Amounts will be earned under the Award only if (i) specified levels of ROI have been recognized by the Company with respect to the Investments, (ii) the Company has positive net earnings (“</w:t>
      </w:r>
      <w:r>
        <w:rPr>
          <w:rFonts w:ascii="Arial" w:cs="Arial" w:eastAsia="Arial" w:hAnsi="Arial"/>
          <w:sz w:val="18"/>
          <w:szCs w:val="18"/>
          <w:u w:val="single" w:color="auto"/>
          <w:color w:val="auto"/>
        </w:rPr>
        <w:t>Net Income</w:t>
      </w:r>
      <w:r>
        <w:rPr>
          <w:rFonts w:ascii="Arial" w:cs="Arial" w:eastAsia="Arial" w:hAnsi="Arial"/>
          <w:sz w:val="18"/>
          <w:szCs w:val="18"/>
          <w:color w:val="auto"/>
        </w:rPr>
        <w:t>”) during the applicable calendar year preceding payment under the Award, and (iii) the Grantee has satisfied applicable service-based vesting conditions.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purpose of the Award is to help the Company maximize its ROI with respect to the Investments by aligning a portion of the Grantee’s long-term incentive compensation with the Company’s ROI relating to each Investment. The Award is also designed to help the Company generate Net Income and aid in retention of the Grantee by imposing Net Income and service-based vesting conditions on payments under the Award.</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portion of the Award relating to ROI is structured to replicate an 80/20 allocation (between the Company and an incentive pool that will be allocated among eligible employees) of the ROI recognized with respect to each Investment since January 1, 2014, provided the Company has recognized at least an 8% ROI (compounded annually) on the Investment since January 1, 2014 (“</w:t>
      </w:r>
      <w:r>
        <w:rPr>
          <w:rFonts w:ascii="Arial" w:cs="Arial" w:eastAsia="Arial" w:hAnsi="Arial"/>
          <w:sz w:val="18"/>
          <w:szCs w:val="18"/>
          <w:u w:val="single" w:color="auto"/>
          <w:color w:val="auto"/>
        </w:rPr>
        <w:t>Threshold ROI</w:t>
      </w:r>
      <w:r>
        <w:rPr>
          <w:rFonts w:ascii="Arial" w:cs="Arial" w:eastAsia="Arial" w:hAnsi="Arial"/>
          <w:sz w:val="18"/>
          <w:szCs w:val="18"/>
          <w:color w:val="auto"/>
        </w:rPr>
        <w:t>”). The Award applies a “catch-up” approach pursuant to which (i) all ROI in excess of Threshold ROI is allocated to the incentive pool until an 80/20 allocation of ROI is achieved and (ii) thereafter, any remaining ROI is allocated 80/20 between the Company and the incentive pool.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ROI Calculation</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For purposes of the Award, ROI means realized and unrealized pre-tax gain on the Investment during the relevant Measurement Period, which shall be based on (i) appreciation in the value of the Investment, as reflected in an annual third-party valuation of the Investment, and (ii) to the extent not otherwise reflected in the third-party valuation of the Investment, gain recognized in connection with (a) a sale to a third party of all or part of the Investment, (b) an initial public offering of stock of the Investment on an authorized securities exchange, (c) consolidation of the Investment as a subsidiary as a result of the Company’s ownership being greater than 50%, (d) dividends paid to the Company with respect to the Investment and (e) any other realized gains or losses on the Investment, as reflected in the Company’s annual report on Form 10-K. ROI shall be determined by the Committee based on the Company’s return on its equity investment (cash and stock, but excluding debt). For purposes of computing ROI, the value of the Remy investment as of January 1, 2014 was $347,300,000, and the value of the Restaurant Group investment as of January 1, 2014 was $429,600,000. For avoidance of doubt, ROI for this purpose shall be determined irrespective of cash gains calculated for the Company’s Federal Form 1120 tax calculation and shall not include gain attributable to the Investment’s income statement gain or loss. The Committee may, in its discretion, exclude from ROI any realized or recorded gain on the Investment to the extent it determines that inclusion of such gain would be inconsistent with the spirit and intent of the Award.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Income</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For purposes of the Award, Net Income shall mean net earnings as reflected in the Company’s Consolidated Statements of Earnings in its annual report on Form 10-K, and shall be measured over the calendar year that ends coincident with the last day of each Measurement Period (each such calendar year, a “</w:t>
      </w:r>
      <w:r>
        <w:rPr>
          <w:rFonts w:ascii="Arial" w:cs="Arial" w:eastAsia="Arial" w:hAnsi="Arial"/>
          <w:sz w:val="16"/>
          <w:szCs w:val="16"/>
          <w:u w:val="single" w:color="auto"/>
          <w:color w:val="auto"/>
        </w:rPr>
        <w:t>Net</w:t>
      </w:r>
      <w:r>
        <w:rPr>
          <w:rFonts w:ascii="Arial" w:cs="Arial" w:eastAsia="Arial" w:hAnsi="Arial"/>
          <w:sz w:val="16"/>
          <w:szCs w:val="16"/>
          <w:color w:val="auto"/>
        </w:rPr>
        <w:t xml:space="preserve"> </w:t>
      </w:r>
      <w:r>
        <w:rPr>
          <w:rFonts w:ascii="Arial" w:cs="Arial" w:eastAsia="Arial" w:hAnsi="Arial"/>
          <w:sz w:val="16"/>
          <w:szCs w:val="16"/>
          <w:u w:val="single" w:color="auto"/>
          <w:color w:val="auto"/>
        </w:rPr>
        <w:t>Income Measurement Period</w:t>
      </w:r>
      <w:r>
        <w:rPr>
          <w:rFonts w:ascii="Arial" w:cs="Arial" w:eastAsia="Arial" w:hAnsi="Arial"/>
          <w:sz w:val="16"/>
          <w:szCs w:val="16"/>
          <w:color w:val="auto"/>
        </w:rPr>
        <w:t>”). For avoidance of doubt, Net Income for this purpose shall include net earnings attributable to non-controlling interests.</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conditions that must be satisfied for the Grantee to become entitled to payments under the Award, and the amount and timing of any such payments, are described below.</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ROI Performance Goal</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Provided Threshold ROI, the Service Condition (described below) and the Payment Condition (described below) are satisfied, amounts may be earned under the Award with respect to each of the following three measurement periods (each a “</w:t>
      </w:r>
      <w:r>
        <w:rPr>
          <w:rFonts w:ascii="Arial" w:cs="Arial" w:eastAsia="Arial" w:hAnsi="Arial"/>
          <w:sz w:val="16"/>
          <w:szCs w:val="16"/>
          <w:u w:val="single" w:color="auto"/>
          <w:color w:val="auto"/>
        </w:rPr>
        <w:t>Measurement Period</w:t>
      </w:r>
      <w:r>
        <w:rPr>
          <w:rFonts w:ascii="Arial" w:cs="Arial" w:eastAsia="Arial" w:hAnsi="Arial"/>
          <w:sz w:val="16"/>
          <w:szCs w:val="16"/>
          <w:color w:val="auto"/>
        </w:rPr>
        <w:t>” and, together, the “</w:t>
      </w:r>
      <w:r>
        <w:rPr>
          <w:rFonts w:ascii="Arial" w:cs="Arial" w:eastAsia="Arial" w:hAnsi="Arial"/>
          <w:sz w:val="16"/>
          <w:szCs w:val="16"/>
          <w:u w:val="single" w:color="auto"/>
          <w:color w:val="auto"/>
        </w:rPr>
        <w:t>Measurement Periods</w:t>
      </w:r>
      <w:r>
        <w:rPr>
          <w:rFonts w:ascii="Arial" w:cs="Arial" w:eastAsia="Arial" w:hAnsi="Arial"/>
          <w:sz w:val="16"/>
          <w:szCs w:val="16"/>
          <w:color w:val="auto"/>
        </w:rPr>
        <w:t>”):</w:t>
      </w:r>
    </w:p>
    <w:p>
      <w:pPr>
        <w:sectPr>
          <w:pgSz w:w="11900" w:h="16838" w:orient="portrait"/>
          <w:cols w:equalWidth="0" w:num="1">
            <w:col w:w="11420"/>
          </w:cols>
          <w:pgMar w:left="240" w:top="580"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color w:val="auto"/>
        </w:rPr>
        <w:t>January 1, 2014 through December 31, 2014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January 1, 2014 through December 31, 2015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January 1, 2014 through December 31, 2016</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soon as practicable following each Measurement Period, the Committee will determine, with respect to each Investment, whether the Company has recognized ROI in excess of Threshold ROI during the Measurement Period. If the Company has recognized ROI in excess of Threshold ROI during such Measurement Period, the Company will credit to a notional incentive pool established for the Investment (the “</w:t>
      </w:r>
      <w:r>
        <w:rPr>
          <w:rFonts w:ascii="Arial" w:cs="Arial" w:eastAsia="Arial" w:hAnsi="Arial"/>
          <w:sz w:val="18"/>
          <w:szCs w:val="18"/>
          <w:u w:val="single" w:color="auto"/>
          <w:color w:val="auto"/>
        </w:rPr>
        <w:t>ROI Incentive Pool</w:t>
      </w:r>
      <w:r>
        <w:rPr>
          <w:rFonts w:ascii="Arial" w:cs="Arial" w:eastAsia="Arial" w:hAnsi="Arial"/>
          <w:sz w:val="18"/>
          <w:szCs w:val="18"/>
          <w:color w:val="auto"/>
        </w:rPr>
        <w:t>”) an amount equal to A minus B, where</w:t>
      </w:r>
    </w:p>
    <w:p>
      <w:pPr>
        <w:spacing w:after="0" w:line="187" w:lineRule="exact"/>
        <w:rPr>
          <w:sz w:val="20"/>
          <w:szCs w:val="20"/>
          <w:color w:val="auto"/>
        </w:rPr>
      </w:pPr>
    </w:p>
    <w:p>
      <w:pPr>
        <w:ind w:left="1140" w:hanging="512"/>
        <w:spacing w:after="0" w:line="342" w:lineRule="auto"/>
        <w:tabs>
          <w:tab w:leader="none" w:pos="1120" w:val="left"/>
        </w:tabs>
        <w:rPr>
          <w:sz w:val="20"/>
          <w:szCs w:val="20"/>
          <w:color w:val="auto"/>
        </w:rPr>
      </w:pPr>
      <w:r>
        <w:rPr>
          <w:rFonts w:ascii="Arial" w:cs="Arial" w:eastAsia="Arial" w:hAnsi="Arial"/>
          <w:sz w:val="18"/>
          <w:szCs w:val="18"/>
          <w:color w:val="auto"/>
        </w:rPr>
        <w:t>A =</w:t>
      </w:r>
      <w:r>
        <w:rPr>
          <w:sz w:val="20"/>
          <w:szCs w:val="20"/>
          <w:color w:val="auto"/>
        </w:rPr>
        <w:tab/>
      </w:r>
      <w:r>
        <w:rPr>
          <w:rFonts w:ascii="Arial" w:cs="Arial" w:eastAsia="Arial" w:hAnsi="Arial"/>
          <w:sz w:val="16"/>
          <w:szCs w:val="16"/>
          <w:color w:val="auto"/>
        </w:rPr>
        <w:t>the lesser of (i) all of the ROI recognized by the Company on the Investment through the end of the Measurement Period in excess of Threshold ROI or (ii) 20% of the total ROI recognized by the Company on the Investment through the end of the Measurement Period; and</w:t>
      </w:r>
    </w:p>
    <w:p>
      <w:pPr>
        <w:spacing w:after="0" w:line="124" w:lineRule="exact"/>
        <w:rPr>
          <w:sz w:val="20"/>
          <w:szCs w:val="20"/>
          <w:color w:val="auto"/>
        </w:rPr>
      </w:pPr>
    </w:p>
    <w:p>
      <w:pPr>
        <w:ind w:left="620"/>
        <w:spacing w:after="0"/>
        <w:tabs>
          <w:tab w:leader="none" w:pos="1120" w:val="left"/>
        </w:tabs>
        <w:rPr>
          <w:sz w:val="20"/>
          <w:szCs w:val="20"/>
          <w:color w:val="auto"/>
        </w:rPr>
      </w:pPr>
      <w:r>
        <w:rPr>
          <w:rFonts w:ascii="Arial" w:cs="Arial" w:eastAsia="Arial" w:hAnsi="Arial"/>
          <w:sz w:val="18"/>
          <w:szCs w:val="18"/>
          <w:color w:val="auto"/>
        </w:rPr>
        <w:t>B =</w:t>
      </w:r>
      <w:r>
        <w:rPr>
          <w:sz w:val="20"/>
          <w:szCs w:val="20"/>
          <w:color w:val="auto"/>
        </w:rPr>
        <w:tab/>
      </w:r>
      <w:r>
        <w:rPr>
          <w:rFonts w:ascii="Arial" w:cs="Arial" w:eastAsia="Arial" w:hAnsi="Arial"/>
          <w:sz w:val="16"/>
          <w:szCs w:val="16"/>
          <w:color w:val="auto"/>
        </w:rPr>
        <w:t>any amount previously credited to the ROI Incentive Pool with respect to the Investment pursuant to this Award Agreement.</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Simultaneous with the crediting of the ROI Incentive Pool, the Company will also credit (separately with respect to each Investment) to a bookkeeping account in the Grantee’s name (the “</w:t>
      </w:r>
      <w:r>
        <w:rPr>
          <w:rFonts w:ascii="Arial" w:cs="Arial" w:eastAsia="Arial" w:hAnsi="Arial"/>
          <w:sz w:val="17"/>
          <w:szCs w:val="17"/>
          <w:u w:val="single" w:color="auto"/>
          <w:color w:val="auto"/>
        </w:rPr>
        <w:t>Grantee’s Award Account</w:t>
      </w:r>
      <w:r>
        <w:rPr>
          <w:rFonts w:ascii="Arial" w:cs="Arial" w:eastAsia="Arial" w:hAnsi="Arial"/>
          <w:sz w:val="17"/>
          <w:szCs w:val="17"/>
          <w:color w:val="auto"/>
        </w:rPr>
        <w:t xml:space="preserve">”) an amount equal to (i) 60% of the amount credited to the ROI Incentive Pool with respect to the Investment, less (ii) any amount credited to the “Grantee’s Award Account” under the Grantee’s Award Agreement dated September 28, 2012 or the Grantee’s Award Agreement dated March 19, 2013, to the extent such credited amount is attributable to ROI relating to the same days included in the Measurement Period under this Award;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pursuant to Section 4.2 of the Plan, no more than $25,000,000 will be credited to the Grantee’s Award Account pursuant to this Award;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the Grantee’s employment terminates during any Measurement Period(s) for a reason described in Section 2(a) of the Award Agreement, then only a prorated amount shall be credited to the Grantee’s Award Account with respect to such Measurement Period(s). Such prorated amount shall be determined in accordance with Section 2(a) of the Award Agreement. Unless otherwise determined by the Committee, if, after the Effective Date of Grant, the Grantee receives any additional Long-Term Investment Success Performance Awards relating to one or more of the Investments and measuring ROI over one or more overlapping time periods, to avoid duplication, the amount(s) that would otherwise be credited with respect to such Investment(s) to the Grantee’s award account under such additional award(s) will be reduced so that the Grantee does not receive a credit under more than one award for the same ROI. For purposes of the prior sentence, to the extent a measurement period in a subsequent award includes some, but not all, of the same days included in a Measurement Period under this Award (any such days not covered by both measurement periods, a “</w:t>
      </w:r>
      <w:r>
        <w:rPr>
          <w:rFonts w:ascii="Arial" w:cs="Arial" w:eastAsia="Arial" w:hAnsi="Arial"/>
          <w:sz w:val="17"/>
          <w:szCs w:val="17"/>
          <w:u w:val="single" w:color="auto"/>
          <w:color w:val="auto"/>
        </w:rPr>
        <w:t>Non-Overlapping Period</w:t>
      </w:r>
      <w:r>
        <w:rPr>
          <w:rFonts w:ascii="Arial" w:cs="Arial" w:eastAsia="Arial" w:hAnsi="Arial"/>
          <w:sz w:val="17"/>
          <w:szCs w:val="17"/>
          <w:color w:val="auto"/>
        </w:rPr>
        <w:t>”), no reduction to the amount credited under a subsequent award shall be made with respect to ROI attributable to the Non-Overlapping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Example 5 in Annex A contains an example that illustrates these non-duplication rules.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ROI Incentive Pool and the Grantee’s Award Account are notional bookkeeping accounts only and are used solely to determine the amounts that may become payable to the Grantee and, in the case of the ROI Incentive Pool, all participating employees. Any rights arising under the Award are unfunded and unsecured and may not be transferred, alienated, assigned, pledged, hypothecated or encumbered, in any way. At any time prior to a Change in Control, the Committee may, in its discretion, reduce the amounts credited to the ROI Incentive Pool and/or the Grantee’s Award Account. Reasons for such reduction may include, without limitation, realization upon the sale of an Investment of gain attributable to the Performance Period that is less than the ROI upon which a prior credit or payment was made under the Award.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Payment</w:t>
      </w:r>
    </w:p>
    <w:p>
      <w:pPr>
        <w:spacing w:after="0" w:line="22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If (i) the Grantee remains employed through the last day of the Measurement Period with respect to which an amount has been credited to the Grantee’s Award Account or the Grantee’s employment terminates for a reason described in Section 2(a) of the Award Agreement (the “</w:t>
      </w:r>
      <w:r>
        <w:rPr>
          <w:rFonts w:ascii="Arial" w:cs="Arial" w:eastAsia="Arial" w:hAnsi="Arial"/>
          <w:sz w:val="18"/>
          <w:szCs w:val="18"/>
          <w:u w:val="single" w:color="auto"/>
          <w:color w:val="auto"/>
        </w:rPr>
        <w:t>Service Condition</w:t>
      </w:r>
      <w:r>
        <w:rPr>
          <w:rFonts w:ascii="Arial" w:cs="Arial" w:eastAsia="Arial" w:hAnsi="Arial"/>
          <w:sz w:val="18"/>
          <w:szCs w:val="18"/>
          <w:color w:val="auto"/>
        </w:rPr>
        <w:t>”) and (ii) the Company’s Net Income was positive during the Net Income Measurement Period ending coincident with the last day of the Measurement Period with respect to which an amount was credited to the Grantee’s Award Account (the “</w:t>
      </w:r>
      <w:r>
        <w:rPr>
          <w:rFonts w:ascii="Arial" w:cs="Arial" w:eastAsia="Arial" w:hAnsi="Arial"/>
          <w:sz w:val="18"/>
          <w:szCs w:val="18"/>
          <w:u w:val="single" w:color="auto"/>
          <w:color w:val="auto"/>
        </w:rPr>
        <w:t>Payment Condition</w:t>
      </w:r>
      <w:r>
        <w:rPr>
          <w:rFonts w:ascii="Arial" w:cs="Arial" w:eastAsia="Arial" w:hAnsi="Arial"/>
          <w:sz w:val="18"/>
          <w:szCs w:val="18"/>
          <w:color w:val="auto"/>
        </w:rPr>
        <w:t>”), then, as soon as practicable in, but in no event later than March 15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of, the calendar year immediately following such Measurement Period, 100% of the amount credited to the Grantee’s Award Account with respect to such Measurement Period shall be paid to the Grantee in a lump sum cash payment, less applicable tax withholdings. For avoidance of doubt, the Payment Condition will be satisfied if Net Income is positive during the applicable Net Income Measurement Period, whether or not Net Income has increased from the prior year.</w:t>
      </w:r>
    </w:p>
    <w:p>
      <w:pPr>
        <w:sectPr>
          <w:pgSz w:w="11900" w:h="16838" w:orient="portrait"/>
          <w:cols w:equalWidth="0" w:num="1">
            <w:col w:w="11420"/>
          </w:cols>
          <w:pgMar w:left="240" w:top="584" w:right="23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8"/>
          <w:szCs w:val="18"/>
          <w:b w:val="1"/>
          <w:bCs w:val="1"/>
          <w:color w:val="auto"/>
        </w:rPr>
        <w:t>Banked Amounts</w:t>
      </w:r>
    </w:p>
    <w:p>
      <w:pPr>
        <w:spacing w:after="0" w:line="22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If the Service Condition has been satisfied, but the Payment Condition was not satisfied in the Net Income Measurement Period ending coincident with the last day of the Measurement Period with respect to which an amount was credited to the Grantee’s Award Account, the amount credited to the Grantee’s Award Account shall not be paid, but shall remain credited to the Grantee’s Award Account (any such credited amount, a “</w:t>
      </w:r>
      <w:r>
        <w:rPr>
          <w:rFonts w:ascii="Arial" w:cs="Arial" w:eastAsia="Arial" w:hAnsi="Arial"/>
          <w:sz w:val="17"/>
          <w:szCs w:val="17"/>
          <w:u w:val="single" w:color="auto"/>
          <w:color w:val="auto"/>
        </w:rPr>
        <w:t>Banked Amount</w:t>
      </w:r>
      <w:r>
        <w:rPr>
          <w:rFonts w:ascii="Arial" w:cs="Arial" w:eastAsia="Arial" w:hAnsi="Arial"/>
          <w:sz w:val="17"/>
          <w:szCs w:val="17"/>
          <w:color w:val="auto"/>
        </w:rPr>
        <w:t>”). Any Banked Amount shall be paid to the Grantee if (and only if) the Payment Condition is satisfied in a subsequent Net Income Measurement Period. To the extent a Banked Amount becomes payable pursuant to the prior sentence, such Banked Amount shall be paid as soon as practicable in, but in no event later than March 15</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of, the calendar year immediately following the Net Income Measurement Period in which the Payment Condition was satisfied. If there are no remaining Net Income Measurement Periods or if the Payment Condition is not satisfied in a remaining Net Income Measurement Period, the Banked Amounts shall be forfeited. At any time prior to a Change in Control, the Committee may, in its discretion, reduce a Grantee’s Banked Amount. Reasons for such reduction may include, without limitation, realization upon the sale of an Investment of gain attributable to the Performance Period that is less than the ROI upon which a prior credit or payment was made under the Award.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Incentives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the sum of the amounts paid or to be paid to the Grantee in a calendar year pursuant to this Award and the Grantee’s Award Agreements dated September 28, 2012 and March 19, 2013 (in each case, whether relating to the Measurement Period ending on the last day of the prior calendar year or to any previously Banked Amounts) is greater than fifty (50%) percent of the Grantee’s regular annual cash incentive relating to the prior calendar year, then, unless otherwise determined by the Committee, the Grantee’s regular annual cash incentive shall be reduced by fifty (50%) percent. For avoidance of doubt, amounts banked during a calendar year shall not be deemed paid or to be paid in that calendar year. Notwithstanding anything contained in any other plan or agreement to the contrary, the Grantee shall not be permitted to defer under any elective nonqualified deferred compensation plan any regular annual cash incentive that could be reduced pursuant to the preceding sentence.</w:t>
      </w:r>
    </w:p>
    <w:p>
      <w:pPr>
        <w:sectPr>
          <w:pgSz w:w="11900" w:h="16838" w:orient="portrait"/>
          <w:cols w:equalWidth="0" w:num="1">
            <w:col w:w="11420"/>
          </w:cols>
          <w:pgMar w:left="240" w:top="580"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Fidelity National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Long-Term Investment Success Performance Award Agreement</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7"/>
          <w:szCs w:val="17"/>
          <w:b w:val="1"/>
          <w:bCs w:val="1"/>
          <w:color w:val="auto"/>
        </w:rPr>
        <w:t>GRANT OF AWARD</w:t>
      </w:r>
    </w:p>
    <w:p>
      <w:pPr>
        <w:spacing w:after="0" w:line="252" w:lineRule="exact"/>
        <w:rPr>
          <w:sz w:val="20"/>
          <w:szCs w:val="20"/>
          <w:color w:val="auto"/>
        </w:rPr>
      </w:pPr>
    </w:p>
    <w:p>
      <w:pPr>
        <w:jc w:val="both"/>
        <w:ind w:firstLine="656"/>
        <w:spacing w:after="0" w:line="308" w:lineRule="auto"/>
        <w:tabs>
          <w:tab w:leader="none" w:pos="1496"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Award. </w:t>
      </w:r>
      <w:r>
        <w:rPr>
          <w:rFonts w:ascii="Arial" w:cs="Arial" w:eastAsia="Arial" w:hAnsi="Arial"/>
          <w:sz w:val="18"/>
          <w:szCs w:val="18"/>
          <w:color w:val="auto"/>
        </w:rPr>
        <w:t>On the terms and conditions set forth in the Notice of Long-Term Investment Success Performance Award (including Appendix</w:t>
      </w:r>
      <w:r>
        <w:rPr>
          <w:rFonts w:ascii="Arial" w:cs="Arial" w:eastAsia="Arial" w:hAnsi="Arial"/>
          <w:sz w:val="18"/>
          <w:szCs w:val="18"/>
          <w:b w:val="1"/>
          <w:bCs w:val="1"/>
          <w:color w:val="auto"/>
        </w:rPr>
        <w:t xml:space="preserve"> </w:t>
      </w:r>
      <w:r>
        <w:rPr>
          <w:rFonts w:ascii="Arial" w:cs="Arial" w:eastAsia="Arial" w:hAnsi="Arial"/>
          <w:sz w:val="18"/>
          <w:szCs w:val="18"/>
          <w:color w:val="auto"/>
        </w:rPr>
        <w:t>A, the “</w:t>
      </w:r>
      <w:r>
        <w:rPr>
          <w:rFonts w:ascii="Arial" w:cs="Arial" w:eastAsia="Arial" w:hAnsi="Arial"/>
          <w:sz w:val="18"/>
          <w:szCs w:val="18"/>
          <w:u w:val="single" w:color="auto"/>
          <w:color w:val="auto"/>
        </w:rPr>
        <w:t>Notice</w:t>
      </w:r>
      <w:r>
        <w:rPr>
          <w:rFonts w:ascii="Arial" w:cs="Arial" w:eastAsia="Arial" w:hAnsi="Arial"/>
          <w:sz w:val="18"/>
          <w:szCs w:val="18"/>
          <w:color w:val="auto"/>
        </w:rPr>
        <w:t>”) and this Long-Term Investment Success Performance Award Agreement (the “</w:t>
      </w:r>
      <w:r>
        <w:rPr>
          <w:rFonts w:ascii="Arial" w:cs="Arial" w:eastAsia="Arial" w:hAnsi="Arial"/>
          <w:sz w:val="18"/>
          <w:szCs w:val="18"/>
          <w:u w:val="single" w:color="auto"/>
          <w:color w:val="auto"/>
        </w:rPr>
        <w:t>Award Agreement</w:t>
      </w:r>
      <w:r>
        <w:rPr>
          <w:rFonts w:ascii="Arial" w:cs="Arial" w:eastAsia="Arial" w:hAnsi="Arial"/>
          <w:sz w:val="18"/>
          <w:szCs w:val="18"/>
          <w:color w:val="auto"/>
        </w:rPr>
        <w:t>”), the Company grants to the Grantee on the Effective Date of Grant the Award set forth in the Notice. The Award represents the right to receive one or more cash payments in accordance with Appendix A if the conditions set forth in Appendix A and this Award Agreement are satisfied.</w:t>
      </w:r>
    </w:p>
    <w:p>
      <w:pPr>
        <w:spacing w:after="0" w:line="179" w:lineRule="exact"/>
        <w:rPr>
          <w:rFonts w:ascii="Arial" w:cs="Arial" w:eastAsia="Arial" w:hAnsi="Arial"/>
          <w:sz w:val="18"/>
          <w:szCs w:val="18"/>
          <w:color w:val="auto"/>
        </w:rPr>
      </w:pPr>
    </w:p>
    <w:p>
      <w:pPr>
        <w:jc w:val="both"/>
        <w:ind w:firstLine="656"/>
        <w:spacing w:after="0" w:line="308" w:lineRule="auto"/>
        <w:tabs>
          <w:tab w:leader="none" w:pos="1506"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Plan and Defined Terms. </w:t>
      </w:r>
      <w:r>
        <w:rPr>
          <w:rFonts w:ascii="Arial" w:cs="Arial" w:eastAsia="Arial" w:hAnsi="Arial"/>
          <w:sz w:val="18"/>
          <w:szCs w:val="18"/>
          <w:color w:val="auto"/>
        </w:rPr>
        <w:t>The Award is granted pursuant to the Plan, and shall be considered an “Other Award” for purposes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Except as expressly provided otherwise herein, all applicable terms, provisions, and conditions set forth in the Plan and not set forth herein are hereby incorporated by reference herein. All capitalized terms that are used in the Notice or this Award Agreement and not otherwise defined therein or herein shall have the meanings ascribed to them in the Plan.</w:t>
      </w:r>
    </w:p>
    <w:p>
      <w:pPr>
        <w:spacing w:after="0" w:line="180" w:lineRule="exact"/>
        <w:rPr>
          <w:sz w:val="20"/>
          <w:szCs w:val="20"/>
          <w:color w:val="auto"/>
        </w:rPr>
      </w:pPr>
    </w:p>
    <w:p>
      <w:pPr>
        <w:spacing w:after="0"/>
        <w:tabs>
          <w:tab w:leader="none" w:pos="228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8"/>
          <w:szCs w:val="18"/>
          <w:b w:val="1"/>
          <w:bCs w:val="1"/>
          <w:color w:val="auto"/>
        </w:rPr>
        <w:t>TERMINATION OF EMPLOYMENT</w:t>
      </w:r>
    </w:p>
    <w:p>
      <w:pPr>
        <w:spacing w:after="0" w:line="266" w:lineRule="exact"/>
        <w:rPr>
          <w:sz w:val="20"/>
          <w:szCs w:val="20"/>
          <w:color w:val="auto"/>
        </w:rPr>
      </w:pPr>
    </w:p>
    <w:p>
      <w:pPr>
        <w:jc w:val="both"/>
        <w:ind w:firstLine="656"/>
        <w:spacing w:after="0" w:line="339" w:lineRule="auto"/>
        <w:tabs>
          <w:tab w:leader="none" w:pos="1496"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auto"/>
        </w:rPr>
        <w:t xml:space="preserve">Termination due to Death; by the Company due to Grantee’s Disability or Without Cause; by the Grantee for Good Reason. </w:t>
      </w:r>
      <w:r>
        <w:rPr>
          <w:rFonts w:ascii="Arial" w:cs="Arial" w:eastAsia="Arial" w:hAnsi="Arial"/>
          <w:sz w:val="16"/>
          <w:szCs w:val="16"/>
          <w:color w:val="auto"/>
        </w:rPr>
        <w:t>If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Grantee’s employment with the Company and all Subsidiaries is terminated (i) due to the Grantees’ death, (ii) by the Company (and, if applicable, its Subsidiaries) due to the Grantee’s Disability (as defined at the Effective Date of Grant in the Grantee’s employment agreement with the Company) or without Cause (as defined at the Effective Date of Grant in the Grantee’s employment agreement with the Company) or (iii) by the Grantee for Good Reason (as defined at the Effective Date of Grant in the Grantee’s employment agreement with the Company), then the Grantee shall remain eligible to receive credits to, and payments from, the Grantee’s Award Account if and when such credits and payments (if any) would have occurred had the Grantee’s employment not terminated;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amounts credited (if any) with respect to any Measurement Period that has not ended as of the date of termination of employment shall be prorated by multiplying the full amount that would have been credited to the Grantee’s Award Account based on actual ROI performance through the entire Measurement Period by a fraction, the numerator of which is the number of days the Grantee was employed during the Measurement Period (including the date of termination) and the denominator of which is the total number of days in the Measurement Period. For the avoidance of doubt, (A) as would have been the case had the Grantee’s employment not terminated, the Grantee shall only be entitled to receive a payment of an amount from the Grantee’s Award Account in accordance with this Section 2(a) if the Payment Condition is satisfied in the applicable Net Income Measurement Period, (B) if the Grantee’s employment termination described in this Section 2(a) occurs after the end of a Measurement Period, but prior to crediting of an amount with respect to such Measurement Period, any amount credited to the Grantee’s Award Account with respect to such Measurement Period shall not be prorated and (C) if any Banked Amount in the Grantee’s Award Account that is attributable to a Measurement Period that ended prior to the date of the Grantee’s employment termination described in this Section 2(a) becomes payable, such amount shall not be prorated.</w:t>
      </w:r>
    </w:p>
    <w:p>
      <w:pPr>
        <w:spacing w:after="0" w:line="163" w:lineRule="exact"/>
        <w:rPr>
          <w:rFonts w:ascii="Arial" w:cs="Arial" w:eastAsia="Arial" w:hAnsi="Arial"/>
          <w:sz w:val="16"/>
          <w:szCs w:val="16"/>
          <w:color w:val="auto"/>
        </w:rPr>
      </w:pPr>
    </w:p>
    <w:p>
      <w:pPr>
        <w:jc w:val="both"/>
        <w:ind w:firstLine="656"/>
        <w:spacing w:after="0" w:line="319" w:lineRule="auto"/>
        <w:tabs>
          <w:tab w:leader="none" w:pos="1506" w:val="left"/>
        </w:tabs>
        <w:numPr>
          <w:ilvl w:val="0"/>
          <w:numId w:val="16"/>
        </w:numPr>
        <w:rPr>
          <w:rFonts w:ascii="Arial" w:cs="Arial" w:eastAsia="Arial" w:hAnsi="Arial"/>
          <w:sz w:val="17"/>
          <w:szCs w:val="17"/>
          <w:color w:val="auto"/>
        </w:rPr>
      </w:pPr>
      <w:r>
        <w:rPr>
          <w:rFonts w:ascii="Arial" w:cs="Arial" w:eastAsia="Arial" w:hAnsi="Arial"/>
          <w:sz w:val="17"/>
          <w:szCs w:val="17"/>
          <w:b w:val="1"/>
          <w:bCs w:val="1"/>
          <w:color w:val="auto"/>
        </w:rPr>
        <w:t xml:space="preserve">Termination for Any Other Reason. </w:t>
      </w:r>
      <w:r>
        <w:rPr>
          <w:rFonts w:ascii="Arial" w:cs="Arial" w:eastAsia="Arial" w:hAnsi="Arial"/>
          <w:sz w:val="17"/>
          <w:szCs w:val="17"/>
          <w:color w:val="auto"/>
        </w:rPr>
        <w:t>If the Grantee terminates his employment without Good Reason (as defined at the Effective Date</w:t>
      </w:r>
      <w:r>
        <w:rPr>
          <w:rFonts w:ascii="Arial" w:cs="Arial" w:eastAsia="Arial" w:hAnsi="Arial"/>
          <w:sz w:val="17"/>
          <w:szCs w:val="17"/>
          <w:b w:val="1"/>
          <w:bCs w:val="1"/>
          <w:color w:val="auto"/>
        </w:rPr>
        <w:t xml:space="preserve"> </w:t>
      </w:r>
      <w:r>
        <w:rPr>
          <w:rFonts w:ascii="Arial" w:cs="Arial" w:eastAsia="Arial" w:hAnsi="Arial"/>
          <w:sz w:val="17"/>
          <w:szCs w:val="17"/>
          <w:color w:val="auto"/>
        </w:rPr>
        <w:t>of Grant in the Grantee’s employment agreement with the Company), (i) the Service Condition shall not be deemed to have been satisfied with respect to any Measurement Period(s) that had not ended on or before the date of such termination of employment and no amounts shall be credited to the Grantee’s Award Account or paid to the Grantee with respect to such Measurement Period(s), (ii) if the Grantee’s employment termination occurs at or after the end of a Measurement Period, but prior to crediting of an amount with respect to such Measurement Period, any amount that would have been credited to the Grantee’s Award Account with respect to such Measurement Period shall be so credited at the same time and in the same amount as would have occurred had the Grantee not terminated employment, (iii) with respect to any amount in the Grantee’s Award Account as of the date of the Grantee’s employment termination and any amount credited to the Grantee’s Award Account pursuant to subsection (ii) of this Section 2(b), such amount(s) shall be paid if and only if the Payment Condition is satisfied over the most recent Net Income Measurement Period that ended on or before the date of the Grantee’s termination of employment and (iv) except with respect to the Grantee’s rights pursuant to this sentence, the Award shall immediately be forfeited and the Grantee shall not be entitled to any future credits or payments with respect to the Award. If the Grantee’s employment is terminated by the Company for Cause, the Award shall immediately be forfeited and the Grantee shall not be entitled to any future credits or payments with respect to the Award (including, for the avoidance of doubt, any credits or payments described in the prior sentence).</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Annex A contains examples of various termination scenarios.</w:t>
      </w:r>
    </w:p>
    <w:p>
      <w:pPr>
        <w:sectPr>
          <w:pgSz w:w="11900" w:h="16838" w:orient="portrait"/>
          <w:cols w:equalWidth="0" w:num="1">
            <w:col w:w="11420"/>
          </w:cols>
          <w:pgMar w:left="240" w:top="580" w:right="239" w:bottom="1440" w:gutter="0" w:footer="0" w:header="0"/>
        </w:sectPr>
      </w:pPr>
    </w:p>
    <w:bookmarkStart w:id="64" w:name="page65"/>
    <w:bookmarkEnd w:id="64"/>
    <w:p>
      <w:pPr>
        <w:spacing w:after="0"/>
        <w:tabs>
          <w:tab w:leader="none" w:pos="128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8"/>
          <w:szCs w:val="18"/>
          <w:b w:val="1"/>
          <w:bCs w:val="1"/>
          <w:color w:val="auto"/>
        </w:rPr>
        <w:t>CHANGE IN CONTROL</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Article 17 of the Plan shall not be applicable to the Award and a Change in Control shall not otherwise accelerate or affect the vesting, amount or timing of credits or payments under the Award.</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8"/>
          <w:szCs w:val="18"/>
          <w:b w:val="1"/>
          <w:bCs w:val="1"/>
          <w:color w:val="auto"/>
        </w:rPr>
        <w:t>MISCELLANEOUS PROVISIONS</w:t>
      </w:r>
    </w:p>
    <w:p>
      <w:pPr>
        <w:spacing w:after="0" w:line="252" w:lineRule="exact"/>
        <w:rPr>
          <w:sz w:val="20"/>
          <w:szCs w:val="20"/>
          <w:color w:val="auto"/>
        </w:rPr>
      </w:pPr>
    </w:p>
    <w:p>
      <w:pPr>
        <w:jc w:val="both"/>
        <w:ind w:firstLine="656"/>
        <w:spacing w:after="0" w:line="313" w:lineRule="auto"/>
        <w:tabs>
          <w:tab w:leader="none" w:pos="1496"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Tax Withholding. </w:t>
      </w:r>
      <w:r>
        <w:rPr>
          <w:rFonts w:ascii="Arial" w:cs="Arial" w:eastAsia="Arial" w:hAnsi="Arial"/>
          <w:sz w:val="18"/>
          <w:szCs w:val="18"/>
          <w:color w:val="auto"/>
        </w:rPr>
        <w:t>The Company or any Subsidiary of the Company shall have the power and right to deduct or withhold, or require the</w:t>
      </w:r>
      <w:r>
        <w:rPr>
          <w:rFonts w:ascii="Arial" w:cs="Arial" w:eastAsia="Arial" w:hAnsi="Arial"/>
          <w:sz w:val="18"/>
          <w:szCs w:val="18"/>
          <w:b w:val="1"/>
          <w:bCs w:val="1"/>
          <w:color w:val="auto"/>
        </w:rPr>
        <w:t xml:space="preserve"> </w:t>
      </w:r>
      <w:r>
        <w:rPr>
          <w:rFonts w:ascii="Arial" w:cs="Arial" w:eastAsia="Arial" w:hAnsi="Arial"/>
          <w:sz w:val="18"/>
          <w:szCs w:val="18"/>
          <w:color w:val="auto"/>
        </w:rPr>
        <w:t>Grantee to remit to the Company, an amount sufficient to satisfy any federal, state and local taxes (including the Grantee’s FICA obligations) required by law to be withheld with respect to this Award.</w:t>
      </w:r>
    </w:p>
    <w:p>
      <w:pPr>
        <w:spacing w:after="0" w:line="176" w:lineRule="exact"/>
        <w:rPr>
          <w:rFonts w:ascii="Arial" w:cs="Arial" w:eastAsia="Arial" w:hAnsi="Arial"/>
          <w:sz w:val="18"/>
          <w:szCs w:val="18"/>
          <w:color w:val="auto"/>
        </w:rPr>
      </w:pPr>
    </w:p>
    <w:p>
      <w:pPr>
        <w:jc w:val="both"/>
        <w:ind w:firstLine="656"/>
        <w:spacing w:after="0" w:line="313" w:lineRule="auto"/>
        <w:tabs>
          <w:tab w:leader="none" w:pos="1506"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Ratification of Actions. </w:t>
      </w:r>
      <w:r>
        <w:rPr>
          <w:rFonts w:ascii="Arial" w:cs="Arial" w:eastAsia="Arial" w:hAnsi="Arial"/>
          <w:sz w:val="18"/>
          <w:szCs w:val="18"/>
          <w:color w:val="auto"/>
        </w:rPr>
        <w:t>By accepting this Award Agreement, the Grantee and each person claiming under or through the Grantee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conclusively deemed to have indicated the Grantee’s acceptance and ratification of, and consent to, any action taken under the Plan, the Notice or this Award Agreement by the Company, the Board or the Committee.</w:t>
      </w:r>
    </w:p>
    <w:p>
      <w:pPr>
        <w:spacing w:after="0" w:line="176" w:lineRule="exact"/>
        <w:rPr>
          <w:rFonts w:ascii="Arial" w:cs="Arial" w:eastAsia="Arial" w:hAnsi="Arial"/>
          <w:sz w:val="18"/>
          <w:szCs w:val="18"/>
          <w:color w:val="auto"/>
        </w:rPr>
      </w:pPr>
    </w:p>
    <w:p>
      <w:pPr>
        <w:jc w:val="both"/>
        <w:ind w:firstLine="656"/>
        <w:spacing w:after="0" w:line="367" w:lineRule="auto"/>
        <w:tabs>
          <w:tab w:leader="none" w:pos="1496" w:val="left"/>
        </w:tabs>
        <w:numPr>
          <w:ilvl w:val="0"/>
          <w:numId w:val="17"/>
        </w:numPr>
        <w:rPr>
          <w:rFonts w:ascii="Arial" w:cs="Arial" w:eastAsia="Arial" w:hAnsi="Arial"/>
          <w:sz w:val="16"/>
          <w:szCs w:val="16"/>
          <w:color w:val="auto"/>
        </w:rPr>
      </w:pPr>
      <w:r>
        <w:rPr>
          <w:rFonts w:ascii="Arial" w:cs="Arial" w:eastAsia="Arial" w:hAnsi="Arial"/>
          <w:sz w:val="16"/>
          <w:szCs w:val="16"/>
          <w:b w:val="1"/>
          <w:bCs w:val="1"/>
          <w:color w:val="auto"/>
        </w:rPr>
        <w:t xml:space="preserve">Notice. </w:t>
      </w:r>
      <w:r>
        <w:rPr>
          <w:rFonts w:ascii="Arial" w:cs="Arial" w:eastAsia="Arial" w:hAnsi="Arial"/>
          <w:sz w:val="16"/>
          <w:szCs w:val="16"/>
          <w:color w:val="auto"/>
        </w:rPr>
        <w:t>Any notice required by the terms of this Award Agreement shall be given in writing and shall be deemed effective upon personal</w:t>
      </w:r>
      <w:r>
        <w:rPr>
          <w:rFonts w:ascii="Arial" w:cs="Arial" w:eastAsia="Arial" w:hAnsi="Arial"/>
          <w:sz w:val="16"/>
          <w:szCs w:val="16"/>
          <w:b w:val="1"/>
          <w:bCs w:val="1"/>
          <w:color w:val="auto"/>
        </w:rPr>
        <w:t xml:space="preserve"> </w:t>
      </w:r>
      <w:r>
        <w:rPr>
          <w:rFonts w:ascii="Arial" w:cs="Arial" w:eastAsia="Arial" w:hAnsi="Arial"/>
          <w:sz w:val="16"/>
          <w:szCs w:val="16"/>
          <w:color w:val="auto"/>
        </w:rPr>
        <w:t>delivery or upon deposit with the United States Postal Service, by registered or certified mail, with postage and fees prepaid. Notice shall be addressed to the Company at its principal executive office and to the Grantee at the address that he or she most recently provided in writing to the Company.</w:t>
      </w:r>
    </w:p>
    <w:p>
      <w:pPr>
        <w:spacing w:after="0" w:line="141" w:lineRule="exact"/>
        <w:rPr>
          <w:rFonts w:ascii="Arial" w:cs="Arial" w:eastAsia="Arial" w:hAnsi="Arial"/>
          <w:sz w:val="16"/>
          <w:szCs w:val="16"/>
          <w:color w:val="auto"/>
        </w:rPr>
      </w:pPr>
    </w:p>
    <w:p>
      <w:pPr>
        <w:jc w:val="both"/>
        <w:ind w:firstLine="656"/>
        <w:spacing w:after="0" w:line="313" w:lineRule="auto"/>
        <w:tabs>
          <w:tab w:leader="none" w:pos="1506"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Choice of Law. </w:t>
      </w:r>
      <w:r>
        <w:rPr>
          <w:rFonts w:ascii="Arial" w:cs="Arial" w:eastAsia="Arial" w:hAnsi="Arial"/>
          <w:sz w:val="18"/>
          <w:szCs w:val="18"/>
          <w:color w:val="auto"/>
        </w:rPr>
        <w:t>This Award Agreement and the Notice shall be governed by, and construed in accordance with, the laws of Florida,</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regard to any conflicts of law or choice of law rule or principle that might otherwise cause the Plan, this Award Agreement or the Notice to be governed by or construed in accordance with the substantive law of another jurisdiction.</w:t>
      </w:r>
    </w:p>
    <w:p>
      <w:pPr>
        <w:spacing w:after="0" w:line="176" w:lineRule="exact"/>
        <w:rPr>
          <w:rFonts w:ascii="Arial" w:cs="Arial" w:eastAsia="Arial" w:hAnsi="Arial"/>
          <w:sz w:val="18"/>
          <w:szCs w:val="18"/>
          <w:color w:val="auto"/>
        </w:rPr>
      </w:pPr>
    </w:p>
    <w:p>
      <w:pPr>
        <w:ind w:firstLine="656"/>
        <w:spacing w:after="0" w:line="329" w:lineRule="auto"/>
        <w:tabs>
          <w:tab w:leader="none" w:pos="1496"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Modification or Amendment. </w:t>
      </w:r>
      <w:r>
        <w:rPr>
          <w:rFonts w:ascii="Arial" w:cs="Arial" w:eastAsia="Arial" w:hAnsi="Arial"/>
          <w:sz w:val="18"/>
          <w:szCs w:val="18"/>
          <w:color w:val="auto"/>
        </w:rPr>
        <w:t>Except as otherwise provided in Section 4(k) of this Award Agreement, the Notice and this Award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may only be modified or amended by written agreement executed by the parties hereto.</w:t>
      </w:r>
    </w:p>
    <w:p>
      <w:pPr>
        <w:spacing w:after="0" w:line="161" w:lineRule="exact"/>
        <w:rPr>
          <w:rFonts w:ascii="Arial" w:cs="Arial" w:eastAsia="Arial" w:hAnsi="Arial"/>
          <w:sz w:val="18"/>
          <w:szCs w:val="18"/>
          <w:color w:val="auto"/>
        </w:rPr>
      </w:pPr>
    </w:p>
    <w:p>
      <w:pPr>
        <w:jc w:val="both"/>
        <w:ind w:firstLine="656"/>
        <w:spacing w:after="0" w:line="313" w:lineRule="auto"/>
        <w:tabs>
          <w:tab w:leader="none" w:pos="1476"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In the event any provision of this Award Agreement shall be held illegal or invalid for any reason, the illegality or invalidity</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affect the remaining provisions of this Award Agreement, and this Award Agreement shall be construed and enforced as if such illegal or invalid provision had not been included.</w:t>
      </w:r>
    </w:p>
    <w:p>
      <w:pPr>
        <w:spacing w:after="0" w:line="176" w:lineRule="exact"/>
        <w:rPr>
          <w:rFonts w:ascii="Arial" w:cs="Arial" w:eastAsia="Arial" w:hAnsi="Arial"/>
          <w:sz w:val="18"/>
          <w:szCs w:val="18"/>
          <w:color w:val="auto"/>
        </w:rPr>
      </w:pPr>
    </w:p>
    <w:p>
      <w:pPr>
        <w:ind w:firstLine="656"/>
        <w:spacing w:after="0" w:line="329" w:lineRule="auto"/>
        <w:tabs>
          <w:tab w:leader="none" w:pos="1506"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Compensation under Other Arrangements</w:t>
      </w:r>
      <w:r>
        <w:rPr>
          <w:rFonts w:ascii="Arial" w:cs="Arial" w:eastAsia="Arial" w:hAnsi="Arial"/>
          <w:sz w:val="18"/>
          <w:szCs w:val="18"/>
          <w:color w:val="auto"/>
        </w:rPr>
        <w:t>. Amounts earned with respect to this Award shall not be included in any calculation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severance or change in control benefits or payments under any employment agreement or other compensatory arrangement.</w:t>
      </w:r>
    </w:p>
    <w:p>
      <w:pPr>
        <w:spacing w:after="0" w:line="161" w:lineRule="exact"/>
        <w:rPr>
          <w:rFonts w:ascii="Arial" w:cs="Arial" w:eastAsia="Arial" w:hAnsi="Arial"/>
          <w:sz w:val="18"/>
          <w:szCs w:val="18"/>
          <w:color w:val="auto"/>
        </w:rPr>
      </w:pPr>
    </w:p>
    <w:p>
      <w:pPr>
        <w:jc w:val="both"/>
        <w:ind w:firstLine="656"/>
        <w:spacing w:after="0" w:line="313" w:lineRule="auto"/>
        <w:tabs>
          <w:tab w:leader="none" w:pos="1506"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References to Plan and Headings. </w:t>
      </w:r>
      <w:r>
        <w:rPr>
          <w:rFonts w:ascii="Arial" w:cs="Arial" w:eastAsia="Arial" w:hAnsi="Arial"/>
          <w:sz w:val="18"/>
          <w:szCs w:val="18"/>
          <w:color w:val="auto"/>
        </w:rPr>
        <w:t>All references to the Plan shall be deemed references to the Plan as may be amended from time to</w:t>
      </w:r>
      <w:r>
        <w:rPr>
          <w:rFonts w:ascii="Arial" w:cs="Arial" w:eastAsia="Arial" w:hAnsi="Arial"/>
          <w:sz w:val="18"/>
          <w:szCs w:val="18"/>
          <w:b w:val="1"/>
          <w:bCs w:val="1"/>
          <w:color w:val="auto"/>
        </w:rPr>
        <w:t xml:space="preserve"> </w:t>
      </w:r>
      <w:r>
        <w:rPr>
          <w:rFonts w:ascii="Arial" w:cs="Arial" w:eastAsia="Arial" w:hAnsi="Arial"/>
          <w:sz w:val="18"/>
          <w:szCs w:val="18"/>
          <w:color w:val="auto"/>
        </w:rPr>
        <w:t>time. Headings in the Notice and Award Agreement are for convenience and shall not in any way affect the meaning or interpretation of any of the provisions hereof.</w:t>
      </w:r>
    </w:p>
    <w:p>
      <w:pPr>
        <w:spacing w:after="0" w:line="176" w:lineRule="exact"/>
        <w:rPr>
          <w:rFonts w:ascii="Arial" w:cs="Arial" w:eastAsia="Arial" w:hAnsi="Arial"/>
          <w:sz w:val="18"/>
          <w:szCs w:val="18"/>
          <w:color w:val="auto"/>
        </w:rPr>
      </w:pPr>
    </w:p>
    <w:p>
      <w:pPr>
        <w:jc w:val="both"/>
        <w:ind w:right="20" w:firstLine="656"/>
        <w:spacing w:after="0" w:line="313" w:lineRule="auto"/>
        <w:tabs>
          <w:tab w:leader="none" w:pos="1466"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Entire Agreement. </w:t>
      </w:r>
      <w:r>
        <w:rPr>
          <w:rFonts w:ascii="Arial" w:cs="Arial" w:eastAsia="Arial" w:hAnsi="Arial"/>
          <w:sz w:val="18"/>
          <w:szCs w:val="18"/>
          <w:color w:val="auto"/>
        </w:rPr>
        <w:t>The Notice (including Appendix A) and this Award Agreement are the entire agreement between the Company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Grantee relating to the subject matter thereof and hereof and supersede all prior agreements and understandings (including verbal agreements) between the Company and the Grantee relating to such subject matter.</w:t>
      </w:r>
    </w:p>
    <w:p>
      <w:pPr>
        <w:spacing w:after="0" w:line="176" w:lineRule="exact"/>
        <w:rPr>
          <w:rFonts w:ascii="Arial" w:cs="Arial" w:eastAsia="Arial" w:hAnsi="Arial"/>
          <w:sz w:val="18"/>
          <w:szCs w:val="18"/>
          <w:color w:val="auto"/>
        </w:rPr>
      </w:pPr>
    </w:p>
    <w:p>
      <w:pPr>
        <w:ind w:firstLine="656"/>
        <w:spacing w:after="0" w:line="329" w:lineRule="auto"/>
        <w:tabs>
          <w:tab w:leader="none" w:pos="1466"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Clawback. </w:t>
      </w:r>
      <w:r>
        <w:rPr>
          <w:rFonts w:ascii="Arial" w:cs="Arial" w:eastAsia="Arial" w:hAnsi="Arial"/>
          <w:sz w:val="18"/>
          <w:szCs w:val="18"/>
          <w:color w:val="auto"/>
        </w:rPr>
        <w:t>All amounts paid under this Award shall be subject to the Company’s policy regarding clawback of incentive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as such policy may be amended from time to time.</w:t>
      </w:r>
    </w:p>
    <w:p>
      <w:pPr>
        <w:spacing w:after="0" w:line="161" w:lineRule="exact"/>
        <w:rPr>
          <w:rFonts w:ascii="Arial" w:cs="Arial" w:eastAsia="Arial" w:hAnsi="Arial"/>
          <w:sz w:val="18"/>
          <w:szCs w:val="18"/>
          <w:color w:val="auto"/>
        </w:rPr>
      </w:pPr>
    </w:p>
    <w:p>
      <w:pPr>
        <w:jc w:val="both"/>
        <w:ind w:firstLine="656"/>
        <w:spacing w:after="0" w:line="321" w:lineRule="auto"/>
        <w:tabs>
          <w:tab w:leader="none" w:pos="1506" w:val="left"/>
        </w:tabs>
        <w:numPr>
          <w:ilvl w:val="0"/>
          <w:numId w:val="17"/>
        </w:numPr>
        <w:rPr>
          <w:rFonts w:ascii="Arial" w:cs="Arial" w:eastAsia="Arial" w:hAnsi="Arial"/>
          <w:sz w:val="17"/>
          <w:szCs w:val="17"/>
          <w:color w:val="auto"/>
        </w:rPr>
      </w:pPr>
      <w:r>
        <w:rPr>
          <w:rFonts w:ascii="Arial" w:cs="Arial" w:eastAsia="Arial" w:hAnsi="Arial"/>
          <w:sz w:val="17"/>
          <w:szCs w:val="17"/>
          <w:b w:val="1"/>
          <w:bCs w:val="1"/>
          <w:color w:val="auto"/>
        </w:rPr>
        <w:t xml:space="preserve">Section 409A Compliance. </w:t>
      </w:r>
      <w:r>
        <w:rPr>
          <w:rFonts w:ascii="Arial" w:cs="Arial" w:eastAsia="Arial" w:hAnsi="Arial"/>
          <w:sz w:val="17"/>
          <w:szCs w:val="17"/>
          <w:color w:val="auto"/>
        </w:rPr>
        <w:t>It is intended that the Award qualify as a “short-term deferral” for purposes of Section 409A and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interpreted accordingly;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 to the extent it is determined that the Award is subject to Section 409A, it is intended that the Award comply with the requirements of Section 409A, and the Plan, the Notice and this Award Agreement shall be interpreted accordingly and any provision thereof or hereof that would cause this Award to fail to comply with Section 409A will have no force or effect until amended to comply therewith (which amendment may be made without the Grantee’s consent and may be retroactive to the extent permitted by Section 409A) and (ii) the Company will consult with the Grantee in good faith regarding the implementation of the provisions of this Section 4(k). The Grantee shall not be entitled to indemnification or other reimbursement for any taxes or other expenses incurred as a result of the applicability of Section 409A to the Award and neither the Company nor any of its employees or representatives shall have any liability to Grantee with respect to Section 409A.</w:t>
      </w:r>
    </w:p>
    <w:p>
      <w:pPr>
        <w:sectPr>
          <w:pgSz w:w="11900" w:h="16838" w:orient="portrait"/>
          <w:cols w:equalWidth="0" w:num="1">
            <w:col w:w="11420"/>
          </w:cols>
          <w:pgMar w:left="240" w:top="580"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u w:val="single" w:color="auto"/>
          <w:color w:val="auto"/>
        </w:rPr>
        <w:t>Annex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Examples to Illustrate Termination of Employment Provisions and Non-Duplication Rules</w:t>
      </w:r>
    </w:p>
    <w:p>
      <w:pPr>
        <w:spacing w:after="0" w:line="22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Example 1 </w:t>
      </w:r>
      <w:r>
        <w:rPr>
          <w:rFonts w:ascii="Arial" w:cs="Arial" w:eastAsia="Arial" w:hAnsi="Arial"/>
          <w:sz w:val="18"/>
          <w:szCs w:val="18"/>
          <w:color w:val="auto"/>
        </w:rPr>
        <w:t>- Termination described in Section 2(a) and “Payment Condition” (positive Net Income requirement) is satisfied in second Measurement Period,</w:t>
      </w:r>
      <w:r>
        <w:rPr>
          <w:rFonts w:ascii="Arial" w:cs="Arial" w:eastAsia="Arial" w:hAnsi="Arial"/>
          <w:sz w:val="18"/>
          <w:szCs w:val="18"/>
          <w:b w:val="1"/>
          <w:bCs w:val="1"/>
          <w:color w:val="auto"/>
        </w:rPr>
        <w:t xml:space="preserve"> </w:t>
      </w:r>
      <w:r>
        <w:rPr>
          <w:rFonts w:ascii="Arial" w:cs="Arial" w:eastAsia="Arial" w:hAnsi="Arial"/>
          <w:sz w:val="18"/>
          <w:szCs w:val="18"/>
          <w:color w:val="auto"/>
        </w:rPr>
        <w:t>but not third (final) Measurement Period.</w:t>
      </w:r>
    </w:p>
    <w:p>
      <w:pPr>
        <w:spacing w:after="0" w:line="166" w:lineRule="exact"/>
        <w:rPr>
          <w:sz w:val="20"/>
          <w:szCs w:val="20"/>
          <w:color w:val="auto"/>
        </w:rPr>
      </w:pPr>
    </w:p>
    <w:p>
      <w:pPr>
        <w:jc w:val="both"/>
        <w:ind w:left="340"/>
        <w:spacing w:after="0" w:line="271" w:lineRule="auto"/>
        <w:rPr>
          <w:sz w:val="20"/>
          <w:szCs w:val="20"/>
          <w:color w:val="auto"/>
        </w:rPr>
      </w:pPr>
      <w:r>
        <w:rPr>
          <w:rFonts w:ascii="Arial" w:cs="Arial" w:eastAsia="Arial" w:hAnsi="Arial"/>
          <w:sz w:val="17"/>
          <w:szCs w:val="17"/>
          <w:u w:val="single" w:color="auto"/>
          <w:color w:val="auto"/>
        </w:rPr>
        <w:t>Facts</w:t>
      </w:r>
      <w:r>
        <w:rPr>
          <w:rFonts w:ascii="Arial" w:cs="Arial" w:eastAsia="Arial" w:hAnsi="Arial"/>
          <w:sz w:val="17"/>
          <w:szCs w:val="17"/>
          <w:color w:val="auto"/>
        </w:rPr>
        <w:t>: Grantee’s employment is terminated by the Company without Cause on February 28, 2016. Based on ROI during the first Measurement Period (January 1, 2014 through December 31, 2014), the Grantee’s Award Account was credited with $100,000 in February of 2015, but the Payment Condition was not satisfied in calendar year 2014, so the $100,000 was banked. Based on ROI in the second Measurement Period (January 1, 2014 through December 31, 2015), an additional $150,000 would have been credited to the Grantee’s Award Account before March 15, 2016 had the Grantee remained employed. This $150,000 was not yet credited as of the date of termination. The Payment Condition is satisfied in calendar year 2015. Amounts are also credited to the ROI Incentive Pool with respect to the third Measurement Period (January 1, 2014 through December 31, 2016). This amount would have resulted in a credit to the Grantee’s Award Account of $200,000 between January 1 and March 15 of 2017 had the Grantee remained employed. The Payment Condition is not satisfied in calendar year 2016.</w:t>
      </w:r>
    </w:p>
    <w:p>
      <w:pPr>
        <w:spacing w:after="0" w:line="179" w:lineRule="exact"/>
        <w:rPr>
          <w:sz w:val="20"/>
          <w:szCs w:val="20"/>
          <w:color w:val="auto"/>
        </w:rPr>
      </w:pPr>
    </w:p>
    <w:p>
      <w:pPr>
        <w:jc w:val="both"/>
        <w:ind w:left="340"/>
        <w:spacing w:after="0" w:line="274" w:lineRule="auto"/>
        <w:rPr>
          <w:sz w:val="20"/>
          <w:szCs w:val="20"/>
          <w:color w:val="auto"/>
        </w:rPr>
      </w:pPr>
      <w:r>
        <w:rPr>
          <w:rFonts w:ascii="Arial" w:cs="Arial" w:eastAsia="Arial" w:hAnsi="Arial"/>
          <w:sz w:val="16"/>
          <w:szCs w:val="16"/>
          <w:u w:val="single" w:color="auto"/>
          <w:color w:val="auto"/>
        </w:rPr>
        <w:t>Result</w:t>
      </w:r>
      <w:r>
        <w:rPr>
          <w:rFonts w:ascii="Arial" w:cs="Arial" w:eastAsia="Arial" w:hAnsi="Arial"/>
          <w:sz w:val="16"/>
          <w:szCs w:val="16"/>
          <w:color w:val="auto"/>
        </w:rPr>
        <w:t>: The Grantee’s Award Account would be credited with the $150,000 attributable to the second Measurement Period at the same time such amount would have been credited had the termination not occurred - no later than March 15, 2016. Since the Payment Condition is satisfied in calendar year 2015 (the second Net Income Measurement Period), the $100,000 Banked Amount and the $150,000 credited in 2016 would be paid, less applicable tax withholdings, as soon as practicable in 2016, but in no event later than March 15, 2016. With respect to the third Measurement Period, a prorated amount of $143,978 (789/1,096</w:t>
      </w:r>
      <w:r>
        <w:rPr>
          <w:rFonts w:ascii="Arial" w:cs="Arial" w:eastAsia="Arial" w:hAnsi="Arial"/>
          <w:sz w:val="22"/>
          <w:szCs w:val="22"/>
          <w:color w:val="auto"/>
          <w:vertAlign w:val="superscript"/>
        </w:rPr>
        <w:t>1</w:t>
      </w:r>
      <w:r>
        <w:rPr>
          <w:rFonts w:ascii="Arial" w:cs="Arial" w:eastAsia="Arial" w:hAnsi="Arial"/>
          <w:sz w:val="16"/>
          <w:szCs w:val="16"/>
          <w:color w:val="auto"/>
        </w:rPr>
        <w:t xml:space="preserve"> The numerator is the total number of days worked during the third Measurement Period and the denominator is the total number of days in the third Measurement Period (2016 is a leap year). x $200,000) would be credited to the Grantee’s Award Account, but it would not be paid (it would, instead, be forfeited) since the Payment Condition was not satisfied in calendar year 2016 (the last year of the final Measurement Period).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Example 2 </w:t>
      </w:r>
      <w:r>
        <w:rPr>
          <w:rFonts w:ascii="Arial" w:cs="Arial" w:eastAsia="Arial" w:hAnsi="Arial"/>
          <w:sz w:val="18"/>
          <w:szCs w:val="18"/>
          <w:color w:val="auto"/>
        </w:rPr>
        <w:t>- Termination described in Section 2(a) and Payment Condition is not satisfied.</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u w:val="single" w:color="auto"/>
          <w:color w:val="auto"/>
        </w:rPr>
        <w:t>Facts</w:t>
      </w:r>
      <w:r>
        <w:rPr>
          <w:rFonts w:ascii="Arial" w:cs="Arial" w:eastAsia="Arial" w:hAnsi="Arial"/>
          <w:sz w:val="17"/>
          <w:szCs w:val="17"/>
          <w:color w:val="auto"/>
        </w:rPr>
        <w:t>: Assume the Same facts as in example 1, except that the Payment Condition is not satisfied during any Net Income Measurement Period.</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Result</w:t>
      </w:r>
      <w:r>
        <w:rPr>
          <w:rFonts w:ascii="Arial" w:cs="Arial" w:eastAsia="Arial" w:hAnsi="Arial"/>
          <w:sz w:val="18"/>
          <w:szCs w:val="18"/>
          <w:color w:val="auto"/>
        </w:rPr>
        <w:t>: Since the Payment Condition is not satisfied, no payment would be made with respect to any Measurement Periods.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Example 3 </w:t>
      </w:r>
      <w:r>
        <w:rPr>
          <w:rFonts w:ascii="Arial" w:cs="Arial" w:eastAsia="Arial" w:hAnsi="Arial"/>
          <w:sz w:val="18"/>
          <w:szCs w:val="18"/>
          <w:color w:val="auto"/>
        </w:rPr>
        <w:t>- Termination described in Section 2(b) and Payment Condition is satisfied.</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Facts</w:t>
      </w:r>
      <w:r>
        <w:rPr>
          <w:rFonts w:ascii="Arial" w:cs="Arial" w:eastAsia="Arial" w:hAnsi="Arial"/>
          <w:sz w:val="18"/>
          <w:szCs w:val="18"/>
          <w:color w:val="auto"/>
        </w:rPr>
        <w:t>: Assume the Same facts as in example 1, except that the Grantee’s employment is terminated voluntarily (not for Good Reason).</w:t>
      </w:r>
    </w:p>
    <w:p>
      <w:pPr>
        <w:spacing w:after="0" w:line="225" w:lineRule="exact"/>
        <w:rPr>
          <w:sz w:val="20"/>
          <w:szCs w:val="20"/>
          <w:color w:val="auto"/>
        </w:rPr>
      </w:pPr>
    </w:p>
    <w:p>
      <w:pPr>
        <w:jc w:val="both"/>
        <w:ind w:left="340"/>
        <w:spacing w:after="0" w:line="271" w:lineRule="auto"/>
        <w:rPr>
          <w:sz w:val="20"/>
          <w:szCs w:val="20"/>
          <w:color w:val="auto"/>
        </w:rPr>
      </w:pPr>
      <w:r>
        <w:rPr>
          <w:rFonts w:ascii="Arial" w:cs="Arial" w:eastAsia="Arial" w:hAnsi="Arial"/>
          <w:sz w:val="17"/>
          <w:szCs w:val="17"/>
          <w:u w:val="single" w:color="auto"/>
          <w:color w:val="auto"/>
        </w:rPr>
        <w:t>Result</w:t>
      </w:r>
      <w:r>
        <w:rPr>
          <w:rFonts w:ascii="Arial" w:cs="Arial" w:eastAsia="Arial" w:hAnsi="Arial"/>
          <w:sz w:val="17"/>
          <w:szCs w:val="17"/>
          <w:color w:val="auto"/>
        </w:rPr>
        <w:t>: Since the Grantee satisfied the Service Condition with respect to the first two Measurement Periods prior to voluntarily terminating employment, the Grantee’s Award Account would have been credited with the $100,000 relating to the first Measurement Period (and banked since the Payment Condition was not satisfied in calendar year 2014) and the Grantee’s Award Account would also be credited with the additional $150,000 relating to the second Measurement Period at the same time such amount would have been credited had the termination not occurred - no later than March 15, 2016. Since the Payment Condition was satisfied in calendar year 2015 (the most recent Net Income Measurement Period that ended prior to the Grantee’s termination of employment), the $100,000 Banked Amount and the $150,000 credited in 2016 would be paid, less applicable tax withholdings, as soon as practicable in 2016, but in no event later than March 15, 2016. No further credits or payments would be made with respect to the third Measurement Period since the termination was a voluntary termination.</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the Company terminated the Grantee’s employment for Cause, no amounts would be paid with respect to any Measurement Period.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3" w:lineRule="exact"/>
        <w:rPr>
          <w:sz w:val="20"/>
          <w:szCs w:val="20"/>
          <w:color w:val="auto"/>
        </w:rPr>
      </w:pPr>
    </w:p>
    <w:p>
      <w:pPr>
        <w:ind w:firstLine="8"/>
        <w:spacing w:after="0" w:line="211" w:lineRule="auto"/>
        <w:tabs>
          <w:tab w:leader="none" w:pos="108"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The numerator is the total number of days worked during the third Measurement Period and the denominator is the total number of days in the third Measurement Period (2016 is a leap year).</w:t>
      </w:r>
    </w:p>
    <w:p>
      <w:pPr>
        <w:sectPr>
          <w:pgSz w:w="11900" w:h="16838" w:orient="portrait"/>
          <w:cols w:equalWidth="0" w:num="1">
            <w:col w:w="11420"/>
          </w:cols>
          <w:pgMar w:left="240" w:top="584"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 xml:space="preserve">Example 4 </w:t>
      </w:r>
      <w:r>
        <w:rPr>
          <w:rFonts w:ascii="Arial" w:cs="Arial" w:eastAsia="Arial" w:hAnsi="Arial"/>
          <w:sz w:val="18"/>
          <w:szCs w:val="18"/>
          <w:color w:val="auto"/>
        </w:rPr>
        <w:t>- Termination described in Section 2(b) and Payment Condition is not satisfied.</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u w:val="single" w:color="auto"/>
          <w:color w:val="auto"/>
        </w:rPr>
        <w:t>Facts</w:t>
      </w:r>
      <w:r>
        <w:rPr>
          <w:rFonts w:ascii="Arial" w:cs="Arial" w:eastAsia="Arial" w:hAnsi="Arial"/>
          <w:sz w:val="16"/>
          <w:szCs w:val="16"/>
          <w:color w:val="auto"/>
        </w:rPr>
        <w:t>: Assume the Same facts as in example 3, except that the Payment Condition was not satisfied during the second Net Income Measurement Period.</w:t>
      </w:r>
    </w:p>
    <w:p>
      <w:pPr>
        <w:spacing w:after="0" w:line="248"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u w:val="single" w:color="auto"/>
          <w:color w:val="auto"/>
        </w:rPr>
        <w:t>Result</w:t>
      </w:r>
      <w:r>
        <w:rPr>
          <w:rFonts w:ascii="Arial" w:cs="Arial" w:eastAsia="Arial" w:hAnsi="Arial"/>
          <w:sz w:val="18"/>
          <w:szCs w:val="18"/>
          <w:color w:val="auto"/>
        </w:rPr>
        <w:t>: Since the Payment Condition was not satisfied in calendar year 2015, no payment would be made with respect to the first two Measurement Periods, regardless of whether the Payment Condition was satisfied in the third Net Income Measurement Period. No credits or payments would be made with respect to the third Measurement Period since the termination was a voluntary termination, regardless of whether the Payment Condition was satisfied in the third Net Income Measurement Period.</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Example 5 </w:t>
      </w:r>
      <w:r>
        <w:rPr>
          <w:rFonts w:ascii="Arial" w:cs="Arial" w:eastAsia="Arial" w:hAnsi="Arial"/>
          <w:sz w:val="18"/>
          <w:szCs w:val="18"/>
          <w:color w:val="auto"/>
        </w:rPr>
        <w:t>- Offset Described in Appendix A Relating to Amounts Credited Under Prior Award</w:t>
      </w:r>
    </w:p>
    <w:p>
      <w:pPr>
        <w:spacing w:after="0" w:line="229" w:lineRule="exact"/>
        <w:rPr>
          <w:sz w:val="20"/>
          <w:szCs w:val="20"/>
          <w:color w:val="auto"/>
        </w:rPr>
      </w:pPr>
    </w:p>
    <w:p>
      <w:pPr>
        <w:jc w:val="both"/>
        <w:ind w:left="340"/>
        <w:spacing w:after="0" w:line="269" w:lineRule="auto"/>
        <w:rPr>
          <w:sz w:val="20"/>
          <w:szCs w:val="20"/>
          <w:color w:val="auto"/>
        </w:rPr>
      </w:pPr>
      <w:r>
        <w:rPr>
          <w:rFonts w:ascii="Arial" w:cs="Arial" w:eastAsia="Arial" w:hAnsi="Arial"/>
          <w:sz w:val="17"/>
          <w:szCs w:val="17"/>
          <w:u w:val="single" w:color="auto"/>
          <w:color w:val="auto"/>
        </w:rPr>
        <w:t>Facts</w:t>
      </w:r>
      <w:r>
        <w:rPr>
          <w:rFonts w:ascii="Arial" w:cs="Arial" w:eastAsia="Arial" w:hAnsi="Arial"/>
          <w:sz w:val="17"/>
          <w:szCs w:val="17"/>
          <w:color w:val="auto"/>
        </w:rPr>
        <w:t>: Assume Grantee received an Award (i) in 2012 relating to 60% of the ROI Incentive Pool, with Measurement Periods from July 1, 2012 to each of December 31, 2013, December 31, 2014, December 31, 2015 and December 31, 2016 (the “</w:t>
      </w:r>
      <w:r>
        <w:rPr>
          <w:rFonts w:ascii="Arial" w:cs="Arial" w:eastAsia="Arial" w:hAnsi="Arial"/>
          <w:sz w:val="17"/>
          <w:szCs w:val="17"/>
          <w:u w:val="single" w:color="auto"/>
          <w:color w:val="auto"/>
        </w:rPr>
        <w:t>2012 Award</w:t>
      </w:r>
      <w:r>
        <w:rPr>
          <w:rFonts w:ascii="Arial" w:cs="Arial" w:eastAsia="Arial" w:hAnsi="Arial"/>
          <w:sz w:val="17"/>
          <w:szCs w:val="17"/>
          <w:color w:val="auto"/>
        </w:rPr>
        <w:t>”), (ii) in 2013 relating to 60% of the ROI Incentive Pool, with Measurement Periods from January 1, 2013 to each of December 31, 2013, December 31, 2014, December 31, 2015 and December 31, 2016 (the “</w:t>
      </w:r>
      <w:r>
        <w:rPr>
          <w:rFonts w:ascii="Arial" w:cs="Arial" w:eastAsia="Arial" w:hAnsi="Arial"/>
          <w:sz w:val="17"/>
          <w:szCs w:val="17"/>
          <w:u w:val="single" w:color="auto"/>
          <w:color w:val="auto"/>
        </w:rPr>
        <w:t>2013 Award</w:t>
      </w:r>
      <w:r>
        <w:rPr>
          <w:rFonts w:ascii="Arial" w:cs="Arial" w:eastAsia="Arial" w:hAnsi="Arial"/>
          <w:sz w:val="17"/>
          <w:szCs w:val="17"/>
          <w:color w:val="auto"/>
        </w:rPr>
        <w:t>”) and (iii) in 2014 relating to 60% of the ROI Incentive Pool, with Measurement Periods from January 1, 2014 to each of December 31, 2014, December 31, 2015, and December 31, 2016 (the “</w:t>
      </w:r>
      <w:r>
        <w:rPr>
          <w:rFonts w:ascii="Arial" w:cs="Arial" w:eastAsia="Arial" w:hAnsi="Arial"/>
          <w:sz w:val="17"/>
          <w:szCs w:val="17"/>
          <w:u w:val="single" w:color="auto"/>
          <w:color w:val="auto"/>
        </w:rPr>
        <w:t>2014 Award</w:t>
      </w:r>
      <w:r>
        <w:rPr>
          <w:rFonts w:ascii="Arial" w:cs="Arial" w:eastAsia="Arial" w:hAnsi="Arial"/>
          <w:sz w:val="17"/>
          <w:szCs w:val="17"/>
          <w:color w:val="auto"/>
        </w:rPr>
        <w:t>”). Thus, the Measurement Periods for the 2012 Award and 2013 Award overlap, other than with respect to the period from July 1, 2012 to December 31, 2012 (the “</w:t>
      </w:r>
      <w:r>
        <w:rPr>
          <w:rFonts w:ascii="Arial" w:cs="Arial" w:eastAsia="Arial" w:hAnsi="Arial"/>
          <w:sz w:val="17"/>
          <w:szCs w:val="17"/>
          <w:u w:val="single" w:color="auto"/>
          <w:color w:val="auto"/>
        </w:rPr>
        <w:t>First Non-Overlapping Period</w:t>
      </w:r>
      <w:r>
        <w:rPr>
          <w:rFonts w:ascii="Arial" w:cs="Arial" w:eastAsia="Arial" w:hAnsi="Arial"/>
          <w:sz w:val="17"/>
          <w:szCs w:val="17"/>
          <w:color w:val="auto"/>
        </w:rPr>
        <w:t>”), and the Measurement Periods for the 2012 Award, 2013 Award and 2014 Award overlap, other than with respect to the first Measurement Periods under the 2012 Award and 2013 Award (the “</w:t>
      </w:r>
      <w:r>
        <w:rPr>
          <w:rFonts w:ascii="Arial" w:cs="Arial" w:eastAsia="Arial" w:hAnsi="Arial"/>
          <w:sz w:val="17"/>
          <w:szCs w:val="17"/>
          <w:u w:val="single" w:color="auto"/>
          <w:color w:val="auto"/>
        </w:rPr>
        <w:t>Second Non-Overlapping Period</w:t>
      </w:r>
      <w:r>
        <w:rPr>
          <w:rFonts w:ascii="Arial" w:cs="Arial" w:eastAsia="Arial" w:hAnsi="Arial"/>
          <w:sz w:val="17"/>
          <w:szCs w:val="17"/>
          <w:color w:val="auto"/>
        </w:rPr>
        <w:t>”). Assume that during the first Measurement Period under the 2012 Award (from July 1, 2012 to December 31, 2013), the Company recognized ROI resulting in a $50 million contribution to the ROI Incentive Pool in the first quarter of 2014, $42 million of which was attributable to the First Non-Overlapping Period (2012) and $8 million of which was attributable to the period between January 1, 2013 and December 31, 2013. Also assume that based on additional ROI recognized in calendar year 2014 an additional $40 million contribution was made to the ROI Incentive Pool in the first quarter of 2015.</w:t>
      </w:r>
    </w:p>
    <w:p>
      <w:pPr>
        <w:spacing w:after="0" w:line="180" w:lineRule="exact"/>
        <w:rPr>
          <w:sz w:val="20"/>
          <w:szCs w:val="20"/>
          <w:color w:val="auto"/>
        </w:rPr>
      </w:pPr>
    </w:p>
    <w:p>
      <w:pPr>
        <w:jc w:val="both"/>
        <w:ind w:left="340"/>
        <w:spacing w:after="0" w:line="285" w:lineRule="auto"/>
        <w:rPr>
          <w:sz w:val="20"/>
          <w:szCs w:val="20"/>
          <w:color w:val="auto"/>
        </w:rPr>
      </w:pPr>
      <w:r>
        <w:rPr>
          <w:rFonts w:ascii="Arial" w:cs="Arial" w:eastAsia="Arial" w:hAnsi="Arial"/>
          <w:sz w:val="16"/>
          <w:szCs w:val="16"/>
          <w:u w:val="single" w:color="auto"/>
          <w:color w:val="auto"/>
        </w:rPr>
        <w:t>Result</w:t>
      </w:r>
      <w:r>
        <w:rPr>
          <w:rFonts w:ascii="Arial" w:cs="Arial" w:eastAsia="Arial" w:hAnsi="Arial"/>
          <w:sz w:val="16"/>
          <w:szCs w:val="16"/>
          <w:color w:val="auto"/>
        </w:rPr>
        <w:t>: Under the 2012 Award, in the first quarter of 2014, $25 million would be credited to the Grantee’s Award Account with respect to the first Measurement Period. Note that the contribution to the Grantee’s Award Account would have been $30 million (60% of $50 million), but for the $25 million limitation under the Plan. Under the 2013 Award, $4.8 million (60% of $8 million) would also be credited to the Grantee’s Award Account in the first quarter of 2014. This $4.8 million credit is equal to (i) $4.8 million (60% of the $8 million credited to the ROI Incentive Pool with respect to the Investments for the first Measurement Period), less (ii) $0, which is the amount credited to the “Grantee’s Award Account” under the 2012 Award that was attributable to ROI relating to the same days included in the Measurement Period under the 2013 Award (</w:t>
      </w:r>
      <w:r>
        <w:rPr>
          <w:rFonts w:ascii="Arial" w:cs="Arial" w:eastAsia="Arial" w:hAnsi="Arial"/>
          <w:sz w:val="16"/>
          <w:szCs w:val="16"/>
          <w:i w:val="1"/>
          <w:iCs w:val="1"/>
          <w:color w:val="auto"/>
        </w:rPr>
        <w:t>i.e.,</w:t>
      </w:r>
      <w:r>
        <w:rPr>
          <w:rFonts w:ascii="Arial" w:cs="Arial" w:eastAsia="Arial" w:hAnsi="Arial"/>
          <w:sz w:val="16"/>
          <w:szCs w:val="16"/>
          <w:color w:val="auto"/>
        </w:rPr>
        <w:t xml:space="preserve"> the period from January 1, 2013 to December 31, 2013). For the avoidance of doubt, there would be $0 reduction of the $4.8 million credit under the 2013 Award since all of the $25 million credited to the Grantee’s Award Account under the 2012 Award would be attributable to the days during the Non-Overlapping Period - between July 1, 2012 and December 31, 2012 (since $42 million of the $50 million was attributable to the 2012 period) and none would be attributed to the period between January 1, 2013 to December 31, 2013. Together, $29.8 million ($25 million under the 2012 Award and $4.8 million under the 2013 Award) would be paid to the Grantee in the first quarter of 2014 with respect to the first Measurement Periods under the Awards (July 1, 2012 - December 31, 2013 for the 2012 Award and January 1, 2013 to December 31, 2013 for the 2013 Award), assuming no negative discretion is exercised by the Committee. With respect to the additional $40 million contributed to the ROI Incentive Pool in 2015 (relating to additional ROI recognized in calendar year 2014), the Grantee’s $24 million portion (60% of $40 million) would be credited as follows: (i) there would be no further amounts credited under the 2012 Award (due to the $25 million limitation under the Plan), (ii) $20.2 million would be credited to the Grantee’s account under the 2013 Award (this $20.2 million, together with the $4.8 million already paid under the 2013 Award causes the $25 million limitation to be hit with respect to the 2013 Award) and (iii) $3.8 million ($24 million, less the 20.2 million credited under the 2013 Award with respect to the same period) would be credited under the 2014 Award. Together, the $20.2 million under the 2013 Award and the $3.8 million under the 2014 Award would be paid to the Grantee in the first quarter of 2015, assuming no negative discretion is exercised by the Committee.</w:t>
      </w:r>
    </w:p>
    <w:p>
      <w:pPr>
        <w:sectPr>
          <w:pgSz w:w="11900" w:h="16838" w:orient="portrait"/>
          <w:cols w:equalWidth="0" w:num="1">
            <w:col w:w="11420"/>
          </w:cols>
          <w:pgMar w:left="240" w:top="580"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Raymond R. Quirk, certify that:</w:t>
      </w:r>
    </w:p>
    <w:p>
      <w:pPr>
        <w:spacing w:after="0" w:line="157" w:lineRule="exact"/>
        <w:rPr>
          <w:sz w:val="20"/>
          <w:szCs w:val="20"/>
          <w:color w:val="auto"/>
        </w:rPr>
      </w:pPr>
    </w:p>
    <w:p>
      <w:pPr>
        <w:ind w:left="180" w:hanging="172"/>
        <w:spacing w:after="0"/>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Fidelity National Financial, Inc.;</w:t>
      </w:r>
    </w:p>
    <w:p>
      <w:pPr>
        <w:spacing w:after="0" w:line="171" w:lineRule="exact"/>
        <w:rPr>
          <w:rFonts w:ascii="Arial" w:cs="Arial" w:eastAsia="Arial" w:hAnsi="Arial"/>
          <w:sz w:val="18"/>
          <w:szCs w:val="18"/>
          <w:color w:val="auto"/>
        </w:rPr>
      </w:pPr>
    </w:p>
    <w:p>
      <w:pPr>
        <w:ind w:firstLine="8"/>
        <w:spacing w:after="0" w:line="342" w:lineRule="auto"/>
        <w:tabs>
          <w:tab w:leader="none" w:pos="208"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182"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4" w:lineRule="auto"/>
        <w:tabs>
          <w:tab w:leader="none" w:pos="19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460" w:hanging="966"/>
        <w:spacing w:after="0" w:line="264" w:lineRule="auto"/>
        <w:tabs>
          <w:tab w:leader="none" w:pos="14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460" w:hanging="966"/>
        <w:spacing w:after="0" w:line="264" w:lineRule="auto"/>
        <w:tabs>
          <w:tab w:leader="none" w:pos="14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460" w:hanging="966"/>
        <w:spacing w:after="0" w:line="342" w:lineRule="auto"/>
        <w:tabs>
          <w:tab w:leader="none" w:pos="14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460" w:hanging="966"/>
        <w:spacing w:after="0" w:line="264" w:lineRule="auto"/>
        <w:tabs>
          <w:tab w:leader="none" w:pos="14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209"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rFonts w:ascii="Arial" w:cs="Arial" w:eastAsia="Arial" w:hAnsi="Arial"/>
          <w:sz w:val="18"/>
          <w:szCs w:val="18"/>
          <w:color w:val="auto"/>
        </w:rPr>
      </w:pPr>
    </w:p>
    <w:p>
      <w:pPr>
        <w:ind w:left="1460" w:hanging="966"/>
        <w:spacing w:after="0" w:line="308" w:lineRule="auto"/>
        <w:tabs>
          <w:tab w:leader="none" w:pos="1460"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460" w:hanging="966"/>
        <w:spacing w:after="0" w:line="277" w:lineRule="auto"/>
        <w:tabs>
          <w:tab w:leader="none" w:pos="14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2014</w:t>
      </w:r>
    </w:p>
    <w:p>
      <w:pPr>
        <w:spacing w:after="0" w:line="171" w:lineRule="exact"/>
        <w:rPr>
          <w:sz w:val="20"/>
          <w:szCs w:val="20"/>
          <w:color w:val="auto"/>
        </w:rPr>
      </w:pPr>
    </w:p>
    <w:p>
      <w:pPr>
        <w:ind w:left="320"/>
        <w:spacing w:after="0"/>
        <w:tabs>
          <w:tab w:leader="none" w:pos="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Raymond R. Quirk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31750</wp:posOffset>
            </wp:positionV>
            <wp:extent cx="21780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5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Raymond R. Quirk</w:t>
      </w:r>
    </w:p>
    <w:p>
      <w:pPr>
        <w:spacing w:after="0" w:line="2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Anthony J. Park, certify that:</w:t>
      </w:r>
    </w:p>
    <w:p>
      <w:pPr>
        <w:spacing w:after="0" w:line="157"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Fidelity National Financial, Inc.;</w:t>
      </w:r>
    </w:p>
    <w:p>
      <w:pPr>
        <w:spacing w:after="0" w:line="171" w:lineRule="exact"/>
        <w:rPr>
          <w:rFonts w:ascii="Arial" w:cs="Arial" w:eastAsia="Arial" w:hAnsi="Arial"/>
          <w:sz w:val="18"/>
          <w:szCs w:val="18"/>
          <w:color w:val="auto"/>
        </w:rPr>
      </w:pPr>
    </w:p>
    <w:p>
      <w:pPr>
        <w:ind w:firstLine="8"/>
        <w:spacing w:after="0" w:line="342" w:lineRule="auto"/>
        <w:tabs>
          <w:tab w:leader="none" w:pos="208"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182"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4" w:lineRule="auto"/>
        <w:tabs>
          <w:tab w:leader="none" w:pos="19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460" w:hanging="966"/>
        <w:spacing w:after="0" w:line="264" w:lineRule="auto"/>
        <w:tabs>
          <w:tab w:leader="none" w:pos="14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460" w:hanging="966"/>
        <w:spacing w:after="0" w:line="264" w:lineRule="auto"/>
        <w:tabs>
          <w:tab w:leader="none" w:pos="14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460" w:hanging="966"/>
        <w:spacing w:after="0" w:line="342" w:lineRule="auto"/>
        <w:tabs>
          <w:tab w:leader="none" w:pos="14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460" w:hanging="966"/>
        <w:spacing w:after="0" w:line="264" w:lineRule="auto"/>
        <w:tabs>
          <w:tab w:leader="none" w:pos="14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209"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rFonts w:ascii="Arial" w:cs="Arial" w:eastAsia="Arial" w:hAnsi="Arial"/>
          <w:sz w:val="18"/>
          <w:szCs w:val="18"/>
          <w:color w:val="auto"/>
        </w:rPr>
      </w:pPr>
    </w:p>
    <w:p>
      <w:pPr>
        <w:ind w:left="1460" w:hanging="966"/>
        <w:spacing w:after="0" w:line="308" w:lineRule="auto"/>
        <w:tabs>
          <w:tab w:leader="none" w:pos="1460"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460" w:hanging="966"/>
        <w:spacing w:after="0" w:line="277" w:lineRule="auto"/>
        <w:tabs>
          <w:tab w:leader="none" w:pos="14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2014</w:t>
      </w:r>
    </w:p>
    <w:p>
      <w:pPr>
        <w:spacing w:after="0" w:line="333" w:lineRule="exact"/>
        <w:rPr>
          <w:sz w:val="20"/>
          <w:szCs w:val="20"/>
          <w:color w:val="auto"/>
        </w:rPr>
      </w:pPr>
    </w:p>
    <w:p>
      <w:pPr>
        <w:ind w:left="320"/>
        <w:spacing w:after="0"/>
        <w:tabs>
          <w:tab w:leader="none" w:pos="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31750</wp:posOffset>
            </wp:positionV>
            <wp:extent cx="21780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5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Anthony J. Park</w:t>
      </w:r>
    </w:p>
    <w:p>
      <w:pPr>
        <w:spacing w:after="0" w:line="2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REPORTS PURSUANT TO 18 U.S.C. §1350</w:t>
      </w:r>
    </w:p>
    <w:p>
      <w:pPr>
        <w:spacing w:after="0" w:line="229" w:lineRule="exact"/>
        <w:rPr>
          <w:sz w:val="20"/>
          <w:szCs w:val="20"/>
          <w:color w:val="auto"/>
        </w:rPr>
      </w:pPr>
    </w:p>
    <w:p>
      <w:pPr>
        <w:ind w:firstLine="362"/>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Chief Executive Officer of Fidelity National Financial, Inc., a Delaware corporation (the “Company”), and hereby further certifies as follows.</w:t>
      </w:r>
    </w:p>
    <w:p>
      <w:pPr>
        <w:spacing w:after="0" w:line="116" w:lineRule="exact"/>
        <w:rPr>
          <w:sz w:val="20"/>
          <w:szCs w:val="20"/>
          <w:color w:val="auto"/>
        </w:rPr>
      </w:pPr>
    </w:p>
    <w:p>
      <w:pPr>
        <w:ind w:left="900" w:hanging="892"/>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170" w:lineRule="exact"/>
        <w:rPr>
          <w:rFonts w:ascii="Arial" w:cs="Arial" w:eastAsia="Arial" w:hAnsi="Arial"/>
          <w:sz w:val="18"/>
          <w:szCs w:val="18"/>
          <w:color w:val="auto"/>
        </w:rPr>
      </w:pPr>
    </w:p>
    <w:p>
      <w:pPr>
        <w:ind w:left="900" w:hanging="892"/>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70" w:lineRule="exact"/>
        <w:rPr>
          <w:sz w:val="20"/>
          <w:szCs w:val="20"/>
          <w:color w:val="auto"/>
        </w:rPr>
      </w:pPr>
    </w:p>
    <w:p>
      <w:pPr>
        <w:ind w:right="1760" w:firstLine="225"/>
        <w:spacing w:after="0" w:line="465" w:lineRule="auto"/>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 Date: August 1, 2014</w:t>
      </w:r>
    </w:p>
    <w:p>
      <w:pPr>
        <w:spacing w:after="0" w:line="116" w:lineRule="exact"/>
        <w:rPr>
          <w:sz w:val="20"/>
          <w:szCs w:val="20"/>
          <w:color w:val="auto"/>
        </w:rPr>
      </w:pPr>
    </w:p>
    <w:p>
      <w:pPr>
        <w:ind w:left="40"/>
        <w:spacing w:after="0"/>
        <w:tabs>
          <w:tab w:leader="none" w:pos="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Raymond R. Quirk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31750</wp:posOffset>
            </wp:positionV>
            <wp:extent cx="274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5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Raymond R. Quirk</w:t>
      </w:r>
    </w:p>
    <w:p>
      <w:pPr>
        <w:spacing w:after="0" w:line="6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796"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REPORTS PURSUANT TO 18 U.S.C. §1350</w:t>
      </w:r>
    </w:p>
    <w:p>
      <w:pPr>
        <w:spacing w:after="0" w:line="175" w:lineRule="exact"/>
        <w:rPr>
          <w:sz w:val="20"/>
          <w:szCs w:val="20"/>
          <w:color w:val="auto"/>
        </w:rPr>
      </w:pPr>
    </w:p>
    <w:p>
      <w:pPr>
        <w:ind w:firstLine="372"/>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Chief Financial Officer of Fidelity National Financial, Inc., a Delaware corporation (the “Company”), and hereby further certifies as follows.</w:t>
      </w:r>
    </w:p>
    <w:p>
      <w:pPr>
        <w:spacing w:after="0" w:line="116" w:lineRule="exact"/>
        <w:rPr>
          <w:sz w:val="20"/>
          <w:szCs w:val="20"/>
          <w:color w:val="auto"/>
        </w:rPr>
      </w:pPr>
    </w:p>
    <w:p>
      <w:pPr>
        <w:ind w:left="900" w:hanging="892"/>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170" w:lineRule="exact"/>
        <w:rPr>
          <w:rFonts w:ascii="Arial" w:cs="Arial" w:eastAsia="Arial" w:hAnsi="Arial"/>
          <w:sz w:val="18"/>
          <w:szCs w:val="18"/>
          <w:color w:val="auto"/>
        </w:rPr>
      </w:pPr>
    </w:p>
    <w:p>
      <w:pPr>
        <w:ind w:left="900" w:hanging="892"/>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70" w:lineRule="exact"/>
        <w:rPr>
          <w:sz w:val="20"/>
          <w:szCs w:val="20"/>
          <w:color w:val="auto"/>
        </w:rPr>
      </w:pPr>
    </w:p>
    <w:p>
      <w:pPr>
        <w:ind w:right="1760" w:firstLine="225"/>
        <w:spacing w:after="0" w:line="465" w:lineRule="auto"/>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 Date: August 1, 2014</w:t>
      </w:r>
    </w:p>
    <w:p>
      <w:pPr>
        <w:spacing w:after="0" w:line="116"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31750</wp:posOffset>
            </wp:positionV>
            <wp:extent cx="274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5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Anthony J. Park</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o"/>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1)"/>
      <w:numFmt w:val="lowerRoman"/>
      <w:start w:val="2"/>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lvl w:ilvl="1">
      <w:lvlJc w:val="left"/>
      <w:lvlText w:val="(%2)"/>
      <w:numFmt w:val="lowerRoman"/>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1)"/>
      <w:numFmt w:val="lowerLetter"/>
      <w:start w:val="1"/>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1)"/>
      <w:numFmt w:val="lowerLetter"/>
      <w:start w:val="1"/>
    </w:lvl>
  </w:abstractNum>
  <w:abstractNum w:abstractNumId="17">
    <w:nsid w:val="62BBD95A"/>
    <w:multiLevelType w:val="hybridMultilevel"/>
    <w:lvl w:ilvl="0">
      <w:lvlJc w:val="left"/>
      <w:lvlText w:val="1"/>
      <w:numFmt w:val="bullet"/>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2019-12-07T09:41:10Z</dcterms:created>
  <dcterms:modified xsi:type="dcterms:W3CDTF">2019-12-07T09:41:10Z</dcterms:modified>
</cp:coreProperties>
</file>