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2" w:lineRule="exact"/>
        <w:rPr>
          <w:sz w:val="24"/>
          <w:szCs w:val="24"/>
          <w:color w:val="auto"/>
        </w:rPr>
      </w:pPr>
    </w:p>
    <w:p>
      <w:pPr>
        <w:ind w:left="1300" w:hanging="745"/>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7" w:lineRule="exact"/>
        <w:rPr>
          <w:sz w:val="24"/>
          <w:szCs w:val="24"/>
          <w:color w:val="auto"/>
        </w:rPr>
      </w:pPr>
    </w:p>
    <w:p>
      <w:pPr>
        <w:ind w:left="1300" w:hanging="709"/>
        <w:spacing w:after="0"/>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Commission File No. 1-32630</w:t>
            </w:r>
          </w:p>
        </w:tc>
        <w:tc>
          <w:tcPr>
            <w:tcW w:w="2240" w:type="dxa"/>
            <w:vAlign w:val="bottom"/>
          </w:tcPr>
          <w:p>
            <w:pPr>
              <w:spacing w:after="0"/>
              <w:rPr>
                <w:sz w:val="20"/>
                <w:szCs w:val="20"/>
                <w:color w:val="auto"/>
              </w:rPr>
            </w:pPr>
          </w:p>
        </w:tc>
      </w:tr>
      <w:tr>
        <w:trPr>
          <w:trHeight w:val="233"/>
        </w:trPr>
        <w:tc>
          <w:tcPr>
            <w:tcW w:w="6380" w:type="dxa"/>
            <w:vAlign w:val="bottom"/>
          </w:tcPr>
          <w:p>
            <w:pPr>
              <w:jc w:val="center"/>
              <w:ind w:left="2904"/>
              <w:spacing w:after="0"/>
              <w:rPr>
                <w:sz w:val="20"/>
                <w:szCs w:val="20"/>
                <w:color w:val="auto"/>
              </w:rPr>
            </w:pPr>
            <w:r>
              <w:rPr>
                <w:rFonts w:ascii="Times New Roman" w:cs="Times New Roman" w:eastAsia="Times New Roman" w:hAnsi="Times New Roman"/>
                <w:sz w:val="14"/>
                <w:szCs w:val="14"/>
                <w:color w:val="auto"/>
              </w:rPr>
              <w:t>_________________________________</w:t>
            </w:r>
          </w:p>
        </w:tc>
        <w:tc>
          <w:tcPr>
            <w:tcW w:w="2240" w:type="dxa"/>
            <w:vAlign w:val="bottom"/>
          </w:tcPr>
          <w:p>
            <w:pPr>
              <w:spacing w:after="0"/>
              <w:rPr>
                <w:sz w:val="20"/>
                <w:szCs w:val="20"/>
                <w:color w:val="auto"/>
              </w:rPr>
            </w:pPr>
          </w:p>
        </w:tc>
      </w:tr>
      <w:tr>
        <w:trPr>
          <w:trHeight w:val="588"/>
        </w:trPr>
        <w:tc>
          <w:tcPr>
            <w:tcW w:w="8620" w:type="dxa"/>
            <w:vAlign w:val="bottom"/>
            <w:gridSpan w:val="2"/>
          </w:tcPr>
          <w:p>
            <w:pPr>
              <w:jc w:val="center"/>
              <w:ind w:left="664"/>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tc>
      </w:tr>
      <w:tr>
        <w:trPr>
          <w:trHeight w:val="250"/>
        </w:trPr>
        <w:tc>
          <w:tcPr>
            <w:tcW w:w="6380" w:type="dxa"/>
            <w:vAlign w:val="bottom"/>
          </w:tcPr>
          <w:p>
            <w:pPr>
              <w:jc w:val="center"/>
              <w:ind w:left="2864"/>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240" w:type="dxa"/>
            <w:vAlign w:val="bottom"/>
          </w:tcPr>
          <w:p>
            <w:pPr>
              <w:spacing w:after="0"/>
              <w:rPr>
                <w:sz w:val="21"/>
                <w:szCs w:val="21"/>
                <w:color w:val="auto"/>
              </w:rPr>
            </w:pPr>
          </w:p>
        </w:tc>
      </w:tr>
      <w:tr>
        <w:trPr>
          <w:trHeight w:val="375"/>
        </w:trPr>
        <w:tc>
          <w:tcPr>
            <w:tcW w:w="6380" w:type="dxa"/>
            <w:vAlign w:val="bottom"/>
          </w:tcPr>
          <w:p>
            <w:pPr>
              <w:jc w:val="center"/>
              <w:ind w:right="278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16-1725106</w:t>
            </w:r>
          </w:p>
        </w:tc>
      </w:tr>
      <w:tr>
        <w:trPr>
          <w:trHeight w:val="220"/>
        </w:trPr>
        <w:tc>
          <w:tcPr>
            <w:tcW w:w="6380" w:type="dxa"/>
            <w:vAlign w:val="bottom"/>
          </w:tcPr>
          <w:p>
            <w:pPr>
              <w:jc w:val="center"/>
              <w:ind w:right="2784"/>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240" w:type="dxa"/>
            <w:vAlign w:val="bottom"/>
          </w:tcPr>
          <w:p>
            <w:pPr>
              <w:jc w:val="center"/>
              <w:ind w:left="101"/>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568"/>
        </w:trPr>
        <w:tc>
          <w:tcPr>
            <w:tcW w:w="6380" w:type="dxa"/>
            <w:vAlign w:val="bottom"/>
          </w:tcPr>
          <w:p>
            <w:pPr>
              <w:jc w:val="center"/>
              <w:ind w:right="2784"/>
              <w:spacing w:after="0"/>
              <w:rPr>
                <w:sz w:val="20"/>
                <w:szCs w:val="20"/>
                <w:color w:val="auto"/>
              </w:rPr>
            </w:pPr>
            <w:r>
              <w:rPr>
                <w:rFonts w:ascii="Times New Roman" w:cs="Times New Roman" w:eastAsia="Times New Roman" w:hAnsi="Times New Roman"/>
                <w:sz w:val="18"/>
                <w:szCs w:val="18"/>
                <w:b w:val="1"/>
                <w:bCs w:val="1"/>
                <w:color w:val="auto"/>
                <w:w w:val="99"/>
              </w:rPr>
              <w:t>601 Riverside Avenue</w:t>
            </w:r>
          </w:p>
        </w:tc>
        <w:tc>
          <w:tcPr>
            <w:tcW w:w="224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(904) 854-8100</w:t>
            </w:r>
          </w:p>
        </w:tc>
      </w:tr>
      <w:tr>
        <w:trPr>
          <w:trHeight w:val="238"/>
        </w:trPr>
        <w:tc>
          <w:tcPr>
            <w:tcW w:w="6380" w:type="dxa"/>
            <w:vAlign w:val="bottom"/>
          </w:tcPr>
          <w:p>
            <w:pPr>
              <w:jc w:val="center"/>
              <w:ind w:right="2784"/>
              <w:spacing w:after="0"/>
              <w:rPr>
                <w:sz w:val="20"/>
                <w:szCs w:val="20"/>
                <w:color w:val="auto"/>
              </w:rPr>
            </w:pPr>
            <w:r>
              <w:rPr>
                <w:rFonts w:ascii="Times New Roman" w:cs="Times New Roman" w:eastAsia="Times New Roman" w:hAnsi="Times New Roman"/>
                <w:sz w:val="18"/>
                <w:szCs w:val="18"/>
                <w:b w:val="1"/>
                <w:bCs w:val="1"/>
                <w:color w:val="auto"/>
              </w:rPr>
              <w:t>Jacksonville, Florida 32204</w:t>
            </w:r>
          </w:p>
        </w:tc>
        <w:tc>
          <w:tcPr>
            <w:tcW w:w="2240" w:type="dxa"/>
            <w:vAlign w:val="bottom"/>
          </w:tcPr>
          <w:p>
            <w:pPr>
              <w:jc w:val="center"/>
              <w:ind w:left="141"/>
              <w:spacing w:after="0"/>
              <w:rPr>
                <w:sz w:val="20"/>
                <w:szCs w:val="20"/>
                <w:color w:val="auto"/>
              </w:rPr>
            </w:pPr>
            <w:r>
              <w:rPr>
                <w:rFonts w:ascii="Times New Roman" w:cs="Times New Roman" w:eastAsia="Times New Roman" w:hAnsi="Times New Roman"/>
                <w:sz w:val="14"/>
                <w:szCs w:val="14"/>
                <w:i w:val="1"/>
                <w:iCs w:val="1"/>
                <w:color w:val="auto"/>
              </w:rPr>
              <w:t>(Registrant’s telephone number,</w:t>
            </w:r>
          </w:p>
        </w:tc>
      </w:tr>
      <w:tr>
        <w:trPr>
          <w:trHeight w:val="206"/>
        </w:trPr>
        <w:tc>
          <w:tcPr>
            <w:tcW w:w="6380" w:type="dxa"/>
            <w:vAlign w:val="bottom"/>
          </w:tcPr>
          <w:p>
            <w:pPr>
              <w:jc w:val="center"/>
              <w:ind w:right="2744"/>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2240" w:type="dxa"/>
            <w:vAlign w:val="bottom"/>
          </w:tcPr>
          <w:p>
            <w:pPr>
              <w:jc w:val="center"/>
              <w:ind w:left="61"/>
              <w:spacing w:after="0"/>
              <w:rPr>
                <w:sz w:val="20"/>
                <w:szCs w:val="20"/>
                <w:color w:val="auto"/>
              </w:rPr>
            </w:pPr>
            <w:r>
              <w:rPr>
                <w:rFonts w:ascii="Times New Roman" w:cs="Times New Roman" w:eastAsia="Times New Roman" w:hAnsi="Times New Roman"/>
                <w:sz w:val="14"/>
                <w:szCs w:val="14"/>
                <w:i w:val="1"/>
                <w:iCs w:val="1"/>
                <w:color w:val="auto"/>
              </w:rPr>
              <w:t>including area code)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2"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2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91"/>
        </w:trPr>
        <w:tc>
          <w:tcPr>
            <w:tcW w:w="68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3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43"/>
        </w:trPr>
        <w:tc>
          <w:tcPr>
            <w:tcW w:w="1940" w:type="dxa"/>
            <w:vAlign w:val="bottom"/>
          </w:tcPr>
          <w:p>
            <w:pPr>
              <w:spacing w:after="0"/>
              <w:rPr>
                <w:sz w:val="21"/>
                <w:szCs w:val="21"/>
                <w:color w:val="auto"/>
              </w:rPr>
            </w:pPr>
          </w:p>
        </w:tc>
        <w:tc>
          <w:tcPr>
            <w:tcW w:w="72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900" w:type="dxa"/>
            <w:vAlign w:val="bottom"/>
          </w:tcPr>
          <w:p>
            <w:pPr>
              <w:spacing w:after="0"/>
              <w:rPr>
                <w:sz w:val="21"/>
                <w:szCs w:val="21"/>
                <w:color w:val="auto"/>
              </w:rPr>
            </w:pPr>
          </w:p>
        </w:tc>
      </w:tr>
      <w:tr>
        <w:trPr>
          <w:trHeight w:val="385"/>
        </w:trPr>
        <w:tc>
          <w:tcPr>
            <w:tcW w:w="914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w:t>
            </w:r>
          </w:p>
        </w:tc>
      </w:tr>
      <w:tr>
        <w:trPr>
          <w:trHeight w:val="284"/>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o</w:t>
            </w:r>
          </w:p>
        </w:tc>
        <w:tc>
          <w:tcPr>
            <w:tcW w:w="9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29" w:lineRule="exact"/>
        <w:rPr>
          <w:sz w:val="24"/>
          <w:szCs w:val="24"/>
          <w:color w:val="auto"/>
        </w:rPr>
      </w:pPr>
    </w:p>
    <w:p>
      <w:pPr>
        <w:jc w:val="both"/>
        <w:ind w:firstLine="2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30" w:lineRule="exact"/>
        <w:rPr>
          <w:sz w:val="24"/>
          <w:szCs w:val="24"/>
          <w:color w:val="auto"/>
        </w:rPr>
      </w:pPr>
    </w:p>
    <w:p>
      <w:pPr>
        <w:jc w:val="both"/>
        <w:ind w:firstLine="2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30" w:lineRule="exact"/>
        <w:rPr>
          <w:sz w:val="24"/>
          <w:szCs w:val="24"/>
          <w:color w:val="auto"/>
        </w:rPr>
      </w:pPr>
    </w:p>
    <w:p>
      <w:pPr>
        <w:jc w:val="both"/>
        <w:ind w:firstLine="216"/>
        <w:spacing w:after="0" w:line="260"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3" w:lineRule="exact"/>
        <w:rPr>
          <w:sz w:val="24"/>
          <w:szCs w:val="24"/>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72" w:right="239" w:bottom="1440" w:gutter="0" w:footer="0" w:header="0"/>
        </w:sectPr>
      </w:pPr>
    </w:p>
    <w:p>
      <w:pPr>
        <w:spacing w:after="0" w:line="120" w:lineRule="exact"/>
        <w:rPr>
          <w:sz w:val="24"/>
          <w:szCs w:val="24"/>
          <w:color w:val="auto"/>
        </w:rPr>
      </w:pPr>
    </w:p>
    <w:p>
      <w:pPr>
        <w:ind w:left="8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63" w:lineRule="exact"/>
        <w:rPr>
          <w:sz w:val="24"/>
          <w:szCs w:val="24"/>
          <w:color w:val="auto"/>
        </w:rPr>
      </w:pPr>
    </w:p>
    <w:p>
      <w:pPr>
        <w:sectPr>
          <w:pgSz w:w="11900" w:h="16838" w:orient="portrait"/>
          <w:cols w:equalWidth="0" w:num="2">
            <w:col w:w="4240" w:space="720"/>
            <w:col w:w="6460"/>
          </w:cols>
          <w:pgMar w:left="240" w:top="772" w:right="2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45" w:lineRule="exact"/>
        <w:rPr>
          <w:sz w:val="24"/>
          <w:szCs w:val="24"/>
          <w:color w:val="auto"/>
        </w:rPr>
      </w:pPr>
    </w:p>
    <w:p>
      <w:pPr>
        <w:sectPr>
          <w:pgSz w:w="11900" w:h="16838" w:orient="portrait"/>
          <w:cols w:equalWidth="0" w:num="3">
            <w:col w:w="3760" w:space="720"/>
            <w:col w:w="3060" w:space="720"/>
            <w:col w:w="3160"/>
          </w:cols>
          <w:pgMar w:left="240" w:top="772" w:right="239" w:bottom="1440" w:gutter="0" w:footer="0" w:header="0"/>
          <w:type w:val="continuous"/>
        </w:sectPr>
      </w:pPr>
    </w:p>
    <w:p>
      <w:pPr>
        <w:ind w:left="220"/>
        <w:spacing w:after="0" w:line="207" w:lineRule="exact"/>
        <w:tabs>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05" w:lineRule="exact"/>
        <w:rPr>
          <w:sz w:val="24"/>
          <w:szCs w:val="24"/>
          <w:color w:val="auto"/>
        </w:rPr>
      </w:pPr>
    </w:p>
    <w:p>
      <w:pPr>
        <w:ind w:right="20" w:firstLine="216"/>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shares of FNF common stock held by non-affiliates of the registrant as of June 30, 2018 was $9,889,644,127 based on the closing price of $37.62 as reported by The New York Stock Exchange.</w:t>
      </w:r>
    </w:p>
    <w:p>
      <w:pPr>
        <w:ind w:left="220"/>
        <w:spacing w:after="0"/>
        <w:rPr>
          <w:sz w:val="20"/>
          <w:szCs w:val="20"/>
          <w:color w:val="auto"/>
        </w:rPr>
      </w:pPr>
      <w:r>
        <w:rPr>
          <w:rFonts w:ascii="Times New Roman" w:cs="Times New Roman" w:eastAsia="Times New Roman" w:hAnsi="Times New Roman"/>
          <w:sz w:val="18"/>
          <w:szCs w:val="18"/>
          <w:color w:val="auto"/>
        </w:rPr>
        <w:t>As of January 31, 2019 there were 275,331,260 shares of FNF common stock outstanding.</w:t>
      </w:r>
    </w:p>
    <w:p>
      <w:pPr>
        <w:spacing w:after="0" w:line="77" w:lineRule="exact"/>
        <w:rPr>
          <w:sz w:val="24"/>
          <w:szCs w:val="24"/>
          <w:color w:val="auto"/>
        </w:rPr>
      </w:pPr>
    </w:p>
    <w:p>
      <w:pPr>
        <w:ind w:firstLine="216"/>
        <w:spacing w:after="0" w:line="282" w:lineRule="auto"/>
        <w:rPr>
          <w:sz w:val="20"/>
          <w:szCs w:val="20"/>
          <w:color w:val="auto"/>
        </w:rPr>
      </w:pPr>
      <w:r>
        <w:rPr>
          <w:rFonts w:ascii="Times New Roman" w:cs="Times New Roman" w:eastAsia="Times New Roman" w:hAnsi="Times New Roman"/>
          <w:sz w:val="18"/>
          <w:szCs w:val="18"/>
          <w:color w:val="auto"/>
        </w:rPr>
        <w:t>The information in Part III hereof for the fiscal year ended December 31, 2018,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4440" w:type="dxa"/>
            <w:vAlign w:val="bottom"/>
            <w:gridSpan w:val="16"/>
          </w:tcPr>
          <w:p>
            <w:pPr>
              <w:ind w:left="3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20" w:type="dxa"/>
            <w:vAlign w:val="bottom"/>
            <w:gridSpan w:val="2"/>
          </w:tcPr>
          <w:p>
            <w:pPr>
              <w:jc w:val="center"/>
              <w:ind w:left="431"/>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15">
              <w:r>
                <w:rPr>
                  <w:rFonts w:ascii="Times New Roman" w:cs="Times New Roman" w:eastAsia="Times New Roman" w:hAnsi="Times New Roman"/>
                  <w:sz w:val="18"/>
                  <w:szCs w:val="18"/>
                  <w:color w:val="0000EE"/>
                  <w:w w:val="84"/>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Risk Factors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13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20">
              <w:r>
                <w:rPr>
                  <w:rFonts w:ascii="Times New Roman" w:cs="Times New Roman" w:eastAsia="Times New Roman" w:hAnsi="Times New Roman"/>
                  <w:sz w:val="18"/>
                  <w:szCs w:val="18"/>
                  <w:color w:val="0000EE"/>
                  <w:w w:val="85"/>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Unresolved Staff Comments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Properties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w:t>
              </w:r>
            </w:hyperlink>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7"/>
              </w:rPr>
            </w:pPr>
            <w:hyperlink w:anchor="page21">
              <w:r>
                <w:rPr>
                  <w:rFonts w:ascii="Times New Roman" w:cs="Times New Roman" w:eastAsia="Times New Roman" w:hAnsi="Times New Roman"/>
                  <w:sz w:val="18"/>
                  <w:szCs w:val="18"/>
                  <w:b w:val="1"/>
                  <w:bCs w:val="1"/>
                  <w:color w:val="0000EE"/>
                  <w:w w:val="97"/>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5.</w:t>
              </w:r>
            </w:hyperlink>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6.</w:t>
              </w:r>
            </w:hyperlink>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Selected Financial Data</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7.</w:t>
              </w:r>
            </w:hyperlink>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44">
              <w:r>
                <w:rPr>
                  <w:rFonts w:ascii="Times New Roman" w:cs="Times New Roman" w:eastAsia="Times New Roman" w:hAnsi="Times New Roman"/>
                  <w:sz w:val="18"/>
                  <w:szCs w:val="18"/>
                  <w:color w:val="0000EE"/>
                  <w:w w:val="84"/>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Quantitative and Qualitative Disclosure About Market Risk</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Financial Statements and Supplementary Data</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9.</w:t>
              </w:r>
            </w:hyperlink>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95">
              <w:r>
                <w:rPr>
                  <w:rFonts w:ascii="Times New Roman" w:cs="Times New Roman" w:eastAsia="Times New Roman" w:hAnsi="Times New Roman"/>
                  <w:sz w:val="18"/>
                  <w:szCs w:val="18"/>
                  <w:color w:val="0000EE"/>
                  <w:w w:val="84"/>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Controls and Procedures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95">
              <w:r>
                <w:rPr>
                  <w:rFonts w:ascii="Times New Roman" w:cs="Times New Roman" w:eastAsia="Times New Roman" w:hAnsi="Times New Roman"/>
                  <w:sz w:val="18"/>
                  <w:szCs w:val="18"/>
                  <w:color w:val="0000EE"/>
                  <w:w w:val="85"/>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Other Information</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w w:val="96"/>
              </w:rPr>
            </w:pPr>
            <w:hyperlink w:anchor="page96">
              <w:r>
                <w:rPr>
                  <w:rFonts w:ascii="Times New Roman" w:cs="Times New Roman" w:eastAsia="Times New Roman" w:hAnsi="Times New Roman"/>
                  <w:sz w:val="18"/>
                  <w:szCs w:val="18"/>
                  <w:b w:val="1"/>
                  <w:bCs w:val="1"/>
                  <w:color w:val="0000EE"/>
                  <w:w w:val="96"/>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6">
              <w:r>
                <w:rPr>
                  <w:rFonts w:ascii="Times New Roman" w:cs="Times New Roman" w:eastAsia="Times New Roman" w:hAnsi="Times New Roman"/>
                  <w:sz w:val="18"/>
                  <w:szCs w:val="18"/>
                  <w:color w:val="0000EE"/>
                  <w:w w:val="89"/>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Directors and Executive Officers of the Registrant</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6">
              <w:r>
                <w:rPr>
                  <w:rFonts w:ascii="Times New Roman" w:cs="Times New Roman" w:eastAsia="Times New Roman" w:hAnsi="Times New Roman"/>
                  <w:sz w:val="18"/>
                  <w:szCs w:val="18"/>
                  <w:color w:val="0000EE"/>
                  <w:w w:val="89"/>
                </w:rPr>
                <w:t>Item 11.</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Executive Compensation</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6">
              <w:r>
                <w:rPr>
                  <w:rFonts w:ascii="Times New Roman" w:cs="Times New Roman" w:eastAsia="Times New Roman" w:hAnsi="Times New Roman"/>
                  <w:sz w:val="18"/>
                  <w:szCs w:val="18"/>
                  <w:color w:val="0000EE"/>
                  <w:w w:val="89"/>
                </w:rPr>
                <w:t>Item 12.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6">
              <w:r>
                <w:rPr>
                  <w:rFonts w:ascii="Times New Roman" w:cs="Times New Roman" w:eastAsia="Times New Roman" w:hAnsi="Times New Roman"/>
                  <w:sz w:val="18"/>
                  <w:szCs w:val="18"/>
                  <w:color w:val="0000EE"/>
                  <w:w w:val="89"/>
                </w:rPr>
                <w:t>Item 13.</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Certain Relationships and Related Transactions, and Director Independence</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6">
              <w:r>
                <w:rPr>
                  <w:rFonts w:ascii="Times New Roman" w:cs="Times New Roman" w:eastAsia="Times New Roman" w:hAnsi="Times New Roman"/>
                  <w:sz w:val="18"/>
                  <w:szCs w:val="18"/>
                  <w:color w:val="0000EE"/>
                  <w:w w:val="89"/>
                </w:rPr>
                <w:t>Item 14.</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Principal Accounting Fees and Services</w:t>
              </w:r>
            </w:hyperlink>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Times New Roman" w:cs="Times New Roman" w:eastAsia="Times New Roman" w:hAnsi="Times New Roman"/>
                <w:sz w:val="18"/>
                <w:szCs w:val="18"/>
                <w:b w:val="1"/>
                <w:bCs w:val="1"/>
                <w:color w:val="0000EE"/>
                <w:w w:val="97"/>
              </w:rPr>
            </w:pPr>
            <w:hyperlink w:anchor="page97">
              <w:r>
                <w:rPr>
                  <w:rFonts w:ascii="Times New Roman" w:cs="Times New Roman" w:eastAsia="Times New Roman" w:hAnsi="Times New Roman"/>
                  <w:sz w:val="18"/>
                  <w:szCs w:val="18"/>
                  <w:b w:val="1"/>
                  <w:bCs w:val="1"/>
                  <w:color w:val="0000EE"/>
                  <w:w w:val="97"/>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97">
              <w:r>
                <w:rPr>
                  <w:rFonts w:ascii="Times New Roman" w:cs="Times New Roman" w:eastAsia="Times New Roman" w:hAnsi="Times New Roman"/>
                  <w:sz w:val="18"/>
                  <w:szCs w:val="18"/>
                  <w:color w:val="0000EE"/>
                  <w:w w:val="89"/>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620" w:type="dxa"/>
            <w:vAlign w:val="bottom"/>
            <w:gridSpan w:val="2"/>
          </w:tcPr>
          <w:p>
            <w:pPr>
              <w:jc w:val="center"/>
              <w:ind w:left="351"/>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94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360"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Introductory Note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we had the following reporting segments:</w:t>
      </w:r>
    </w:p>
    <w:p>
      <w:pPr>
        <w:spacing w:after="0" w:line="169" w:lineRule="exact"/>
        <w:rPr>
          <w:sz w:val="20"/>
          <w:szCs w:val="20"/>
          <w:color w:val="auto"/>
        </w:rPr>
      </w:pPr>
    </w:p>
    <w:p>
      <w:pPr>
        <w:jc w:val="both"/>
        <w:ind w:left="660" w:hanging="409"/>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which provide title insurance and escrow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26" w:lineRule="exact"/>
        <w:rPr>
          <w:rFonts w:ascii="Times New Roman" w:cs="Times New Roman" w:eastAsia="Times New Roman" w:hAnsi="Times New Roman"/>
          <w:sz w:val="18"/>
          <w:szCs w:val="18"/>
          <w:color w:val="auto"/>
        </w:rPr>
      </w:pPr>
    </w:p>
    <w:p>
      <w:pPr>
        <w:jc w:val="both"/>
        <w:ind w:left="660" w:right="20" w:hanging="409"/>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other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non-title businesses and certain unallocated corporate overhead expenses and eliminations of revenues and expenses between it and our Title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competitive strengths include the following:</w:t>
      </w:r>
    </w:p>
    <w:p>
      <w:pPr>
        <w:spacing w:after="0" w:line="8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principles. </w:t>
      </w:r>
      <w:r>
        <w:rPr>
          <w:rFonts w:ascii="Times New Roman" w:cs="Times New Roman" w:eastAsia="Times New Roman" w:hAnsi="Times New Roman"/>
          <w:sz w:val="18"/>
          <w:szCs w:val="18"/>
          <w:color w:val="auto"/>
        </w:rPr>
        <w:t>A cornerstone of our management philosophy and operating success is the six fundamental precepts upon which we were 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w:t>
      </w:r>
    </w:p>
    <w:p>
      <w:pPr>
        <w:spacing w:after="0" w:line="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Autonomy and entrepreneurship;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Bias for 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Customer-oriented and motivated;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bureaucracy;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ownership;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standard of conduct.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six precepts are emphasized to our employees from the first day of employment and are integral to many of our strategies described below.</w:t>
      </w:r>
    </w:p>
    <w:p>
      <w:pPr>
        <w:spacing w:after="0" w:line="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Competitive cost structure. </w:t>
      </w:r>
      <w:r>
        <w:rPr>
          <w:rFonts w:ascii="Times New Roman" w:cs="Times New Roman" w:eastAsia="Times New Roman" w:hAnsi="Times New Roman"/>
          <w:sz w:val="18"/>
          <w:szCs w:val="18"/>
          <w:color w:val="auto"/>
        </w:rPr>
        <w:t>We have been able to maintain competitive operating margins in part by monitoring our businesses in a disciplined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3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Leading title insurance company. </w:t>
      </w:r>
      <w:r>
        <w:rPr>
          <w:rFonts w:ascii="Times New Roman" w:cs="Times New Roman" w:eastAsia="Times New Roman" w:hAnsi="Times New Roman"/>
          <w:sz w:val="18"/>
          <w:szCs w:val="18"/>
          <w:color w:val="auto"/>
        </w:rPr>
        <w:t>We are one of the largest title insurance companies in the United States and a leading provider of title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for real estate transactions. Through the third quarter of 2018, our insurance companies had a 33.3% share of the U.S. title insurance market, according to the American Land Title Association ("ALTA").</w:t>
      </w:r>
    </w:p>
    <w:p>
      <w:pPr>
        <w:spacing w:after="0" w:line="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Established relationships with our customers. </w:t>
      </w:r>
      <w:r>
        <w:rPr>
          <w:rFonts w:ascii="Times New Roman" w:cs="Times New Roman" w:eastAsia="Times New Roman" w:hAnsi="Times New Roman"/>
          <w:sz w:val="18"/>
          <w:szCs w:val="18"/>
          <w:color w:val="auto"/>
        </w:rPr>
        <w:t>We have strong relationships with the customers who use our title services. Our distribution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approximately 1,400 direct residential title offices and more than 5,200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4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Strong value proposition for our customers. </w:t>
      </w:r>
      <w:r>
        <w:rPr>
          <w:rFonts w:ascii="Times New Roman" w:cs="Times New Roman" w:eastAsia="Times New Roman" w:hAnsi="Times New Roman"/>
          <w:sz w:val="18"/>
          <w:szCs w:val="18"/>
          <w:color w:val="auto"/>
        </w:rPr>
        <w:t>We provide our customers with title insurance and escrow and other title-related services that support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effectively close real estate transactions. We help make the real estate closing process more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efficient for our customers by offering a single point of access to a broad platform of title-related products and resources necessary to close real estate transactions.</w:t>
      </w:r>
    </w:p>
    <w:p>
      <w:pPr>
        <w:spacing w:after="0" w:line="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Proven management team. </w:t>
      </w:r>
      <w:r>
        <w:rPr>
          <w:rFonts w:ascii="Times New Roman" w:cs="Times New Roman" w:eastAsia="Times New Roman" w:hAnsi="Times New Roman"/>
          <w:sz w:val="18"/>
          <w:szCs w:val="18"/>
          <w:color w:val="auto"/>
        </w:rPr>
        <w:t>The managers of our operating businesses have successfully built our title business over an extended period of time,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title insurance. </w:t>
      </w:r>
      <w:r>
        <w:rPr>
          <w:rFonts w:ascii="Times New Roman" w:cs="Times New Roman" w:eastAsia="Times New Roman" w:hAnsi="Times New Roman"/>
          <w:sz w:val="18"/>
          <w:szCs w:val="18"/>
          <w:color w:val="auto"/>
        </w:rPr>
        <w:t>While residential title insurance comprises the majority of our business, we are also a significant provider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competitive strengths position us well to take advantage of future changes to the real estate market.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25"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operate multiple title brands independently</w:t>
      </w:r>
      <w:r>
        <w:rPr>
          <w:rFonts w:ascii="Times New Roman" w:cs="Times New Roman" w:eastAsia="Times New Roman" w:hAnsi="Times New Roman"/>
          <w:sz w:val="18"/>
          <w:szCs w:val="18"/>
          <w:color w:val="auto"/>
        </w:rPr>
        <w:t>. We believe that in order to maintain and strengthen our title insurance customer base,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operate our strongest brands in a given marketplace independently of each other. Our national and regional brands include Fidelity National Title,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Consistently deliver superior customer service. </w:t>
      </w:r>
      <w:r>
        <w:rPr>
          <w:rFonts w:ascii="Times New Roman" w:cs="Times New Roman" w:eastAsia="Times New Roman" w:hAnsi="Times New Roman"/>
          <w:sz w:val="18"/>
          <w:szCs w:val="18"/>
          <w:color w:val="auto"/>
        </w:rPr>
        <w:t>We believe customer service and consistent product delivery are the most important factors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 our operations successfully through business cycles</w:t>
      </w:r>
      <w:r>
        <w:rPr>
          <w:rFonts w:ascii="Times New Roman" w:cs="Times New Roman" w:eastAsia="Times New Roman" w:hAnsi="Times New Roman"/>
          <w:sz w:val="18"/>
          <w:szCs w:val="18"/>
          <w:color w:val="auto"/>
        </w:rPr>
        <w:t>. We operate in a cyclical industry and our ability to diversify our revenue base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4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improve our products and technology. </w:t>
      </w:r>
      <w:r>
        <w:rPr>
          <w:rFonts w:ascii="Times New Roman" w:cs="Times New Roman" w:eastAsia="Times New Roman" w:hAnsi="Times New Roman"/>
          <w:sz w:val="18"/>
          <w:szCs w:val="18"/>
          <w:color w:val="auto"/>
        </w:rPr>
        <w:t>As a national provider of real estate transaction products and services, we participate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values supporting our strategy. </w:t>
      </w:r>
      <w:r>
        <w:rPr>
          <w:rFonts w:ascii="Times New Roman" w:cs="Times New Roman" w:eastAsia="Times New Roman" w:hAnsi="Times New Roman"/>
          <w:sz w:val="18"/>
          <w:szCs w:val="18"/>
          <w:color w:val="auto"/>
        </w:rPr>
        <w:t>We believe that our continued focus on and support of our long-established corporate culture will reinforce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Effectively manage costs based on economic factors. </w:t>
      </w:r>
      <w:r>
        <w:rPr>
          <w:rFonts w:ascii="Times New Roman" w:cs="Times New Roman" w:eastAsia="Times New Roman" w:hAnsi="Times New Roman"/>
          <w:sz w:val="18"/>
          <w:szCs w:val="18"/>
          <w:color w:val="auto"/>
        </w:rPr>
        <w:t>We believe that our focus on our operating margins is essential to our continued success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Dispositions, Minority Owned Operating Subsidiaries and Financings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and also our active interaction with the acquired company's management directly or through our board of directors, to ultimately provide value for our shareholders.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3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Refer to discussion under </w:t>
      </w:r>
      <w:r>
        <w:rPr>
          <w:rFonts w:ascii="Times New Roman" w:cs="Times New Roman" w:eastAsia="Times New Roman" w:hAnsi="Times New Roman"/>
          <w:sz w:val="18"/>
          <w:szCs w:val="18"/>
          <w:i w:val="1"/>
          <w:iCs w:val="1"/>
          <w:color w:val="auto"/>
        </w:rPr>
        <w:t>Selected Financial Dat</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18"/>
          <w:szCs w:val="18"/>
          <w:i w:val="1"/>
          <w:iCs w:val="1"/>
          <w:color w:val="auto"/>
        </w:rPr>
        <w:t>Certain Factors Affecting Comparability</w:t>
      </w:r>
      <w:r>
        <w:rPr>
          <w:rFonts w:ascii="Times New Roman" w:cs="Times New Roman" w:eastAsia="Times New Roman" w:hAnsi="Times New Roman"/>
          <w:sz w:val="18"/>
          <w:szCs w:val="18"/>
          <w:color w:val="auto"/>
        </w:rPr>
        <w:t xml:space="preserve"> included in Item 6 and Item 7 of Part II of this Annual Report on Form 10-K (this "Annual Report"), respectively, which are incorporated by reference into this Item 1 of Part I, for further discussion of material dispositions of businesses.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Acquisition of Stewart</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common stock, or (iii) $25.00 in cash and 0.6425 shares of FNF common stock, subject to potential adjustment (as described below) and proration to the extent the option to receive cash or the option to receive stock is oversubscribed.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FNF currently intends to fund the $1.2 billion purchase price, 50% in cash and 50% in FNF common stock, through a combination of cash on hand at FNF, the issuance of FNF common stock to Stewart stockholders, and borrowings under our revolving credit facility, if necessary. Including the assumption of $109 million of Stewart's debt, our pro forma debt to total capital ratio is expected to be no more than approximately 20% at the close of the Stewart Merger.</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would be required to pay a reverse break-up fee of $50 million to Stewart.</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2018, we received a request for additional information and documentary material, often referred to as a “Second Request,” from the United States Federal Trade Commission (the “FTC”) in connection with the FTC’s Hart-Scott-Rodino Antitrust Improvements Act of 1976, as amended (the “HSR Act”), regulatory review of the Stewart Merger.We continue to work through the regulatory process for the Stewart Merger and are currently engaged in responding to the Second Request related to the FTC's HSR Act regulatory review of the transaction. Responses to nearly all the FTC's requests for information and documentation have been submitted. From December 29, 2018 through January 25, 2019, the FTC suspended its review of the Stewart Merger and the materials related thereto due to a lapse in government funding caused by a partial shutdown of the U.S. Federal Government, potentially creating significant backlog when the FTC resumed its operations on January 28, 2019. As such, we are unable to determine the extent of any such delay in the FTC’s review.</w:t>
      </w:r>
    </w:p>
    <w:p>
      <w:pPr>
        <w:spacing w:after="0" w:line="5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1, 2018, our registration statement on Form S-4 related to the Stewart Merger was declared effective by the U.S. Securities and Exchange Commission (the "SEC").</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21, 2018, we received a “no-action letter” from the Canadian Competition Bureau (the “Bureau”), indicating that the Bureau does not intend to oppose the completion of the Stewart Merger.</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meeting of Stewart stockholders to vote on the Stewart Merger was held on September 5, 2018 and a majority of the Stewart stockholders voted to approve the Stewart Merger. More than 99% of the votes cast, representing approximately 79% of the outstanding shares of Stewart common stock as of July 10, 2018, the record date for the special meeting, were cast in favor of adopting the Merger Agreement.</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applications regarding acquisition of control of the Stewart domestic insurers with the states of Texas and New York. The Texas application regarding acquisition of control of Stewart Title Guaranty Company, a Texas domiciled title insurance company licensed in 48 states, is under review by the Texas Department of Insurance.</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2019, the New York State Department of Financial Services (“NYDFS”) provided written notice to us of its disapproval of our application to acquire control of Stewart Title Insurance Company, a New York domiciled title insurance company that is licensed only in the State of New York. Receipt of approval from the NYDFS is a condition to closing the Stewart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 FNF and Stewart are evaluating the appropriate course of action in light of the NYDFS’ determination, which may include a discussion with the NYDFS to better understand its concerns and respond to the letter. Through January 31, 2019, we have received 28 Form E state regulatory approvals relating to the Stewart Merger.</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of the Stewart Merger is subject to certain closing conditions, including federal and state regulatory approvals and the satisfaction of other customary closing conditions.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Insurance</w:t>
      </w:r>
    </w:p>
    <w:p>
      <w:pPr>
        <w:spacing w:after="0" w:line="9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for title insurance. </w:t>
      </w:r>
      <w:r>
        <w:rPr>
          <w:rFonts w:ascii="Times New Roman" w:cs="Times New Roman" w:eastAsia="Times New Roman" w:hAnsi="Times New Roman"/>
          <w:sz w:val="18"/>
          <w:szCs w:val="18"/>
          <w:color w:val="auto"/>
        </w:rPr>
        <w:t>According to Demotech Performance of Title Insurance Companies 2018 Edition, an annual compilation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the title insurance industry that is published by Demotech Inc. ("Demotech"), an independent firm , total operating income for the entire U.S. title insurance industry has increased over the last five years from approximately $13.4 billion in 2013 to $15.6 billion in 2017, which represents a $0.7 billion increase from 2016.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 title insurance industry is concentrated among a handful of industry participants. According to Demotech, the top four title insurance groups accounted for 85% of net premiums written in 2017. Approximately 35 independent title insurance companies accounted for the remaining 15% of net premiums written in 2017. Consolidation has created opportunities for increased financial and operating efficiencies for the industry’s largest participants and should continue to drive profitability and market share in the industry.</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Title segment revenue is closely related to the level of real estate activity which includes sales, mortgage financing and mortgage refinancing. For further discussion of current trends in real estate activity in the United States, see discussion under </w:t>
      </w:r>
      <w:r>
        <w:rPr>
          <w:rFonts w:ascii="Times New Roman" w:cs="Times New Roman" w:eastAsia="Times New Roman" w:hAnsi="Times New Roman"/>
          <w:sz w:val="18"/>
          <w:szCs w:val="18"/>
          <w:i w:val="1"/>
          <w:iCs w:val="1"/>
          <w:color w:val="auto"/>
        </w:rPr>
        <w:t>Business Trends and Conditions</w:t>
      </w:r>
      <w:r>
        <w:rPr>
          <w:rFonts w:ascii="Times New Roman" w:cs="Times New Roman" w:eastAsia="Times New Roman" w:hAnsi="Times New Roman"/>
          <w:sz w:val="18"/>
          <w:szCs w:val="18"/>
          <w:color w:val="auto"/>
        </w:rPr>
        <w:t xml:space="preserve"> included in Item 7 of Part II of this Annual Report, which is incorporated by reference into this Item 1 of Part I.</w:t>
      </w:r>
    </w:p>
    <w:p>
      <w:pPr>
        <w:spacing w:after="0" w:line="3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Title Insurance Policies. </w:t>
      </w:r>
      <w:r>
        <w:rPr>
          <w:rFonts w:ascii="Times New Roman" w:cs="Times New Roman" w:eastAsia="Times New Roman" w:hAnsi="Times New Roman"/>
          <w:sz w:val="18"/>
          <w:szCs w:val="18"/>
          <w:color w:val="auto"/>
        </w:rPr>
        <w:t>Generally, real estate buyers and mortgage lenders purchase title insurance to insure good and marketable title to real estate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of lien. A brief generalized description of the process of issuing a title insurance policy is as follows:</w:t>
      </w:r>
    </w:p>
    <w:p>
      <w:pPr>
        <w:spacing w:after="0" w:line="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typically a real estate salesperson or broker, escrow agent, attorney or lender, places an order for a title policy.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report is circulated to all the parties for satisfaction of any specific issues.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transaction is closed and all monies have been released, the title company issues a title insurance policy.</w:t>
      </w:r>
    </w:p>
    <w:p>
      <w:pPr>
        <w:spacing w:after="0" w:line="9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Prior to issuing policies, title insurers and their agents attempt to reduce the risk of future claim losses by accurately performing title searches and</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closing-related errors.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4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and Agency Operations. </w:t>
      </w:r>
      <w:r>
        <w:rPr>
          <w:rFonts w:ascii="Times New Roman" w:cs="Times New Roman" w:eastAsia="Times New Roman" w:hAnsi="Times New Roman"/>
          <w:sz w:val="18"/>
          <w:szCs w:val="18"/>
          <w:color w:val="auto"/>
        </w:rPr>
        <w:t>We provide title insurance services through our direct operations and through independent title insurance agents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3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Operations. </w:t>
      </w:r>
      <w:r>
        <w:rPr>
          <w:rFonts w:ascii="Times New Roman" w:cs="Times New Roman" w:eastAsia="Times New Roman" w:hAnsi="Times New Roman"/>
          <w:sz w:val="18"/>
          <w:szCs w:val="18"/>
          <w:color w:val="auto"/>
        </w:rPr>
        <w:t>Our direct operations include both the operations of our underwriters and those of affiliated agencies. In our direct operations,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insurer issues the title insurance policy and retains the entire premium paid in connection with the transaction. Our direct operations provide the following benefits:</w:t>
      </w:r>
    </w:p>
    <w:p>
      <w:pPr>
        <w:spacing w:after="0" w:line="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margins because we retain the entire premium from each transaction instead of paying a commission to an independent agent;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service levels to a broad range of customers;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sources of income through escrow and closing services.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approximately 1,400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Agency Operations. </w:t>
      </w:r>
      <w:r>
        <w:rPr>
          <w:rFonts w:ascii="Times New Roman" w:cs="Times New Roman" w:eastAsia="Times New Roman" w:hAnsi="Times New Roman"/>
          <w:sz w:val="18"/>
          <w:szCs w:val="18"/>
          <w:color w:val="auto"/>
        </w:rPr>
        <w:t>In our agency operations, the search and examination function is performed by an independent agent or the agent may purchase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2018, we transact business with approximately 5,200 agents.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Fees and Premiums. </w:t>
      </w:r>
      <w:r>
        <w:rPr>
          <w:rFonts w:ascii="Times New Roman" w:cs="Times New Roman" w:eastAsia="Times New Roman" w:hAnsi="Times New Roman"/>
          <w:sz w:val="18"/>
          <w:szCs w:val="18"/>
          <w:color w:val="auto"/>
        </w:rPr>
        <w:t>One method of analyzing our business is to examine the level of premiums generated by direct and agency operations.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our title insurance premiums generated by direct and agency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4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Escrow, Title-Related and Other Fees. </w:t>
      </w:r>
      <w:r>
        <w:rPr>
          <w:rFonts w:ascii="Times New Roman" w:cs="Times New Roman" w:eastAsia="Times New Roman" w:hAnsi="Times New Roman"/>
          <w:sz w:val="18"/>
          <w:szCs w:val="18"/>
          <w:color w:val="auto"/>
        </w:rPr>
        <w:t>In addition to fees for underwriting title insurance policies, we derive a significant amount of our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30.6%, 30.2%, and 30.5% of total Title segment revenues in 2018, 2017, and 2016, respectively.</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market and distribute our title and escrow products and services to customers in the residential and commercial market sectors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Claims. </w:t>
      </w:r>
      <w:r>
        <w:rPr>
          <w:rFonts w:ascii="Times New Roman" w:cs="Times New Roman" w:eastAsia="Times New Roman" w:hAnsi="Times New Roman"/>
          <w:sz w:val="18"/>
          <w:szCs w:val="18"/>
          <w:color w:val="auto"/>
        </w:rPr>
        <w:t>An important part of our operations is the handling of title and escrow claims. We employ a large staff of attorneys in our claims department.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processing centers are located in Omaha, Nebraska and Jacksonville, Florida. In-house claims counsel are also located in other parts of the country.</w:t>
      </w:r>
    </w:p>
    <w:p>
      <w:pPr>
        <w:spacing w:after="0" w:line="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Reinsurance and Coinsurance. </w:t>
      </w:r>
      <w:r>
        <w:rPr>
          <w:rFonts w:ascii="Times New Roman" w:cs="Times New Roman" w:eastAsia="Times New Roman" w:hAnsi="Times New Roman"/>
          <w:sz w:val="18"/>
          <w:szCs w:val="18"/>
          <w:color w:val="auto"/>
        </w:rPr>
        <w:t>We limit our maximum loss exposure by reinsuring risks with other insurers under excess of loss and case-by-case</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four contracts. The first excess of loss reinsurance contract provides an $80 million aggregate limit of coverage from a single loss occurrence for residential and commercial losses in excess of a $20 million retention per single loss occurrence ("First XOL Contract"). The second excess of loss reinsurance contract ("Second XOL Contract") provides an additional $300 million aggregate limit of coverage, with the Company co-participating at approximately 10%. The third excess of loss reinsurance contract ("Third XOL Contract") provides an additional $80 million aggregate limit of coverage, with the Company co-participating at approximately 10%. The fourth excess of loss reinsurance contract ("Fourth XOL Contract") provides an additional $220 million aggregate limit of coverage, with the Company co-participating at approximately 10%. Subject to the Company’s retention and co-participation on the Second, Third and Fourth XOL Contracts, the maximum coverage provided under our excess of loss reinsurance coverage is $620 million.</w:t>
      </w:r>
    </w:p>
    <w:p>
      <w:pPr>
        <w:spacing w:after="0" w:line="56" w:lineRule="exact"/>
        <w:rPr>
          <w:sz w:val="20"/>
          <w:szCs w:val="20"/>
          <w:color w:val="auto"/>
        </w:rPr>
      </w:pPr>
    </w:p>
    <w:p>
      <w:pPr>
        <w:jc w:val="both"/>
        <w:ind w:right="20" w:firstLine="329"/>
        <w:spacing w:after="0" w:line="328" w:lineRule="auto"/>
        <w:rPr>
          <w:sz w:val="20"/>
          <w:szCs w:val="20"/>
          <w:color w:val="auto"/>
        </w:rPr>
      </w:pPr>
      <w:r>
        <w:rPr>
          <w:rFonts w:ascii="Times New Roman" w:cs="Times New Roman" w:eastAsia="Times New Roman" w:hAnsi="Times New Roman"/>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policy is to be selective in choosing our reinsurers, seeking only those companies that we consider to be financially stable and adequately capitalized.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minimize exposure to the insolvency of a reinsurer, we periodically review the financial condition of our reinsurers.</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earn a small amount of additional income, which is reflected in our direct premiums, by assuming reinsurance for certain risks of other title insurers.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Competition in the title insurance industry is based primarily on service and price. The number and size of competing companies varies in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different geographic areas in which we conduct our business. In our principal markets, competitors include other major title underwriters such as First American Financial Corporation, Old Republic International Corporation, Stewart Information Services Corporation, AmTrust Title Insurance Company, Westcor Land Title Insurance Company, and WFG National Title Insurance Company, as well as numerous smaller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Regulation. </w:t>
      </w: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1" w:lineRule="exact"/>
        <w:rPr>
          <w:sz w:val="20"/>
          <w:szCs w:val="20"/>
          <w:color w:val="auto"/>
        </w:rPr>
      </w:pPr>
    </w:p>
    <w:p>
      <w:pPr>
        <w:jc w:val="both"/>
        <w:ind w:firstLine="342"/>
        <w:spacing w:after="0" w:line="344" w:lineRule="auto"/>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title insurers are domiciled, these insurers must defer a portion of premiums as an unearned premium reserve for the protection of policyholders (in addition to their reserves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2018, the combined statutory unearned premium reserve required and reported for our title insurers was $1,412 million. In addition to statutory unearned premium reserves and reserves for known claims, each of our insurers maintains surplus funds for policyholder protection and business operations.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a holding company with no significant business operations of our own, we depend on dividends or other distributions from our subsidiaries as the</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5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insurer’s statutory surplus as of the immediately prior year end;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net income of the insurer during the prior calendar year.</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laws and regulations of some jurisdictions also prohibit an insurer from declaring or paying a dividend except out of its earned surplus or require the insurer to obtain prior regulatory approval. During 2019, our directly owned title insurers can pay dividends or make distributions to us of approximately $512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$1,383 million and $1,389 million as of December 31, 2018 and 2017, respectively. The combined statutory earnings of our title insurers were $625 million, $434 million, and $541 million for the years ended December 31, 2018, 2017, and 2016, respectively.</w:t>
      </w:r>
    </w:p>
    <w:p>
      <w:pPr>
        <w:spacing w:after="0" w:line="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and surplus. Required levels of minimum capital and surplus are not significant to the insurers individually or in the aggregate. Each of our insurers has complied with the minimum statutory requirements as of December 31, 2018.</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underwritten title companies, primarily those domiciled in California, are also subject to certain regulation by insurance regulatory or banking</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2018.</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National Association of Insurance Commissioners ("NAIC") has adopted an instruction requiring an annual certification of reserve adequacy by a</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Title Insurance Ratings. </w:t>
      </w:r>
      <w:r>
        <w:rPr>
          <w:rFonts w:ascii="Times New Roman" w:cs="Times New Roman" w:eastAsia="Times New Roman" w:hAnsi="Times New Roman"/>
          <w:sz w:val="18"/>
          <w:szCs w:val="18"/>
          <w:color w:val="auto"/>
        </w:rPr>
        <w:t>Our title insurance underwriters are regularly assigned ratings by independent agencies designed to indicate their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and/or claims paying ability. The rating agencies determine ratings by quantitatively and qualitatively analyzing financial data and other information. Our title subsidiaries include Alamo Title, Chicago Title, Commonwealth Land Title, Fidelity National Title and National Title of New York. Standard &amp; Poor’s Ratings Group (“S&amp;P”) and Moody’s Investors Service (“Moody’s”) provide ratings for the entire FNF family of companies as a whole as follows:</w:t>
      </w:r>
    </w:p>
    <w:p>
      <w:pPr>
        <w:spacing w:after="0" w:line="202" w:lineRule="exact"/>
        <w:rPr>
          <w:sz w:val="20"/>
          <w:szCs w:val="20"/>
          <w:color w:val="auto"/>
        </w:rPr>
      </w:pPr>
    </w:p>
    <w:p>
      <w:pPr>
        <w:ind w:left="924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S&amp;P</w:t>
      </w:r>
      <w:r>
        <w:rPr>
          <w:sz w:val="20"/>
          <w:szCs w:val="20"/>
          <w:color w:val="auto"/>
        </w:rPr>
        <w:tab/>
      </w:r>
      <w:r>
        <w:rPr>
          <w:rFonts w:ascii="Times New Roman" w:cs="Times New Roman" w:eastAsia="Times New Roman" w:hAnsi="Times New Roman"/>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24765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9300" w:val="left"/>
          <w:tab w:leader="none" w:pos="10460" w:val="left"/>
        </w:tabs>
        <w:rPr>
          <w:sz w:val="20"/>
          <w:szCs w:val="20"/>
          <w:color w:val="auto"/>
        </w:rPr>
      </w:pPr>
      <w:r>
        <w:rPr>
          <w:rFonts w:ascii="Times New Roman" w:cs="Times New Roman" w:eastAsia="Times New Roman" w:hAnsi="Times New Roman"/>
          <w:sz w:val="18"/>
          <w:szCs w:val="18"/>
          <w:color w:val="auto"/>
        </w:rPr>
        <w:t>FNF family of companies</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A2</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"A" rating is the third highest rating of 12 ratings for S&amp;P. According to S&amp;P, an insurer rated “A” has strong capacity to meet its financial commitments, but is somewhat more susceptible to adverse effects of changes in circumstances and economic conditions than insurers with "AAA" or "AA" ratings.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"A2" rating is the third highest rating of 9 ratings for Moody's. Moody's states that companies rated “A2” are judged to be upper-medium grade and are subject to low credit risk.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Demotech provides financial strength/stability ratings for each of our title insurance underwriters individually,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Title Insurance Company</w:t>
            </w:r>
          </w:p>
        </w:tc>
        <w:tc>
          <w:tcPr>
            <w:tcW w:w="42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c>
          <w:tcPr>
            <w:tcW w:w="42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Demotech states that its ratings of "A"(A double prime)" and "A' (A prime)" reflect its opinion that the insurer possesses "Unsurpassed" ability to</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ratings of S&amp;P, Moody’s,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If the rating agencies downgrade our Company, our results of operations and competitive position in the title insurance industry may suffer” for further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Research and Development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national provider of real estate transaction products and services, we participate in an industry that is subject to significant regulatory requirements,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Policies and Investment Portfolio</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investment policy is designed to maximize total return through investment income and capital appreciation consistent with moderate risk of</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carrying amount of total investments, which approximates the fair value, excluding investments in unconsolidated affiliates, was $3.4 billion and $3.2 billion, respectively.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purchase investment grade fixed maturity securities, selected non-investment grade fixed maturity securities, preferred stock and equity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in our portfolio are subject to economic conditions and normal market risks and uncertainties.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the investment ratings of our fixed maturity securities and preferred stock portfolio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9"/>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17145</wp:posOffset>
            </wp:positionV>
            <wp:extent cx="5728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-127635</wp:posOffset>
            </wp:positionV>
            <wp:extent cx="5728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7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as assigned by Moody’s Investors Service or Standard &amp; Poor’s Ratings Group if a Moody's rating is unavailable.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is composed of unrated securities.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80" w:type="dxa"/>
            <w:vAlign w:val="bottom"/>
            <w:tcBorders>
              <w:bottom w:val="single" w:sz="8" w:color="auto"/>
            </w:tcBorders>
          </w:tcPr>
          <w:p>
            <w:pPr>
              <w:spacing w:after="0"/>
              <w:rPr>
                <w:sz w:val="16"/>
                <w:szCs w:val="16"/>
                <w:color w:val="auto"/>
              </w:rPr>
            </w:pPr>
          </w:p>
        </w:tc>
      </w:tr>
      <w:tr>
        <w:trPr>
          <w:trHeight w:val="259"/>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prepayment penalties. Because of the potential for prepayment on mortgage-backed and asset-backed securities, they are not categorized by contractual maturity.</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equity securities at December 31, 2018 and 2017 consisted of investments with a cost basis of $498 million and $517 million, respectively, and fair value of $498 million and $681 million, respectively.</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and 2017, we held $137 million and $150 million, respectively, in investments that are accounted for using the equity method of accounting.</w:t>
      </w:r>
    </w:p>
    <w:p>
      <w:pPr>
        <w:spacing w:after="0" w:line="27" w:lineRule="exact"/>
        <w:rPr>
          <w:sz w:val="20"/>
          <w:szCs w:val="20"/>
          <w:color w:val="auto"/>
        </w:rPr>
      </w:pPr>
    </w:p>
    <w:p>
      <w:pPr>
        <w:jc w:val="both"/>
        <w:ind w:firstLine="329"/>
        <w:spacing w:after="0" w:line="328" w:lineRule="auto"/>
        <w:rPr>
          <w:sz w:val="20"/>
          <w:szCs w:val="20"/>
          <w:color w:val="auto"/>
        </w:rPr>
      </w:pPr>
      <w:r>
        <w:rPr>
          <w:rFonts w:ascii="Times New Roman" w:cs="Times New Roman" w:eastAsia="Times New Roman" w:hAnsi="Times New Roman"/>
          <w:sz w:val="18"/>
          <w:szCs w:val="18"/>
          <w:color w:val="auto"/>
        </w:rPr>
        <w:t>As of December 31, 2018 and 2017, other long-term investments were $135 million and $110 million, respectively. Other long-term investments include other investments carried at fair value and company-owned life insurance policies carried at cash surrender value.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which consist primarily of commercial paper and money market instruments which have an original maturity of one year or less,</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carried at amortized cost, which approximates fair value. As of December 31, 2018 and 2017, short-term investments amounted to $480 million and $295 million, respectively.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investment results for the years ended December 31, 2018, 2017 and 2016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invested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3,296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3,936</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w w:val="9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Item 8 of Part II of this Annual Report for a detail of our interest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Reserves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about our loss reserves,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 Critical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 title operations are divided into approximately 180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5,200 agents, primarily in those areas in which agents are the more prevalent title insurance provider. Substantially all of our revenues are generated in the United States.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approximate dollar and percentage volumes of our title insurance premium revenue by state: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1, 2019, we had 23,436 full-time equivalent employees, which includes 22,849 in our Title segment and 587 in our Corporate and other segment. We monitor our staffing levels based on current economic activity. None of our employees are subject to collective bargaining agreements. We believe that our relations with employees are generally good.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by Operating Segment</w:t>
      </w:r>
    </w:p>
    <w:p>
      <w:pPr>
        <w:spacing w:after="0" w:line="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financial information by operating segment, see Note 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our Consolidated Financial Statements included in Item 8 of Part II of this Annual Report.</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statements contained in this Form 10-K or in our other documents or in oral presentations or other statements made by our management that are not</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our title insurance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of our credit rating by rating agencies;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 of our operating subsidiaries and adverse changes in applicable laws or regulations or in their application by regulators;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without unanticipated conditions or significant delay, if at all, the necessary regulatory approvals to consummate the Stewart Merger;</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timely satisfy or obtain waiver any of the closing conditions to the proposed Stewart Merger;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integrate Stewart’s business with that of FNF, that such integration may be more difficult, time-consuming or costly than expected or that the expected benefits of the Stewart Merger will not be realized;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of the title insurance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that could negatively affect our financial results and impair our operating 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concentration in the States of California and Texas are the source of approximately 13.9% and 14.4%, respectively, of our title insurance premiums;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our title insurance underwriters as our main source of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title insurance companies;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"Risk Factors" below and elsewhere in this document and in our other filings with the SEC.</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under any obligation (and expressly disclaim any such obligation) to update or alter our forward-looking statements, whether as a result of</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information, future events or otherwise. You should carefully consider the possibility that actual results may differ materially from our forward-looking statements.</w:t>
      </w:r>
    </w:p>
    <w:p>
      <w:pPr>
        <w:sectPr>
          <w:pgSz w:w="11900" w:h="16838" w:orient="portrait"/>
          <w:cols w:equalWidth="0" w:num="1">
            <w:col w:w="11420"/>
          </w:cols>
          <w:pgMar w:left="240" w:top="121"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website address is www.fnf.com. We make available free of charge on or through our website our Annual Report on Form 10-K, Quarterly Reports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3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0"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aggregated approximately $2,726 million, or 29.3% of our total assets, as of December 31, 2018.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In the year ended December 31, 2018, we recorded $3 million of goodwill impairment related to a real estate brokerage subsidiary in our Corporate and other segment. For the years ended December 31, 2017 and 2016, no goodwill impairment charge was recorded.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7"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distributions from our subsidiaries for cash.</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2019, our title insurers may pay dividends or make distributions to us of approximately $512 million; however, insurance regulators have the authority to prohibit the payment of ordinary dividends or other payments by our title insurers to us if they determine that such payment could be adverse to our policyholders.</w:t>
      </w:r>
    </w:p>
    <w:p>
      <w:pPr>
        <w:spacing w:after="0" w:line="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be the result of investment losses, reserve charges, adverse operating conditions in the current economic environment or changes in interpretation of statutory accounting requirements by regulators.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negatively affect our financial results and impair our operating abilities.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2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economic and credit market conditions deteriorate, it could have a material adverse impact on our investment portfolio.</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5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large insurance entity and a publicly traded company, the Company has always had risk management functions, policies and procedures throughout its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the Company's risk management processes prove unsuccessful at identifying and responding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risks, we could incur unexpected monetary losses, damage to our reputation, additional costs or impairment of our ability to conduct business effectively.</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the subject of various legal proceedings that could have a material adverse effect on our results of operations.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M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to our Consolidated Financial Statements included in Item 8 of Part II of this Annual Report for further discussion of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regulatory matters and our related accrual.</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adverse changes in the levels of real estate activity occur, our revenues may decline.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mortgage interest rates are high or increasing;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mortgage funding supply is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housing inventory is limited or home prices are high or increasing;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United States economy is weak, including high unemployment levels.</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Declines in the level of real estate activity or the average price of real estate sales are likely to adversely affect our title insurance revenues. The Mortgage Bankers Association's ("MBA") Mortgage Finance Forecast as of January 17, 2019 calculates an approximately $1.6 trillion mortgage origination market for 2018, which would be a slight decrease from 2017. The decrease is expected to result from a decrease in refinance activity, offset by a slight increase in purchase transactions. The MBA predicts overall mortgage originations in 2019 and 2020 will remain relatively flat compared to the 2018 period. Our revenues in future periods will continue to be subject to these and other factors which are beyond our control and, as a result, are likely to fluctuate. See discussion under 'Business Trends and Conditions' within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in Item 7 of Part II of this Annual Report for further discussion of current market trends.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financial institutions at which we hold escrow funds fail, it could have a material adverse impact on our company.</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$13.5 billion at December 31, 2018.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45"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recorded amount is not within a reasonable range of the actuary’s central estimate, we would record a charge or credit and reassess the provision rate on a go forward basis.</w:t>
      </w:r>
    </w:p>
    <w:p>
      <w:pPr>
        <w:spacing w:after="0" w:line="2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2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2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marketing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on key terms of mortgage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surplus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and other payments made by insurance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schedules;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securities for the benefit of policyholders;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reserves;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reinsurance.</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Regulation” for further discussion of the current regulatory environment.</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 The ongoing implementation of the Dodd Frank Act, including the implementation of the originations and servicing rules by the CFPB, could increase our regulatory compliance burden and associated costs and place restrictions on our ability to operate the LoanCare business.</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the rates we charge for title insurance could adversely affect our results of operations.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the Company’s business operating results and financial conditions.</w:t>
      </w:r>
    </w:p>
    <w:p>
      <w:pPr>
        <w:spacing w:after="0" w:line="5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upon California and Texas for approximately 13.9% and 14.4% and of our title insurance premiums, respectively, our business may be adversely affected by regulatory conditions in California and/or Texas.</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California and Texas are the two largest sources of revenue for our title segment and, in 2018, California-based premiums accounted for approximately 28.2% of premiums earned by our direct operations and 0.7% of our agency premium revenues. Texas-based premiums accounted for 18.6% of premiums earned by our direct operations and 10.8% of our agency premium revenues. In the aggregate, California and Texas accounted for approximately 13.9% and 14.4%, respectively, of our total title insurance premiums for 2018.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If the rating agencies downgrade our insurance companies, our results of operations and competitive position in the title insurance industry may suffer.</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Ratings have always been an important factor in establishing the competitive position of insurance companies. Our title insurance subsidiaries are rated by S&amp;P, Moody’s,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claim loss prevention procedures fail, we could incur significant claim losses.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our title insurance business, we assume risks related to insuring clear title to residential and commercial properties. The Company has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use of independent agents for a significant amount of our title insurance policies could adversely impact the frequency and severity of title claims.</w:t>
      </w:r>
    </w:p>
    <w:p>
      <w:pPr>
        <w:spacing w:after="0" w:line="3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In the Company’s agency operations, an independent agent performs the search and examination function or the agent may purchase a search product from the Company.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The Company’s relationship with each agent is governed by an agency agreement defining how the agent issues a title insurance policy on the Company’s behalf. The agency agreement also sets forth the agent’s liability to the Company for policy losses attributable to the agent’s errors. For each agent with whom the Company enters into an agency agreement, financial and loss experience records are maintained. Periodic audits of our agents are also conducted and the number of agents with which the Company transacts business is strategically managed in an effort to reduce future expenses and manage risks. Despite efforts to monitor the independent agents with which we transact business, there is no guarantee that an agent will comply with their contractual obligations to the Company. Furthermore, we cannot be certain that, due to changes in the regulatory environment and litigation trends, the Company will not be held liable for errors and omissions by agents. Accordingly, our use of independent agents could adversely impact the frequency and severity of title claims.</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Failure to respond to rapid changes in technology could adversely affect the Company.</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pending acquisition of Stewart may expose us to certain risks.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18, 2018, we signed a merger agreement (the "Merger Agreement") to acquire Stewart Information Services Corporation ("Stewart") (NYSE: STC) (the "Stewart Merger"). The closing of the Stewart Merger is subject to certain closing conditions, federal and state regulatory approvals and the satisfaction of other customary closing conditions. Closing of the Stewart Merger may be delayed in the event that we are unable to obtain, in a timely manner, the necessary regulatory approvals. If the Stewart Merger is not completed for failure to obtain the required regulatory approvals, we would be required to pay a reverse break-up fee of $50 million to Stewart. If the Stewart Merger is completed, we may face challenges in integrating Stewart into our existing infrastructure. These challenges include eliminating redundant operations, facilities and systems, coordinating management and personnel, retaining key employees, managing different corporate cultures, and achieving cost reductions. There can be no assurance that we will be able to fully integrate all aspects of the acquired business successfully, and the process of integrating this acquisition may disrupt our business and divert our resources.</w:t>
      </w:r>
    </w:p>
    <w:p>
      <w:pPr>
        <w:spacing w:after="0" w:line="3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headquarters are in Jacksonville, Florida in owned facilities.</w:t>
      </w:r>
    </w:p>
    <w:p>
      <w:pPr>
        <w:spacing w:after="0" w:line="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majority of our branch offices are leased from third parties. See Note M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information on our outstanding leases. Our subsidiaries conduct their business operations primarily in leased office space in 45 states, Washington, DC, Canada and India.</w:t>
      </w: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discussion of </w:t>
      </w:r>
      <w:r>
        <w:rPr>
          <w:rFonts w:ascii="Times New Roman" w:cs="Times New Roman" w:eastAsia="Times New Roman" w:hAnsi="Times New Roman"/>
          <w:sz w:val="18"/>
          <w:szCs w:val="18"/>
          <w:i w:val="1"/>
          <w:iCs w:val="1"/>
          <w:color w:val="auto"/>
        </w:rPr>
        <w:t>Legal and Regulatory Contingencies</w:t>
      </w:r>
      <w:r>
        <w:rPr>
          <w:rFonts w:ascii="Times New Roman" w:cs="Times New Roman" w:eastAsia="Times New Roman" w:hAnsi="Times New Roman"/>
          <w:sz w:val="18"/>
          <w:szCs w:val="18"/>
          <w:color w:val="auto"/>
        </w:rPr>
        <w:t xml:space="preserve"> in Note M.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Item 8 of Part II of this Annual Report, which is incorporated by reference into this Item 3 of Part 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trades on the New York Stock Exchange under the trading symbol "FNF".</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31, 2019, the last reported sale price of our common stock on the New York Stock Exchange was $36.16. We had approximately 6,700 shareholders of record.</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Refer to Note O.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to our Consolidated Financial Statements included in Item 7 of Part II of this Annual Report, which is incorporated by reference into this Item 5 of Part II, for further information on securities issued for employee stock compensation pursuant to our Omnibus Plan.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our equity compensation plans will be included in Item 12 of Part III of this Annual Report.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2018.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2013,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5025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12/31/2014</w:t>
            </w:r>
          </w:p>
        </w:tc>
        <w:tc>
          <w:tcPr>
            <w:tcW w:w="12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12/31/2015</w:t>
            </w:r>
          </w:p>
        </w:tc>
        <w:tc>
          <w:tcPr>
            <w:tcW w:w="12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1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12/31/2018</w:t>
            </w:r>
          </w:p>
        </w:tc>
      </w:tr>
      <w:tr>
        <w:trPr>
          <w:trHeight w:val="394"/>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Fidelity National Financial, Inc.</w:t>
            </w:r>
          </w:p>
        </w:tc>
        <w:tc>
          <w:tcPr>
            <w:tcW w:w="2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100.00</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132.23</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136.09</w:t>
            </w: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136.78</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224.38</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185.68</w:t>
            </w:r>
          </w:p>
        </w:tc>
      </w:tr>
      <w:tr>
        <w:trPr>
          <w:trHeight w:val="270"/>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2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100.00</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113.69</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115.26</w:t>
            </w: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129.05</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157.22</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150.33</w:t>
            </w:r>
          </w:p>
        </w:tc>
      </w:tr>
      <w:tr>
        <w:trPr>
          <w:trHeight w:val="270"/>
        </w:trPr>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Peer Group</w:t>
            </w:r>
          </w:p>
        </w:tc>
        <w:tc>
          <w:tcPr>
            <w:tcW w:w="22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100.00</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130.88</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134.70</w:t>
            </w: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138.24</w:t>
            </w: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216.74</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182.69</w:t>
            </w:r>
          </w:p>
        </w:tc>
      </w:tr>
    </w:tbl>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 declared on our common stock for the two most recent fiscal years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7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27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Cash Dividends per Share</w:t>
            </w:r>
          </w:p>
        </w:tc>
        <w:tc>
          <w:tcPr>
            <w:tcW w:w="540" w:type="dxa"/>
            <w:vAlign w:val="bottom"/>
            <w:tcBorders>
              <w:bottom w:val="single" w:sz="8" w:color="auto"/>
            </w:tcBorders>
          </w:tcPr>
          <w:p>
            <w:pPr>
              <w:spacing w:after="0"/>
              <w:rPr>
                <w:sz w:val="21"/>
                <w:szCs w:val="21"/>
                <w:color w:val="auto"/>
              </w:rPr>
            </w:pPr>
          </w:p>
        </w:tc>
      </w:tr>
      <w:tr>
        <w:trPr>
          <w:trHeight w:val="24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bl>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13, 2019, our Board of Directors formally declared a $0.31 per FNF share cash dividend that is payable on March 29, 2019 to FNF shareholders of record as of March 15, 2019.</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2018, $1,518 million of our net assets are restricted from dividend payments without prior approval from the Departments of Insurance in the states where our title insurance subsidiaries are domiciled. During 2019, our directly owned title insurance subsidiaries can pay dividends or make distributions to us of approximately $512 million without prior approval. The limits placed on such subsidiaries’ abilities to pay dividends affect our ability to pay dividends.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17, 2018, our Board of Directors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2018, we repurchased a total of 660,000 FNF common shares for $21 million or an average of $32.33 per share. Subsequent to December 31, 2018 and through market close on February 14, 2019, we repurchased a total of 60,000 shares for $2 million, or an average of $31.83 per share under this program. Since the original commencement of the 2018 Repurchase Program, we repurchased a total of 720,000 FNF common shares for $23 million, or an average of $32.29 per share.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year ending December 31, 2018:</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4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10/1/2018 - 10/31/2018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24,940,000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11/1/2018 - 11/30/2018</w:t>
            </w:r>
          </w:p>
        </w:tc>
        <w:tc>
          <w:tcPr>
            <w:tcW w:w="120" w:type="dxa"/>
            <w:vAlign w:val="bottom"/>
          </w:tcPr>
          <w:p>
            <w:pPr>
              <w:spacing w:after="0"/>
              <w:rPr>
                <w:sz w:val="21"/>
                <w:szCs w:val="21"/>
                <w:color w:val="auto"/>
              </w:rPr>
            </w:pPr>
          </w:p>
        </w:tc>
        <w:tc>
          <w:tcPr>
            <w:tcW w:w="1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1"/>
                <w:szCs w:val="21"/>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315,000</w:t>
            </w:r>
          </w:p>
        </w:tc>
        <w:tc>
          <w:tcPr>
            <w:tcW w:w="2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24,625,000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12/1/2018 - 12/31/2018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285,000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285,000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24,340,000</w:t>
            </w:r>
          </w:p>
        </w:tc>
        <w:tc>
          <w:tcPr>
            <w:tcW w:w="0" w:type="dxa"/>
            <w:vAlign w:val="bottom"/>
          </w:tcPr>
          <w:p>
            <w:pPr>
              <w:spacing w:after="0"/>
              <w:rPr>
                <w:sz w:val="1"/>
                <w:szCs w:val="1"/>
                <w:color w:val="auto"/>
              </w:rPr>
            </w:pPr>
          </w:p>
        </w:tc>
      </w:tr>
      <w:tr>
        <w:trPr>
          <w:trHeight w:val="23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1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80" w:hanging="648"/>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17, 2018, our Board of Directors approved a three-year stock repurchase program effective August 1, 2018. Under the stock repurchase program, we may repurchase up to 25 million shares of our FNF common stock through July 31, 2021.</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2018 presentation.</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results of FNFV are presented as discontinued operations in the following tables.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29, 2017 we completed our tax-free distribution to FNF Group shareholders, of all 83.3 million shares of New BKH Corp. ("New BKH") common stock that we previously owned (the “BK Distribution”). The results of Black Knight are presented as discontinued operations in the following tables.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30, 2014, we completed a recapitalization of FNF common stock into two tracking stocks, FNF Group common stock and FNFV Group common stock. Each share of the previously outstanding FNF Class A common stock ("Old FNF common stock") was converted into one share of FNF Group common stock and 0.3333 of a share of FNFV Group common stock.</w:t>
      </w:r>
    </w:p>
    <w:p>
      <w:pPr>
        <w:spacing w:after="0" w:line="35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6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Earnings before income taxes, equity in earnings of unconsolidated affiliates,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FNF common shareholders</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attributable to Old FNF common shareholders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0.33</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0.77</w:t>
            </w:r>
          </w:p>
        </w:tc>
      </w:tr>
      <w:tr>
        <w:trPr>
          <w:trHeight w:val="225"/>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(loss)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Old FNF,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FNF Group, basic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FNFV Group,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attributable to Old FNF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0.32</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0.75</w:t>
            </w:r>
          </w:p>
        </w:tc>
      </w:tr>
      <w:tr>
        <w:trPr>
          <w:trHeight w:val="225"/>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(loss)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Old FNF,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FNF Group, diluted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FNFV Group,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share of Old FNF common stock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share of FNF Group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3,782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4,015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3,694</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(3)</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1,257</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1,110</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1,049</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9,301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9,151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14,521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14,043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13,868</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981</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2,086</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title claim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1,490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1,583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NCI</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4,628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4,467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6,898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6,588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6,073</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 value per share FNF Group (4)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22.81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21.21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18.87</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Book value per share FNFV Group (4)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15.05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16.31</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2,184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2,092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1,914</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1,315</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1,428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1,319</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 of title insurance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premiums (5)</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Title-related revenue (6):</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direct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agency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as of December 31, 2014 includes 25,920,078 FNF shares that were issued as part of the acquisition of LPS on January 2, 2014 and 91,711,237 FNFV shares that were issued as part of the recapitalization completed on June 30, 2014.</w:t>
      </w:r>
    </w:p>
    <w:p>
      <w:pPr>
        <w:spacing w:after="0" w:line="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as of December 31, 2018, 2017, 2016, 2015, and 2014, include securities pledged to secured trust deposits of $426 million, $367 million, $544 million, $608 million, and $499 million,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of December 31, 2018, 2017, 2016, 2015, and 2014 include cash pledged to secured trust deposits of $412 million, $475 million, $331 million, $108 million, and $136 million, respectively.</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as equity at December 31 of each year presented divided by actual shares outstanding at December 31 of each year presented.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effects of the release of $97 million of excess reserves in the quarter ended December 31, 2016.</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 (Unaudited)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Selected quarterly financial data is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1"/>
        </w:trPr>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equity in earnings of</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unconsolidated affiliates, and noncontrolling interest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FNF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FNF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FNF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per share FNF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1,975</w:t>
            </w:r>
          </w:p>
        </w:tc>
      </w:tr>
      <w:tr>
        <w:trPr>
          <w:trHeight w:val="225"/>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equity in earnings of</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affiliates, and noncontrolling interest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20"/>
                <w:szCs w:val="20"/>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FNF Group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 attributable to FNFV Group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FNF Group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 attributable to FNFV Group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FNF Group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 attributable to FNFV Group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per share FNF Group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w:t>
            </w:r>
          </w:p>
        </w:tc>
      </w:tr>
      <w:tr>
        <w:trPr>
          <w:trHeight w:val="459"/>
        </w:trPr>
        <w:tc>
          <w:tcPr>
            <w:tcW w:w="65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Notes thereto and Selected Financial Data included elsewhere in this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Acquisition of Stewart</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common stock, or (iii) $25.00 in cash and 0.6425 shares of FNF common stock, subject to potential adjustment (as described below) and proration to the extent the option to receive cash or the option to receive stock is oversubscribed.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FNF currently intends to fund the $1.2 billion purchase price, 50% in cash and 50% in FNF common stock, through a combination of cash on hand at FNF, the issuance of FNF common stock to Stewart stockholders, and borrowings under our revolving credit facility, if necessary. Including the assumption of $109 million of Stewart's debt, our pro forma debt to total capital ratio is expected to be no more than approximately 20% at the close of the Stewart Merger.</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would be required to pay a reverse break-up fee of $50 million to Stewart.</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2018, we received a request for additional information and documentary material, often referred to as a “Second Request,” from the United States Federal Trade Commission (the “FTC”) in connection with the FTC’s Hart-Scott-Rodino Antitrust Improvements Act of 1976, as amended (the “HSR Act”), regulatory review of the Stewart Merger.We continue to work through the regulatory process for the Stewart Merger and are currently engaged in responding to the Second Request related to the FTC's HSR Act regulatory review of the transaction. Responses to nearly all the FTC's requests for information and documentation have been submitted. From December 29, 2018 through January 25, 2019, the FTC suspended its review of the Stewart Merger and the materials related thereto due to a lapse in government funding caused by a partial shutdown of the U.S. Federal Government, potentially creating significant backlog when the FTC resumed its operations on January 28, 2019. As such, we are unable to determine the extent of any such delay in the FTC’s review.</w:t>
      </w:r>
    </w:p>
    <w:p>
      <w:pPr>
        <w:spacing w:after="0" w:line="5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1, 2018, our registration statement on Form S-4 related to the Stewart Merger was declared effective by the U.S. Securities and Exchange Commission (the "SEC").</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21, 2018, we received a “no-action letter” from the Canadian Competition Bureau (the “Bureau”), indicating that the Bureau does not intend to oppose the completion of the Stewart Merger.</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meeting of Stewart stockholders to vote on the Stewart Merger was held on September 5, 2018 and a majority of the Stewart stockholders voted to approve the Stewart Merger. More than 99% of the votes cast, representing approximately 79% of the outstanding shares of Stewart common stock as of July 10, 2018, the record date for the special meeting, were cast in favor of adopting the Merger Agreement.</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applications regarding acquisition of control of the Stewart domestic insurers with the states of Texas and New York. The Texas application regarding acquisition of control of Stewart Title Guaranty Company, a Texas domiciled title insurance company licensed in 48 states, is under review by the Texas Department of Insurance.</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31, 2019, the New York State Department of Financial Services (“NYDFS”) provided written notice to us of its disapproval of our application to acquire control of Stewart Title Insurance Company, a New York domiciled title insurance company that is licensed only in the State of New York. Receipt of approval from the NYDFS is a condition to closing the Stewart Merger. FNF and Stewart are evaluating the appropriate course of action in light of the NYDFS’ determination, which may include a discussion with the NYDFS to better understand its concerns and respond to the letter. Through January 31, 2019, we have received 28 Form E state regulatory approvals relating to the Stewart Merger.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of the Stewart Merger is subject to certain closing conditions, including federal and state regulatory approvals and the satisfaction of other customary closing conditions.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24, 2018, we closed on the sale of all of our 62% equity interest in, and notes outstanding from, Pacific Union International, Inc. ("Pacific Union"), a luxury real estate broker based in California, and its subsidiaries to Urban Compass, Inc. ("Compass") for $37 million in cash and up to $21 million in potential earnout payments (the "Pacific Union Sale"). The potential earnout payments range in value from $0 to $21 million, are based on certain gross profit and earnings targets for Pacific Union and are payable in approximately 60% cash and 40% Compass stock annually over the course of the next three years. Compass was not a related party prior to, and is not a related party subsequent to, the Pacific Union Sale.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notes due August 2028 with stated interest of 4.50%.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which includes sales, mortgage financing and mortgage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Declines in the level of real estate activity or the average price of real estate sales will adversely affect our title insurance revenues.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the United States economy, including employment levels.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17, 2019, the Mortgage Banker's Association ("MBA") estimated the size of the United States ("U.S.") mortgage originations market as shown in the following table for 2018 - 2021 in its "Mortgage Finance Forecast" (in trillions, 2017 represents actual originations):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transactions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Refinance transactions</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mortgage originations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In 2018 average interest rates on 30-year, fixed-rate mortgages in the U.S. rose from approximately 4.0% to 4.9% through October, representing an increase of 22%, before retreating to 4.55% in the last week of December according to mortgage buyer Freddie Mac. As a result of the overall upward trend in rates, refinance transactions decreased in both 2017 and 2018 from the historically high levels experienced in preceding years. Existing home sales increased through 2017 and began leveling out in the first half, and decreasing in the second half, of 2018. Coupled with stagnant levels of new home construction over the same time period, the result has been a decline in total housing inventory and increase in average home prices, albeit with decreasing magnitude toward the end of 2018.</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combination of reduced housing inventory, increasing mortgage interest rates and increasing home prices led the MBA to lower mortgage origination forecasts for 2019 and beyond during the second half of 2018. Market volatility and the shift in mortgage interest rates in late 2018 have created uncertainty in forecasts of future mortgage interest rates and originations. As a result, in early 2019 the U.S. Federal Reserve indicated it will slow or stop its pace of increases to the target federal funds rate. Mortgage interest rates are generally expected to remain flat in 2019. In a stagnate interest rate environment, refinance transactions are expected to continue to stagnate. The MBA predicts overall mortgage originations in 2019 and 2020 will remain relatively flat compared to the 2018 period.</w:t>
      </w:r>
    </w:p>
    <w:p>
      <w:pPr>
        <w:spacing w:after="0" w:line="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and consumer confidence, have continued to indicate the U.S. economy remains on strong footing. According to the U.S. Department of Labor's Bureau of Labor, the unemployment rate was at a historically low 3.9% in December 2018. Additionally, the Conference Board's monthly Consumer Confidence Index has remained at historically high levels through 2018, despite a slight drop in November and December 2018 resulting from market volatility. Toward the end of the fiscal year of 2018 and into 2019, there has been increased global economic uncertainty and stock market volatility. Such market uncertainty could ultimately impact U.S. real estate markets if they continue to worsen. We believe continued strong readings in domestic U.S. economic indicators present potential tailwinds for mortgage originations, despite growing risks from global economic uncertainties.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how the positive effects of a generally strong U.S. economy and the negative effects of flat or slightly increasing mortgage interest rates and global economic uncertainty will impact mortgage originations and our future results of operations from our residential business.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Conversely, gradual increases in the Fed Funds Rate and the shift in late 2017 by the U.S. Federal Reserve to unwind its balance sheet are generally expected to adversely impact availability of financing by decreasing the overall money supply. In recent years, we have continued to experience strong demand in commercial real estate markets and from 2015 to 2018 experienced historically high volumes and fee-per-file in our commercial business.</w:t>
      </w:r>
    </w:p>
    <w:p>
      <w:pPr>
        <w:spacing w:after="0" w:line="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8"/>
          <w:szCs w:val="18"/>
          <w:i w:val="1"/>
          <w:iCs w:val="1"/>
          <w:color w:val="auto"/>
        </w:rPr>
        <w:t>Business and Summary of Significant Accounting Policies</w:t>
      </w:r>
      <w:r>
        <w:rPr>
          <w:rFonts w:ascii="Times New Roman" w:cs="Times New Roman" w:eastAsia="Times New Roman" w:hAnsi="Times New Roman"/>
          <w:sz w:val="18"/>
          <w:szCs w:val="18"/>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 for Title Claim Losses. </w:t>
      </w:r>
      <w:r>
        <w:rPr>
          <w:rFonts w:ascii="Times New Roman" w:cs="Times New Roman" w:eastAsia="Times New Roman" w:hAnsi="Times New Roman"/>
          <w:sz w:val="18"/>
          <w:szCs w:val="18"/>
          <w:color w:val="auto"/>
        </w:rPr>
        <w:t>Title companies issue two types of policies, owner's and lender's policies, since both the new owner and the lender in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reserves for known claims and incurred but not reported claims related to title insurance: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vMerge w:val="restart"/>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3"/>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Known claims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w:t>
      </w:r>
    </w:p>
    <w:p>
      <w:pPr>
        <w:spacing w:after="0" w:line="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recorded our loss provision rate at 4.5% for the year ended December 31, 2018. Our average loss provision rate was 4.5%, 4.9% and 3.3% for the years ended December 31, 2018, 2017 and 2016, respectively. Our loss provision rate for the year ended December 31, 2016 also included a $97 million adjustment to reduce our prior claim loss reserves. Of such annual loss provision rates, 4.5%, 4.5% and 5.0% for the years ended December 31, 2018, 2017 and 2016, respectively, related to losses on policies written in the current year, and the remainder related to developments on prior year policies. The decrease in the loss provision rate during 2016 through 2018, excluding a one-time adjustment included in the 2016 period, was primarily driven by continued positive development in the more recent policy years. In 2018 and 2017, adverse development of prior year losses of less than $1 million of 2018 premium and $19 million or 0.4% of 2017 premium was accounted for in the provision rate. In 2016, favorable development of prior year losses of $79 million or 1.7% of 2016 premium was accounted for in the provision rate.</w:t>
      </w:r>
    </w:p>
    <w:p>
      <w:pPr>
        <w:spacing w:after="0" w:line="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2016, we released excess title reserves of $97 million. The release of excess reserves was due to analysis of historical ultimate loss ratios, the reduced volatility of development of those historical ultimate loss ratios and lower policy year loss ratios in recent years. Due to the reduction in volatility of prior year ultimate loss ratios experienced at the time, we felt that actual results were more in line with our actuarial analysis and released excess reserves to bring our recorded position in line with actuarial projections.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title insurance loss development experience for the past three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1,583</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reinsurance recoverable</w:t>
            </w:r>
          </w:p>
        </w:tc>
        <w:tc>
          <w:tcPr>
            <w:tcW w:w="180" w:type="dxa"/>
            <w:vAlign w:val="bottom"/>
          </w:tcPr>
          <w:p>
            <w:pPr>
              <w:spacing w:after="0"/>
              <w:rPr>
                <w:sz w:val="21"/>
                <w:szCs w:val="21"/>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loss provision related to:</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 (1)</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title claims loss provision</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1,487</w:t>
            </w:r>
          </w:p>
        </w:tc>
      </w:tr>
      <w:tr>
        <w:trPr>
          <w:trHeight w:val="20"/>
        </w:trPr>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premiums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4,723</w:t>
            </w:r>
          </w:p>
        </w:tc>
      </w:tr>
      <w:tr>
        <w:trPr>
          <w:trHeight w:val="225"/>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7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Reserve of $97 million released in 2016 related to improving development on prior year claim trends.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0"/>
        </w:trPr>
        <w:tc>
          <w:tcPr>
            <w:tcW w:w="75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claim losses as a percentage of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7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provision</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claims payments consist of loss payments and claims management expenses offset by recoupments and were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Claims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4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2018 and 2017, our recorded reserves were $1,488 million and $1,490 million, respectively, which we determined were reasonable and represented our best estimate and these recorded amounts were within a reasonable range of the central estimates provided by our actuaries. Our recorded reserves were $44 million above the mid-point of the provided range of $1.3 billion to $1.6 billion of our actuarial estimates as of December 31, 2018. Our recorded reserves were $30 million above the mid-point of the provided range of our actuarial estimates of $1.3 billion to $1.7 billion as of December 31, 2017.</w:t>
      </w:r>
    </w:p>
    <w:p>
      <w:pPr>
        <w:spacing w:after="0" w:line="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2018 and 2017, payment patterns were consistent with our actuaries' and management's expectations. Also, compared to prior years we have seen a leveling off of the ultimate loss ratios in more mature policy years, particularly 2005-2008. While we still see claims opened on these policy years, the proportion of our claims inventory represented by these policy years has continued to decrease. Additionally, we continued to see positive development relating to the 2009 through 2016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14,300 claims at December 31, 2017 to approximately 12,800 claims at December 31, 2018.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approximate $49 million increase (decrease) in our annualized provision for title claim losses would occur if our loss provision rate were 1% higher (lower), based on 2018 title premiums of $4,911 million. A 10% increase (decrease) in our reserve for title claim losses, as of December 31, 2018, would result in an increase (decrease) in our provision for title claim losses of approximately $149 million.</w:t>
      </w:r>
    </w:p>
    <w:p>
      <w:pPr>
        <w:spacing w:after="0" w:line="20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Valuation of Investments. </w:t>
      </w:r>
      <w:r>
        <w:rPr>
          <w:rFonts w:ascii="Times New Roman" w:cs="Times New Roman" w:eastAsia="Times New Roman" w:hAnsi="Times New Roman"/>
          <w:sz w:val="18"/>
          <w:szCs w:val="18"/>
          <w:color w:val="auto"/>
        </w:rPr>
        <w:t>Investments in fixed maturity, equity, and preferred securities are recorded on the balance sheet at fair value. We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our fixed maturity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Realized gains and losses on the sale of investments are determined on the basis of the cost of the specific investments sold and are credited or charged to income on a trade date basis. Beginning January 1, 2018, unrealized gains or losses on equity and preferred securities are included in earnings. Unrealized gains or losses on fixed maturity securities (and equity and preferred securities prior to January 1, 2018)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on fixed maturity securities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06"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104"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2018 and 2017, respectively:</w:t>
      </w:r>
    </w:p>
    <w:p>
      <w:pPr>
        <w:spacing w:after="0" w:line="10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1,503</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20"/>
        </w:trPr>
        <w:tc>
          <w:tcPr>
            <w:tcW w:w="6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1,117</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681</w:t>
            </w:r>
          </w:p>
        </w:tc>
      </w:tr>
      <w:tr>
        <w:trPr>
          <w:trHeight w:val="257"/>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2,816</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preferred securities and fixed-maturity securities available for sale are provided by a third-party pricing service. We utilize one firm for our preferred security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When available and for certain investments, we independently compare the resulting prices to other publicly available measures of fair value and internally developed models. The pricing methodologies used by the relevant third party pricing services are as follows:</w:t>
      </w:r>
    </w:p>
    <w:p>
      <w:pPr>
        <w:spacing w:after="0" w:line="50" w:lineRule="exact"/>
        <w:rPr>
          <w:sz w:val="20"/>
          <w:szCs w:val="20"/>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our adoption of ASU No. 2016-01, beginning January 1, 2018, we began recording certain preferred equity investments in other long term investments at fair value which were previously accounted for as cost method investments.</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December 31, 2018 was a range of 8.4% - 8.8% and a weighted-average of 8.6%. Based on the total fair value of our Level 3 other long-term investment as of December 31, 2018, changes in the discount rate utilized will not result in a fair value significantly different than the amount recorded.</w:t>
      </w:r>
    </w:p>
    <w:p>
      <w:pPr>
        <w:spacing w:after="0" w:line="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values of Level 3 assets, measured on a recurring basis, for the twelve months ended December 31,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4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assets associated with the adoption of ASU 2016-01 (1)</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Level 2</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dividends</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valuation loss included in earnings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 included in other comprehensive (loss)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firstLine="8"/>
        <w:spacing w:after="0" w:line="284" w:lineRule="auto"/>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Transfers into or out of the Level 3 fair value category occur when unobservable inputs become more or less significant to the fair value measurement or upon a change in valuation technique. For the twelve months ended December 31,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There were no transfers between Level 2 and Level 3 in the three months ended December 31, 2018. The Company’s policy is to recognize transfers between levels in the fair value hierarchy at the end of the reporting period.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2017 we held no material assets or liabilities measured at fair value using Level 3 inputs.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years ended December 31, 2018, 2017 and 2016, we incurred impairment charges relating to investments that were determined to be other-than-temporarily impaired of $3 million, $1 million, and $19 million, respectively.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have made acquisitions that have resulted in a significant amount of goodwill. As of December 31, 2018 and 2017, goodwill was $2,726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and $2,746 million, respectively. The majority of our goodwill as of December 31, 2018 relates to goodwill recorded in connection with the Chicago Title merger in 2000 and our acquisition of ServiceLink in 2014. Refer to Note F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our Consolidated Financial Statements included in Item 8 of Part II of this Annual Report for a summary of recent changes in our Goodwill balance.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evaluating the recoverability of goodwill, we perform a qualitative analysis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As a result of our analysis, $3 million of goodwill impairment related to a real estate brokerage subsidiary in our Corporate and other segment was recorded in the year ended December 31, 2018. For the years ended December 31, 2017 and 2016, we determined there were no events or circumstances which indicated that the carrying value exceeded the fair value. As of December 31, 2018, we have determined that our title segment goodwill has a fair value which substantially exceeds its carrying value.</w:t>
      </w:r>
    </w:p>
    <w:p>
      <w:pPr>
        <w:spacing w:after="0" w:line="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We have other intangible assets, not including goodwill, which consist primarily of customer relationships and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Contractual relationships are generally amortized over their contractual life. Trademarks and tradenames are generally amortized over ten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recorded $3 million, $1 million and $1 million in impairment expense to other intangible assets during the years ended December 31, 2018, 2017 and 2016, respectively. The impairment in 2018 primarily relates to an acquired customer relationship asset in our Title segment. The impairment in 2017 was for computer software at ServiceLink. The impairment in 2016 was for customer relationships and tradenames at our real estate subsidiaries in our Corporate and Other segment.</w:t>
      </w:r>
    </w:p>
    <w:p>
      <w:pPr>
        <w:spacing w:after="0" w:line="4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Title Revenue Recognition. </w:t>
      </w:r>
      <w:r>
        <w:rPr>
          <w:rFonts w:ascii="Times New Roman" w:cs="Times New Roman" w:eastAsia="Times New Roman" w:hAnsi="Times New Roman"/>
          <w:sz w:val="18"/>
          <w:szCs w:val="18"/>
          <w:color w:val="auto"/>
        </w:rPr>
        <w:t>Our direct title insurance premiums are recognized as revenue at the time of closing of the underlying transaction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 and reported to us.</w:t>
      </w:r>
    </w:p>
    <w:p>
      <w:pPr>
        <w:spacing w:after="0" w:line="4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T.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our Consolidated Financial Statements in Item 8 of Part II of this Annual Report for further discussion of the accounting for our other revenue streams.</w:t>
      </w:r>
    </w:p>
    <w:p>
      <w:pPr>
        <w:spacing w:after="0" w:line="2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the consolidated financial statements, we are required to determine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outcome of these final determinations could have a material effect on our income tax provision, net income or cash flows in the period that determination is made.</w:t>
      </w:r>
    </w:p>
    <w:p>
      <w:pPr>
        <w:spacing w:after="0" w:line="25" w:lineRule="exact"/>
        <w:rPr>
          <w:sz w:val="20"/>
          <w:szCs w:val="20"/>
          <w:color w:val="auto"/>
        </w:rPr>
      </w:pPr>
    </w:p>
    <w:p>
      <w:pPr>
        <w:ind w:right="2080" w:firstLine="324"/>
        <w:spacing w:after="0" w:line="344" w:lineRule="auto"/>
        <w:rPr>
          <w:sz w:val="20"/>
          <w:szCs w:val="20"/>
          <w:color w:val="auto"/>
        </w:rPr>
      </w:pPr>
      <w:r>
        <w:rPr>
          <w:rFonts w:ascii="Times New Roman" w:cs="Times New Roman" w:eastAsia="Times New Roman" w:hAnsi="Times New Roman"/>
          <w:sz w:val="18"/>
          <w:szCs w:val="18"/>
          <w:color w:val="auto"/>
        </w:rPr>
        <w:t xml:space="preserve">Refer to Note K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 Item 8 of Part II of this Annual Report for details. </w:t>
      </w:r>
      <w:r>
        <w:rPr>
          <w:rFonts w:ascii="Times New Roman" w:cs="Times New Roman" w:eastAsia="Times New Roman" w:hAnsi="Times New Roman"/>
          <w:sz w:val="18"/>
          <w:szCs w:val="18"/>
          <w:b w:val="1"/>
          <w:bCs w:val="1"/>
          <w:color w:val="auto"/>
        </w:rPr>
        <w:t>Certain Factors Affecting Comparability</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2017. </w:t>
      </w:r>
      <w:r>
        <w:rPr>
          <w:rFonts w:ascii="Times New Roman" w:cs="Times New Roman" w:eastAsia="Times New Roman" w:hAnsi="Times New Roman"/>
          <w:sz w:val="18"/>
          <w:szCs w:val="18"/>
          <w:color w:val="auto"/>
        </w:rPr>
        <w:t>As a result of the BK Distribution and the FNFV Split-Off, we have reclassified the results of operations of Black Knight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FNFV to discontinued operations for all periods presented. Refer to Note G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our Consolidated Financial Statements in Item 8 of Part II of this Annual Report, which is incorporated by reference into this Item 7 of Part II of this Annual Report for further information on the results of operations of Black Knight and FNFV.</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years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2,626</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7,257</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2,275</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6,302</w:t>
            </w:r>
          </w:p>
        </w:tc>
      </w:tr>
      <w:tr>
        <w:trPr>
          <w:trHeight w:val="205"/>
        </w:trPr>
        <w:tc>
          <w:tcPr>
            <w:tcW w:w="7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 equity in earnings of unconsolidated</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4"/>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 in 2018 decreased $69 million compared to 2017, primarily due to a decrease in agent remittances and non-cash valuation losses on our equity and preferred investment holdings, partially offset by an increase in interest income and direct title premiums. Total revenue in 2017 increased $406 million compared to 2016, primarily due to an increase in fee per file offset by a decrease in closed order volumes in our direct title business and an increase in agent remittances.</w:t>
      </w:r>
    </w:p>
    <w:p>
      <w:pPr>
        <w:spacing w:after="0" w:line="4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T.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our Consolidated Financial Statements included in Item 8 of Part II of this Annual Report for a breakout of our consolidated revenues.</w:t>
      </w:r>
    </w:p>
    <w:p>
      <w:pPr>
        <w:spacing w:after="0" w:line="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net earnings from continuing operations decreased $4 million in the year ended December 31, 2018, compared to the 2017 period and increased $17 million in the year ended December 31, 2017, compared to the 2016 period.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and net earnings is discussed in further detail at the segment level below.</w:t>
      </w:r>
    </w:p>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was $177 million, $131 million, and $126 million for the years ended December 31, 2018, 2017, and 2016, respectively. The increase in 2018 as compared to 2017 is primarily attributable to increased interest income in our tax-deferred property exchange business and increased yield on our cash and cash equivalents and short term investments. The increase in 2017 as compared to 2016 is primarily attributable to increased yield on our cash and cash</w:t>
      </w:r>
    </w:p>
    <w:p>
      <w:pPr>
        <w:sectPr>
          <w:pgSz w:w="11900" w:h="16838" w:orient="portrait"/>
          <w:cols w:equalWidth="0" w:num="1">
            <w:col w:w="11420"/>
          </w:cols>
          <w:pgMar w:left="240" w:top="121"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equivalents and short term investments and an increase in other investment income, offset by a decrease in income from our fixed maturity holdings resulting from a decrease in average invested assets. The effective return on average invested assets, excluding realized gains and losses, was 5.1%, 4.2%, and 3.6% for the years ended December 31, 2018, 2017, and 2016, respectively.</w:t>
      </w:r>
    </w:p>
    <w:p>
      <w:pPr>
        <w:spacing w:after="0" w:line="4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realized (losses) gains totaled $(109) million, $2 million, and $(8) million for the years ended December 31, 2018, 2017, and 2016, respectively. Net realized losses for the year ended December 31, 2018 are primarily attributable to non-cash valuation losses on equity and preferred security holdings of $93 million, losses on sales of equity securities of $21 million, and asset impairments of $7 million, partially offset by net realized gains of $3 million on sales and maturities of preferred and fixed maturity investment securities and $9 million of other realized gains. Net realized gains for the year ended December 31, 2017 includes a gain of $9 million on the sale of an other long term investment and a gain of $2 million related to the sale of fixed assets, offset by losses of $6 million on redemptions of convertible debt, net losses on sales and impairment of available for sale investments of $1 million, and $2 million of other miscellaneous losses. The net realized losses for the year ended December 31, 2016 includes $12 million for net gains on sales of available for sale investments, a gain of $2 million related to the favorable outcome of litigation, and $1 million for other individually insignificant gains. The gains were more than offset by losses of $13 million on impairments of available for sale investments, $3 million for impairment of an equity method investment, $4 million for losses on disposal of fixed assets, a $1 million loss related to the impairments of other intangible assets, and $2 million in realized losses related to other individually insignificant items.</w:t>
      </w:r>
    </w:p>
    <w:p>
      <w:pPr>
        <w:spacing w:after="0" w:line="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our Consolidated Financial Statements included in Item 8 of Part II of this Annual Report for a breakout of our consolidated interest and investment income and realized gains and losses.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and agent commissions, which are incurred as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operating expenses is discussed in further detail at the segment level below.</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Income tax expense was $120 million, $235 million, and $347 million for the years ended December 31, 2018, 2017, and 2016, respectively. Income tax expense as a percentage of earnings from continuing operations before income taxes for the years ended December 31, 2018, 2017, and 2016 was 16.0%, 27.2%, and 36.3%, respectively. Income tax expense as a percentage of earnings before income taxes fluctuates depending on our estimate of ultimate income tax liability and changes in the characteristics of net earnings, such as the weighting of operating income versus investment income. 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The decrease in the effective tax rate in the 2018 period from the comparative 2017 period is primarily attributable to the decreased federal tax rate associated with the passage of the Tax Reform Act and a $45 million decrease in tax expense in 2018 regarding the timing of payments for, and tax rate applicable to, our tax liability resulting from the decrease in our statutory premium reserves associated with the redomestication of certain of our title insurance underwriters in 2017. The decrease in the effective tax rate in 2017 from 2016 is primarily attributable to Tax Reform. See Note K.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in Item 8 of Part II of this Annual Report for a breakout of our income tax expense, deferred tax assets and liabilities, and effective tax rate.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Results of Operations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of our Title segment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2,626</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6,978</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2,214</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1,998</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5,953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(in 000's)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1,575</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revenues in 2018 decreased $51 million or 1% compared to 2017. Total revenues in 2017 increased $233 million or 3% compared to 2016. The decrease in the year ended December 31, 2018 is primarily attributable to a decrease in agent remittances and non-cash valuation losses on our equity and preferred investment holdings, partially offset by an increase in interest income and direct title premiums. The increase in the year ended December 31, 2017 is primarily attributable to increases in both our direct and agency title insurance premiums and growth and acquisitions in our Corporate and Other segment.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2,170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2,723</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4,893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Title premiums increased less than l% in the year ended December 31, 2018 as compared to the 2017 period. The increase was a result of an increase in premiums from direct operations of $51 million, or 2%, and a decrease in premiums from agency operations of $33 million, or 1%. Title premiums increased 4% in the year ended December 31, 2017 as compared to the 2016 period. The increase was the result of an increase in premiums from direct operations of $73 million, or 3%, and an increase in premiums from agency operations of $97 million, or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right="4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6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24765</wp:posOffset>
            </wp:positionV>
            <wp:extent cx="24269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525"/>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Title premiums from direct operations increased in 2018, primarily due to an increase in the average fee per file, partially offset by a decrease in closed order volumes as compared to the prior year. Closed order volumes were 1,315,000 in the year ended December 31, 2018 compared with 1,428,000 in the year ended December 31, 2017. This represented a decrease of 7.9%. The decrease in closed order volumes was primarily attributable to a decrease in refinance transactions in the year ended December 31, 2018 compared to the 2017 period.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average fee per file in our direct operations was $2,585 and $2,346 in the years ended December 31, 2018 and 2017, respectively. The increase in average fee per file year over year reflects an increase in the average fee per file in both commercial and residential transactions. The increase in average fee per file from residential transactions is driven by an increase in purchase transactions and decrease in refinance transactions. The residential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premiums from agency operations decreased $33 million, or 1%, in the year ended December 31, 2018 as compared to the 2017 period and increased $97 million, or 4%, in the year ended December 31, 2017 as compared to the 2016 period. The decrease in the 2018 period as compared to the 2017 period reflects a decrease of $51 million related to adjustments to our accrued agent premiums receivable, partially offset by an increase in remittances.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Escrow, title-related and other fees increased by $8 million, or less than 1%, in the year ended December 31, 2018 from the 2017 period. Escrow fees, which are more directly related to our direct operations, increased $6 million, or 1%, in the year ended December 31, 2018 compared to the 2017 period. The increase is primarily driven by the related increase in direct title premiums. Other fees in the Title segment, excluding escrow fees, increased $2 million, or less than 1%, in the year ended December 31, 2018 compared to the 2017 period. The change in both escrow fees and other fees is directionally consistent with the change in title premiums from direct operations. Escrow, title related and other fees increased by $53 million, or 2%, in the year ended December 31, 2017 from the 2016 period. Escrow fees increased $21 million, or 3%, in the year ended December 31, 2017 compared to the 2016 period. The increase is primarily driven by the related increase in direct title premiums. Other fees in the Title segment, excluding escrow fees, increased $30 million, or 2%, in the year ended December 31, 2017 compared to the 2016 period. The increase in other fees was primarily attributable to revenue growth associated with our home warranty businesses and increased servicing revenue at ServiceLink, offset by decreases at certain other ServiceLink subsidiaries.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increased $39 million in the year ended December 31, 2018 compared to the 2017 period and increased $4 million in the year ended December 31, 2017 compared to the 2016 period. The increase was primarily attributable to increased income in our tax-deferred property exchange business.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The $64 million, or 3% increase in the year ended December 31, 2018 compared to the 2017 period is directionally consistent with and primarily attributable to the increase in revenue and increased mix of purchase to refinance transactions. The $152 million, or 7%, increase in the year ended December 31, 2017 compared to the 2016 period is directionally consistent with and primarily attributable to the increase in revenue. Personnel costs as a percentage of total revenues from direct title premiums and escrow, title-related and other fees was 55% and 54% for years ended December 31, 2018 and 2017, respectively. Average employee count in the Title segment was 23,165 and 23,245 in the years ended December 31, 2018 and 2017,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$17 million, or 1%, in the year ended December 31, 2018 from the corresponding 2017 period. Other operating expenses as a percentage of total revenue excluding agency premiums, interest and investment income, and realized gains and losses remained flat in the year ended December 31, 2018 from the corresponding 2017 period. Other operating expenses decreased $32 million, or 2% in the year ended December 31, 2017 from the corresponding 2016 period. The decrease in the 2017 period from the 2016 period is primarily attributable to the realignment of Property Insight in January 2017 and a reduction in operating expenses at certain ServiceLink subsidiaries. Other operating expenses as a percentage of total revenue excluding agency premiums, interest and investment income, and realized gains and losses was 32% in the years ended December 31, 2018 and 2017, and 34% in the year ended December 31, 2016.</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title premiums and agent commissions: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margin from agency title insurance premiums retained as a percentage of total agency premiums in the year ended December 31, 2018 remained relatively consistent with the 2017 and 2016 periods.</w:t>
      </w:r>
    </w:p>
    <w:p>
      <w:pPr>
        <w:spacing w:after="0" w:line="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October 1, 2017, we revised our loss provision rate to 4.5% from 5%. Effective October 1, 2016, we revised our loss provision rate to 5.0% from 5.5%. All revisions were attributable to favorable development on more recent policy year claims. No revisions were made to our loss provision in the year ended December 31, 2018.</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claim loss provision for title insurance was $221 million, $238 million, and $157 million for the years ended December 31, 2018, 2017, and 2016, respectively. These amounts reflected average claim loss provision rates of 4.5% for 2018, 4.9% for 2017, and 3.3% for 2016. The decrease in the provision in 2016 reflects the release of excess title reserves of $97 million as well as the reduction in the loss provision rate from 5.5% to 5.0% in the fourth quarter of 2016. The release of excess reserves and change in provision rate was due to analysis of historical ultimate loss ratios, the reduced volatility of development of those historical ultimate loss ratios and lower policy year loss ratios in recent years. We will continue to monitor and evaluate our loss provision level, actual claims paid, and the loss reserve position each quarter.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of our Corporate and Other segment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7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Total revenue in our Corporate and Other segment decreased $18 million, or 4%, in the year ended December 31, 2018 from the corresponding period in 2017 and increased $173 million, or 62%, in the year ended December 31, 2017 from the corresponding period in 2016. The decrease in 2018 is primarily attributable to a decrease of $74 million associated with lower real estate brokerage revenue resulting from the Pacific Union Sale, partially offset by growth and acquisitions in our real estate technology businesses resulting in increased revenue of $31 million in the 2018 period and increased interest income on corporate cash holdings of $7 million in the 2018 period. The increase in 2017 is primarily driven by revenue growth of $111 million at our real estate brokerage companies and $53 million at our real estate technology companies, which included $9 million total from the acquisitions of Real Geeks and SkySlope acquired in September and October 2017, respectively. Revenue in 2017 also includes $15 million related to recording one additional month of results of operations for our real estate brokerages in order to catch up their results which were previously recorded on a one month lag.</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increased $14 million, or 15%, in the year ended December 31, 2018 from the corresponding period in 2017 and increased $33 million, or 54%, in the year ended December 31, 2017 compared to the corresponding 2016 period. The increase in both periods is primarily driven by acquisitions. The increase in the 2018 period was partially offset by a decrease of $8 million related to the Pacific Union Sale.</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$3 million, or 1% in the year ended December 31, 2018 from the 2017 period and increased $165 million, or 78%, in the year ended December 31, 2017 from the 2016 period. The increase in the 2018 period from 2017 is primarily attributable to an increase of $13 million attributable to growth in our real estate technology subsidiaries in the 2018 period and the inclusion of $33 million of expense eliminations (reduction to expense) in the 2017 period related to elimination of expense with Black Knight, partially offset by decreased expense in the 2018 period resulting from the Pacific Union Sale. The increase in the 2017 period from 2016 is primarily attributable to current period acquisitions and increased operating expense associated with higher revenue. Other operating expenses in 2017 also includes $14 million related to recording one additional month results of operations for our real estate brokerages in order to catch up their results which were previously recorded on a one month lag.</w:t>
      </w:r>
    </w:p>
    <w:p>
      <w:pPr>
        <w:spacing w:after="0" w:line="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decreased $5 million, or 10%, in the year ended December 31, 2018 from the corresponding period in 2017 and decreased $16 million, or 25%, in the year ended December 31, 2017 compared to the corresponding 2016 period. The decrease in the 2018 period is primarily attributable to the final settlement of our convertible Notes in August 2018 and 6.6% Senior Notes in the 2017 period, partially offset by interest associated with our 4.50% Notes issued in August 2018. The decrease in the 2017 period is primarily attributable to decreased interest on our convertible Notes resulting from redemptions and the payoff of our 6.6% Senior Notes in the 2017 period. See Note J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 of our outstanding 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FNFV Split-off and BK Distribution, the results of operations of FNFV and Black Knight are included in discontinued operations. Earnings from discontinued operations, net of tax, were $155 million, and $70 million in the years ended December 31, 2017 and 2016, respectively. The increase in the 2017 period from the corresponding period in 2016 is primarily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attributable to FNFV's realized gain on the sale of a subsidiary in the 2017 period. Refer to Note G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our Consolidated Financial Statements in Item 8 of Part II of this Annual Report for further information, including a breakout of the results of operations of both FNFV and Black Knight.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on our debt, including any premiums thereon, if any; capital expenditures; business acquisitions; stock repurchases and dividends on our common stock. We paid dividends of $1.20 per share during 2018, or approximately $328 million. On February 13, 2019, our Board of Directors formally declared a $0.31 per share cash dividend that is payable on March 29, 2019 to FNF shareholders of record as of March 15, 2019.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4"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22"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2018, $1,518 million of our net assets were restricted from dividend payments without prior approval from the relevant departments of insurance. During 2019, our title insurance subsidiaries can pay or make distributions to us of approximately $512 million. Our underwritten title companies and non-title insurance subsidiaries collect revenue and pay operating expenses. However, they are not regulated to the same extent as our insurance subsidiaries.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flow from FNF's operations is expected to be used for general corporate purposes including to reinvest in operations, repay debt, pay dividends, repurchase stock, other strategic initiatives or conserving cash.</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years ended December 31, 2018, 2017, and 2016 were $943 million, $737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$1,162 million, respectively, inclusive of discontinued operations. Operating cash flows from discontinued operations for the years ended December 31, 2017 and 2016 were $106 million and $407 million, respectively. The increase in cash provided by operations of $206 million in the 2018 period from the 2017 period is primarily attributable to lower realized gains on sales of investments and assets, which are included in earnings but relate to investing activities, and a $128 million decrease in payments for income taxes by continuing operations in the 2018 period, partially offset by the inclusion of cash flows from discontinued operations in the 2017 period. The decrease in cash provided by operations of $425 million in the 2017 period from the 2016 period is primarily attributable to increased cash payments for taxes of $161 million and increased realized gains on sales of investments and assets which are included in earnings of $256 million, but which related to investing activities, in the 2017 period.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(used in) provided by investing activities for the years ended December 31, 2018, 2017, and 2016 were $(354)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 million and $(191) million, respectively, inclusive of discontinued operations. Cash used in investing activities from discontinued operations for the years ended December 31, 2017 and 2016 were $57 million, and $163 million, respectively. The decrease in cash provided by (increase in cash used in) investing activities of $433 million in the 2018 period from the 2017 period is primarily attributable to $681 million increase in net outflows from purchases of investments and additional investments in unconsolidated investees, net of sales of investments and distributions of and from equity and fixed income investments, partially offset by a $160 million decrease in cash used in acquisitions, net of disposals, and a decrease in capital expenditures in the 2018 period. The decrease in cash used in investing activities of $270 million in the 2017 period from the 2016 period is primarily attributable to the $325 million in proceeds from the sale of a subsidiary by FNFV prior to the FNFV Split-Off, lower cash paid for acquisitions of $75 million and decreased capital expenditures of $141 million, offset by a $380 million decrease in net inflows from the sales and distributions of and from equity and fixed income investments, net of purchases and additional investments in unconsolidated investees.</w:t>
      </w:r>
    </w:p>
    <w:p>
      <w:pPr>
        <w:spacing w:after="0" w:line="132" w:lineRule="exact"/>
        <w:rPr>
          <w:sz w:val="20"/>
          <w:szCs w:val="20"/>
          <w:color w:val="auto"/>
        </w:rPr>
      </w:pPr>
    </w:p>
    <w:p>
      <w:pPr>
        <w:jc w:val="both"/>
        <w:ind w:firstLine="36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$83 million, $149 million and $290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2018, 2017, and 2016, respectively. The 2018 period primarily consists of capital expenditures in our Title segment and the decrease from the 2017 period is primarily attributable to discontinued operations. The 2017 period consists of capital expenditures of $74 million related to our continuing operations, primarily our Title segment, and $75 million related to discontinued operations. The decrease in the 2017 period from the 2016 period is primarily attributable to the purchase of our corporate headquarters for $71 million in the second quarter of 2016.</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used in financing activities for the years ended December 31, 2018, 2017, and 2016 were $442 million, $1,029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$428 million, respectively, inclusive of discontinued operations. The decrease in cash used in financing activities of $587 million in the 2018 period from the 2017 period is primarily attributable to a $458 million decrease in net debt service payments, net of borrowings, in the 2018 period, $109 million in cash transferred in the BK Distribution and FNFV Split-off in the 2017 period, repurchases of BKFS stock by Black Knight of $47 million in the 2017 period, and a $22 million decrease in change in secured trust deposits, partially offset by an increase in cash dividends paid of $50 million in the 2018 period. The increase in cash used in financing activities of $601 million in the 2017 period from the 2016 period is primarily attributable to increased net debt service activity of $143 million, cash transferred in the FNFV Split-off and BK Distribution of $109 million, an increase in dividends paid of $39 million, payment of premiums to repurchase convertible Notes of $317 million, repurchases of BKFS stock by Black Knight of $47 million in the 2017 period prior to the BK Distribution, and a decrease in the net change in secured trust deposits of $190 million, offset by a reduction in spending on treasury stock repurchases of $253 million.</w:t>
      </w:r>
    </w:p>
    <w:p>
      <w:pPr>
        <w:spacing w:after="0" w:line="132" w:lineRule="exact"/>
        <w:rPr>
          <w:sz w:val="20"/>
          <w:szCs w:val="20"/>
          <w:color w:val="auto"/>
        </w:rPr>
      </w:pPr>
    </w:p>
    <w:p>
      <w:pPr>
        <w:jc w:val="both"/>
        <w:ind w:firstLine="36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For a description of our financing arrangements see Note J</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to the Consolidated Financial Statements included in Item 8 of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of this Annual Report, which is incorporated by reference into this Item 7 of Part II.</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 term contractual obligations generally include our loss reserves, our credit agreements and other debt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 payments on certain of our premises and equipment.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our required annual payments relating to these contractual obligations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principal repayment</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claim loss estimated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1,488</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fixed rate notes payable</w:t>
            </w: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422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3,270</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we had title insurance reserves of $1,488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68"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mortgage interest rates, which will affect the number of real estate and refinancing transactions and, therefore, the rate at which title insurance claims will emerge;</w:t>
      </w: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environment whereby court decisions and reinterpretations of title insurance policy language to broaden coverage could increase total obligations and influence claim payout patterns;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cost trends whereby increases or decreases in inflationary factors (including the value of real estate) will influence the ultimate amount of title insurance loss payments.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5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sponsor certain frozen pension and other post-retirement benefit plans. See Note O.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information.</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Stock Transactions. </w:t>
      </w:r>
      <w:r>
        <w:rPr>
          <w:rFonts w:ascii="Times New Roman" w:cs="Times New Roman" w:eastAsia="Times New Roman" w:hAnsi="Times New Roman"/>
          <w:sz w:val="18"/>
          <w:szCs w:val="18"/>
          <w:color w:val="auto"/>
        </w:rPr>
        <w:t>On July 17, 2018, our Board of Directors approved a new three-year stock repurchase program effective August 1,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2018, we repurchased a total of 660,000 FNF common shares for $21 million or an average of $32.33 per share. Subsequent to December 31, 2018 and through market close on February 14, 2019, we repurchased a total of 60,000 shares for $2 million, or an average of $31.83 per share under this program. Since the original commencement of the 2018 Repurchase Program, we repurchased a total of 720,000 FNF common shares for $23 million, or an average of $32.29 per share.</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will be subject to such volatility.</w:t>
      </w:r>
    </w:p>
    <w:p>
      <w:pPr>
        <w:spacing w:after="0" w:line="6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do not engage in off-balance sheet activities other than our escrow operations. In conducting our operations,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$13.5 billion and $15.4 billion at December 31, 2018 and 2017, respectively. As a result of holding these customers’ assets in escrow, we have ongoing programs for realizing economic benefits during the year through favorable borrowing and vendor arrangements with various banks.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recent accounting pronouncements, see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to our Consolidated Financial Statements included in Item 8 of Part II of this Annual Report.</w:t>
      </w:r>
    </w:p>
    <w:p>
      <w:pPr>
        <w:spacing w:after="0" w:line="3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9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the normal course of business, we are routinely subject to a variety of risks, as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on Form 10-K and in our other filings with the Securities and Exchange Commission. For example, we are exposed to the risk that decreased real estate activity, which depends in part on the level of interest rates, may reduce our revenues.</w:t>
      </w:r>
    </w:p>
    <w:p>
      <w:pPr>
        <w:spacing w:after="0" w:line="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regularly assess these market risks and have established policies and business practices designed to protect against the adverse effects of these exposures.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we had $836 million in long-term debt, none of which bears interest at a floating rate. Accordingly, fluctuations in market interest rates will not have a material impact on our resulting interest expense.</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2018, we held $498 million in marketable equity securities (not including our investments in preferred securities of $301 million and our investments 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unconsolidated affiliates of $137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34.4% of total liabilities at December 31, 2018) is not included in the hypothetical effects.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market risk sensitive instruments entered into for trading purposes; therefore, all of our market risk sensitive instruments were entered into for purposes other than trading. The results of the sensitivity analysis at December 31, 2018 and December 31, 2017, are as follows: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2018,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$70 million as compared with a (decrease) increase of $45 million at December 31, 2017.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a 20% increase (decrease) in market prices, with all other variables held constant, would result in an increase (decrease) in the fair value of our equity securities portfolio of $100 million, as compared with an increase (decrease) of $136 million at December 31, 2017.</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1"/>
        </w:trPr>
        <w:tc>
          <w:tcPr>
            <w:tcW w:w="10240" w:type="dxa"/>
            <w:vAlign w:val="bottom"/>
            <w:gridSpan w:val="9"/>
          </w:tcPr>
          <w:p>
            <w:pPr>
              <w:spacing w:after="0" w:line="201"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6"/>
              <w:spacing w:after="0" w:line="201"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480" w:type="dxa"/>
            <w:vAlign w:val="bottom"/>
          </w:tcPr>
          <w:p>
            <w:pPr>
              <w:spacing w:after="0"/>
              <w:rPr>
                <w:sz w:val="17"/>
                <w:szCs w:val="17"/>
                <w:color w:val="auto"/>
              </w:rPr>
            </w:pPr>
          </w:p>
        </w:tc>
      </w:tr>
      <w:tr>
        <w:trPr>
          <w:trHeight w:val="250"/>
        </w:trPr>
        <w:tc>
          <w:tcPr>
            <w:tcW w:w="86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Reports of Independent Registered Public Accounting Firms on Consolidated Financial Statements</w:t>
              </w:r>
            </w:hyperlink>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480" w:type="dxa"/>
            <w:vAlign w:val="bottom"/>
          </w:tcPr>
          <w:p>
            <w:pPr>
              <w:spacing w:after="0"/>
              <w:rPr>
                <w:sz w:val="21"/>
                <w:szCs w:val="21"/>
                <w:color w:val="auto"/>
              </w:rPr>
            </w:pPr>
          </w:p>
        </w:tc>
      </w:tr>
      <w:tr>
        <w:trPr>
          <w:trHeight w:val="250"/>
        </w:trPr>
        <w:tc>
          <w:tcPr>
            <w:tcW w:w="71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Balance Sheets as of December 31, 2018 and 2017</w:t>
              </w:r>
            </w:hyperlink>
          </w:p>
        </w:tc>
        <w:tc>
          <w:tcPr>
            <w:tcW w:w="312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Statements of Earnings for the years ended December 31, 2018, 2017, and 2016</w:t>
              </w:r>
            </w:hyperlink>
          </w:p>
        </w:tc>
        <w:tc>
          <w:tcPr>
            <w:tcW w:w="660" w:type="dxa"/>
            <w:vAlign w:val="bottom"/>
            <w:gridSpan w:val="2"/>
          </w:tcPr>
          <w:p>
            <w:pPr>
              <w:jc w:val="center"/>
              <w:ind w:left="396"/>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Consolidated Statements of Comprehensive Earnings for the years ended December 31, 2018, 2017, and 2016</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51</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Consolidated Statements of Equity for the years ended December 31, 2018, 2017, and 2016</w:t>
              </w:r>
            </w:hyperlink>
          </w:p>
        </w:tc>
        <w:tc>
          <w:tcPr>
            <w:tcW w:w="660" w:type="dxa"/>
            <w:vAlign w:val="bottom"/>
            <w:gridSpan w:val="2"/>
          </w:tcPr>
          <w:p>
            <w:pPr>
              <w:jc w:val="center"/>
              <w:ind w:left="396"/>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52</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660" w:type="dxa"/>
            <w:vAlign w:val="bottom"/>
            <w:gridSpan w:val="2"/>
          </w:tcPr>
          <w:p>
            <w:pPr>
              <w:jc w:val="center"/>
              <w:ind w:left="396"/>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54</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55</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Fidelity National Financial,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Fidelity National Financial, Inc.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2018, based on the COSO criteria.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Fidelity National Financial, Inc. and subsidiaries as of December 31, 2018, and the related consolidated statements of earnings, comprehensive earnings, equity and cash flows for the year then ended, and the related notes and financial statement schedules listed in the Index at Item 15(a)(2) and our report dated February 19, 2019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Fidelity National Financial,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Fidelity National Financial, Inc. and subsidiaries (the Company) as of December 31, 2018 and 2017, and the related consolidated statements of earnings, comprehensive earnings, equity and cash flows for each of the years in the two-year period ended December 31, 2018, and the related notes and financial statement schedule listed in the Index at Item 15(a)(2) (collectively referred to as the “consolidated financial statements”). In our opinion, the financial statements present fairly, in all material respects, the financial position of the Company at December 31, 2018 and 2017, and the consolidated results of its operations and its cash flows for each of the years in the two-year period ended December 31, 2018, in conformity with U.S. generally accepted accounting principles.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19, 2019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Accounting Standards Update (ASU) No. 2016-01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S to the consolidated financial statements, the Company changed its method of accounting for equity investments with readily determinable fair values in 2018 due to the adoption of ASU 2016-01, Recognition and Measurement of Financial Assets and Financial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Earnings, Comprehensive Earnings, Equity, and Cash Flows of Fidelity National Financial, Inc. and subsidiaries for the year ended December 31, 2016 (collectively, the Consolidated Financial Statements). In connection with our audit of the Consolidated Financial Statements, we also have audited the Financial Statement Schedule listed in the Index at Item 15. These Consolidated Financial Statements and the Financial Statement Schedule are the responsibility of the Company’s management. Our responsibility is to express an opinion on these Consolidated Financial Statements and the Financial Statement Schedule based on our audit.</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results of operations and cash flows of Fidelity National Financial, Inc. and subsidiaries for the year ended December 31, 2016, in conformity with U.S. generally accepted accounting principles. Also, in our opinion, the related Financial Statement Schedule, when considered in relation to the basic Consolidated Financial Statements taken as a whole, presents fairly, in all material respect,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 except for Notes A and 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to which are February 23, 2018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Note S, as to which is as of May 30, 2018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Fixed maturities available for sale, at fair value, at December 31, 2018 and 2017, includes pledged fixed maturities of $418 and $364, respectively,</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1,998</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1,816</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related to secured trust deposits</w:t>
            </w:r>
          </w:p>
        </w:tc>
        <w:tc>
          <w:tcPr>
            <w:tcW w:w="24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securities, at fair value</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53"/>
        </w:trPr>
        <w:tc>
          <w:tcPr>
            <w:tcW w:w="88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Short-term investments, includes pledged short term investments of $8 and $3 at December 31, 2018 and 2017, respectively, related to secured trust</w:t>
            </w:r>
          </w:p>
        </w:tc>
        <w:tc>
          <w:tcPr>
            <w:tcW w:w="240" w:type="dxa"/>
            <w:vAlign w:val="bottom"/>
          </w:tcPr>
          <w:p>
            <w:pPr>
              <w:spacing w:after="0"/>
              <w:rPr>
                <w:sz w:val="13"/>
                <w:szCs w:val="13"/>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93"/>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3,371</w:t>
            </w:r>
          </w:p>
        </w:tc>
        <w:tc>
          <w:tcPr>
            <w:tcW w:w="0" w:type="dxa"/>
            <w:vAlign w:val="bottom"/>
          </w:tcPr>
          <w:p>
            <w:pPr>
              <w:spacing w:after="0"/>
              <w:rPr>
                <w:sz w:val="1"/>
                <w:szCs w:val="1"/>
                <w:color w:val="auto"/>
              </w:rPr>
            </w:pPr>
          </w:p>
        </w:tc>
      </w:tr>
      <w:tr>
        <w:trPr>
          <w:trHeight w:val="193"/>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December 31, 2018 and 2017, includes pledged cash of $412 and $475,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73"/>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and notes receivables, net of allowance of $19 and $18 at December 31, 2018 and 2017, respectively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plants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9,301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9,151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 for title claim losses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 trust deposits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4,329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4,340</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Redeemable non-controlling interest by 21% minority holder of ServiceLink Holdings, LLC</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FNF common stock, $0.0001 par value; authorized 487,000,000 shares as of December 31, 2018 and 2017; outstanding of 275,373,834 and</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274,431,737 as of December 31, 2018 and 2017, respectively; and issued of 289,601,523 and 287,718,304 as of December 31, 2018 and 2017,</w:t>
            </w: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$0.0001 par value; authorized, 50,000,000 shares; issued and outstanding, none</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4,587</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earnings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Treasury stock, 14,227,689 shares and 13,286,567 shares as of December 31, 2018 and 2017, respectively, at cost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4,467</w:t>
            </w:r>
          </w:p>
        </w:tc>
        <w:tc>
          <w:tcPr>
            <w:tcW w:w="0" w:type="dxa"/>
            <w:vAlign w:val="bottom"/>
          </w:tcPr>
          <w:p>
            <w:pPr>
              <w:spacing w:after="0"/>
              <w:rPr>
                <w:sz w:val="1"/>
                <w:szCs w:val="1"/>
                <w:color w:val="auto"/>
              </w:rPr>
            </w:pPr>
          </w:p>
        </w:tc>
      </w:tr>
      <w:tr>
        <w:trPr>
          <w:trHeight w:val="242"/>
        </w:trPr>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9,301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9,151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780" w:type="dxa"/>
            <w:vAlign w:val="bottom"/>
          </w:tcPr>
          <w:p>
            <w:pPr>
              <w:spacing w:after="0"/>
              <w:rPr>
                <w:sz w:val="17"/>
                <w:szCs w:val="17"/>
                <w:color w:val="auto"/>
              </w:rPr>
            </w:pPr>
          </w:p>
        </w:tc>
      </w:tr>
      <w:tr>
        <w:trPr>
          <w:trHeight w:val="27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7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2,097</w:t>
            </w:r>
          </w:p>
        </w:tc>
      </w:tr>
      <w:tr>
        <w:trPr>
          <w:trHeight w:val="27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2,626</w:t>
            </w:r>
          </w:p>
        </w:tc>
      </w:tr>
      <w:tr>
        <w:trPr>
          <w:trHeight w:val="265"/>
        </w:trPr>
        <w:tc>
          <w:tcPr>
            <w:tcW w:w="7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2,416</w:t>
            </w:r>
          </w:p>
        </w:tc>
      </w:tr>
      <w:tr>
        <w:trPr>
          <w:trHeight w:val="27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r>
      <w:tr>
        <w:trPr>
          <w:trHeight w:val="265"/>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Realized gains and losses,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55"/>
        </w:trPr>
        <w:tc>
          <w:tcPr>
            <w:tcW w:w="7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7,594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7,257</w:t>
            </w:r>
          </w:p>
        </w:tc>
      </w:tr>
      <w:tr>
        <w:trPr>
          <w:trHeight w:val="24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Personnel costs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2,275</w:t>
            </w:r>
          </w:p>
        </w:tc>
      </w:tr>
      <w:tr>
        <w:trPr>
          <w:trHeight w:val="265"/>
        </w:trPr>
        <w:tc>
          <w:tcPr>
            <w:tcW w:w="7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Agent commissions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1,998</w:t>
            </w:r>
          </w:p>
        </w:tc>
      </w:tr>
      <w:tr>
        <w:trPr>
          <w:trHeight w:val="27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1,648</w:t>
            </w:r>
          </w:p>
        </w:tc>
      </w:tr>
      <w:tr>
        <w:trPr>
          <w:trHeight w:val="265"/>
        </w:trPr>
        <w:tc>
          <w:tcPr>
            <w:tcW w:w="7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r>
      <w:tr>
        <w:trPr>
          <w:trHeight w:val="27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r>
      <w:tr>
        <w:trPr>
          <w:trHeight w:val="265"/>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250"/>
        </w:trPr>
        <w:tc>
          <w:tcPr>
            <w:tcW w:w="7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6,844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6,302</w:t>
            </w:r>
          </w:p>
        </w:tc>
      </w:tr>
      <w:tr>
        <w:trPr>
          <w:trHeight w:val="25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from continuing operations before income taxes and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955</w:t>
            </w: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347</w:t>
            </w:r>
          </w:p>
        </w:tc>
      </w:tr>
      <w:tr>
        <w:trPr>
          <w:trHeight w:val="25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from continuing operations before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608</w:t>
            </w: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5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from discontinued operations, net of tax</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r>
      <w:tr>
        <w:trPr>
          <w:trHeight w:val="25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692</w:t>
            </w:r>
          </w:p>
        </w:tc>
      </w:tr>
      <w:tr>
        <w:trPr>
          <w:trHeight w:val="27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r>
      <w:tr>
        <w:trPr>
          <w:trHeight w:val="282"/>
        </w:trPr>
        <w:tc>
          <w:tcPr>
            <w:tcW w:w="77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650</w:t>
            </w:r>
          </w:p>
        </w:tc>
      </w:tr>
      <w:tr>
        <w:trPr>
          <w:trHeight w:val="210"/>
        </w:trPr>
        <w:tc>
          <w:tcPr>
            <w:tcW w:w="7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6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attributable to Fidelity National Financial, Inc., common shareholders: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FNF Group common shareholders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r>
      <w:tr>
        <w:trPr>
          <w:trHeight w:val="26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FNF Group common shareholders</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42"/>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FNF Group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7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 from discontinued operations attributable to FNFV Group common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7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21" w:right="25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 (continued)</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r>
      <w:tr>
        <w:trPr>
          <w:trHeight w:val="78"/>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9"/>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82"/>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 attributable to FNF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attributable to FNF Group common shareholders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0.09</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(loss) per share from discontinued operations attributable to FNFV Group common shareholders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 attributable to FNF Group common shareholders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attributable to FNF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0.10</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share from discontinued operations attributable to FNFV Group common shareholders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diluted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basic basis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diluted basis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692</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earnings, net of tax:</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(loss) gain on investments and other financial instruments, net (excluding investments in</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unconsolidated affiliates) (1)</w:t>
            </w: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gain relating to investments in unconsolidated affiliates (2)</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(loss) gain on foreign currency translation and cash flow hedging (3)</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Reclassification adjustments for change in unrealized gains and losses included in net earnings (4)</w:t>
            </w:r>
          </w:p>
        </w:tc>
        <w:tc>
          <w:tcPr>
            <w:tcW w:w="76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Minimum pension liability adjustment (5)</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1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earnings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748</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Comprehensive earnings attributable to noncontrolling interests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earnings attributable to Fidelity National Financial Inc.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707</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7"/>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Comprehensive earnings attributable to FNF Group common shareholders</w:t>
            </w:r>
          </w:p>
        </w:tc>
        <w:tc>
          <w:tcPr>
            <w:tcW w:w="7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703</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earnings attributable to FNFV Group common shareholders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7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ind w:left="980" w:right="20" w:hanging="97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$(4) million, $16 million, and $23 million for the years ended December 31, 2018, 2017 and 2016, respectively.</w:t>
      </w:r>
    </w:p>
    <w:p>
      <w:pPr>
        <w:spacing w:after="0" w:line="107"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 million, $7 million, and $6 million for the years ended December 31, 2018, 2017 and 2016, respectively.</w:t>
      </w:r>
    </w:p>
    <w:p>
      <w:pPr>
        <w:spacing w:after="0" w:line="171"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$(2) million, $4 million, and $1 million for the years ended December 31, 2018, 2017, and 2016, respectively.</w:t>
      </w:r>
    </w:p>
    <w:p>
      <w:pPr>
        <w:spacing w:after="0" w:line="107"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$2 million for the year ended December 31, 2017.</w:t>
      </w:r>
    </w:p>
    <w:p>
      <w:pPr>
        <w:spacing w:after="0" w:line="171"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less than $1 million, $3 million and $3 million for the years ended December 31, 2018, 2017, and 2016,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3"/>
                <w:szCs w:val="13"/>
                <w:b w:val="1"/>
                <w:bCs w:val="1"/>
                <w:color w:val="auto"/>
                <w:w w:val="99"/>
              </w:rPr>
              <w:t>Fidelity National Financial, Inc. Common Shareholders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FNF Common</w:t>
            </w: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FNFV Group</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720" w:type="dxa"/>
            <w:vAlign w:val="bottom"/>
            <w:gridSpan w:val="3"/>
          </w:tcPr>
          <w:p>
            <w:pPr>
              <w:jc w:val="center"/>
              <w:ind w:left="3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2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2"/>
                <w:szCs w:val="2"/>
                <w:color w:val="auto"/>
              </w:rPr>
            </w:pPr>
          </w:p>
        </w:tc>
        <w:tc>
          <w:tcPr>
            <w:tcW w:w="680" w:type="dxa"/>
            <w:vAlign w:val="bottom"/>
            <w:gridSpan w:val="2"/>
            <w:vMerge w:val="restart"/>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Retained</w:t>
            </w:r>
          </w:p>
        </w:tc>
        <w:tc>
          <w:tcPr>
            <w:tcW w:w="112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80" w:type="dxa"/>
            <w:vAlign w:val="bottom"/>
          </w:tcPr>
          <w:p>
            <w:pPr>
              <w:spacing w:after="0"/>
              <w:rPr>
                <w:sz w:val="2"/>
                <w:szCs w:val="2"/>
                <w:color w:val="auto"/>
              </w:rPr>
            </w:pPr>
          </w:p>
        </w:tc>
        <w:tc>
          <w:tcPr>
            <w:tcW w:w="58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2"/>
                <w:szCs w:val="2"/>
                <w:color w:val="auto"/>
              </w:rPr>
            </w:pPr>
          </w:p>
        </w:tc>
        <w:tc>
          <w:tcPr>
            <w:tcW w:w="780" w:type="dxa"/>
            <w:vAlign w:val="bottom"/>
            <w:vMerge w:val="restart"/>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Earnings (Loss)</w:t>
            </w: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(In millions)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2015</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6"/>
              </w:rPr>
              <w:t>$ —</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1,374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4"/>
              </w:rPr>
              <w:t>$ (346)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834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6,588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w w:val="98"/>
              </w:rPr>
              <w:t>gain (loss) on investments and other financial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instruments</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investments in unconsolidated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affiliates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foreign currency and cash flow</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hedging</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comprehensive earnings — minimum</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pension liability adjustment</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conversion settled in cash</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Acquisition of noncontrolling interest</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Subsidiary dividends paid to noncontrolling</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650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2016</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6"/>
              </w:rPr>
              <w:t>$ —</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4,848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1,784</w:t>
            </w: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1"/>
                <w:szCs w:val="21"/>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4"/>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902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6,898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investments and other financial</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instruments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investments in unconsolidated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affiliates</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foreign currency and cash flow</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hedging</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Other comprehensive earnings — minimum</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pension liability adjustment</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Reclassification adjustments for change in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gains and losses included in net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earnings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 of additional interest in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Sale of consolidated subsidiary</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conversions settled in cash</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Acquisitions of noncontrolling interests</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Black Knight repurchases of BKFS stock</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Spin-off of Black Knight</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 of FNFV to Cannae Holdings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Subsidiary dividends paid to noncontrolling</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Net earnings</w:t>
            </w: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771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2017</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6"/>
              </w:rPr>
              <w:t>$ —</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4,587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2"/>
              </w:rPr>
              <w:t>111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4"/>
              </w:rPr>
              <w:t>$ (468)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FNF 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Redeemable Non-</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8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60" w:type="dxa"/>
            <w:vAlign w:val="bottom"/>
          </w:tcPr>
          <w:p>
            <w:pPr>
              <w:spacing w:after="0"/>
              <w:rPr>
                <w:sz w:val="9"/>
                <w:szCs w:val="9"/>
                <w:color w:val="auto"/>
              </w:rPr>
            </w:pPr>
          </w:p>
        </w:tc>
        <w:tc>
          <w:tcPr>
            <w:tcW w:w="86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Earnings (Loss)</w:t>
            </w: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2017</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 (468)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44"/>
        </w:trPr>
        <w:tc>
          <w:tcPr>
            <w:tcW w:w="29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w w:val="98"/>
              </w:rPr>
              <w:t>Adjustment for cumulative effect for adoption of ASU</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2016-01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 and other financial instruments</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 gain 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 currency and cash flow hedging</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9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Other comprehensive earnings — minimum pension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liability adjustment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conversions settled in cash</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Dilution resulting from subsidiary equity issuance</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Pacific Union Sale</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equity activity</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2"/>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2018</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 (498)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sales of investments and other assets and asset impairments, net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sale of business by FNFV Group</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Pacific Union Sale</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on valuation of equity and preferred securities, net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decrease (increase) in trade receivables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(increase) in prepaid expenses and other assets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increase (decrease) in accounts payable, accrued liabilities, deferred revenue and other liabilities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65"/>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increase in reserve for title claim losses</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5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investment securities available for sale</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calls and maturities of investment securities available for sale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cost method and other investments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investment securities available for sale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other long-term investments</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(purchases of) proceeds from short-term investment activities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proceeds from Pacific Union Sale, net of cash transferred</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business by FNFV Group</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T-System Holding LLC, net of cash acquired</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Title Guaranty of Hawaii, net of cash acquired</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Commissions, Inc., net of cash acquired</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eLynx Holdings, Inc., net of cash acquired</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of Real Geeks, LLC and Sky Slope, Inc., net of cash acquired</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acquisitions/disposals of businesses, net of cash acquired/disposed</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5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4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service payments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portion of debt conversions paid in cash</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Black Knight treasury stock repurchases of BKFS stock</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transferred in the Black Knight spin-off</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transferred in the FNFV split-off</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65"/>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for shares withheld for taxes and in treasury</w:t>
            </w:r>
          </w:p>
        </w:tc>
        <w:tc>
          <w:tcPr>
            <w:tcW w:w="2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4"/>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65"/>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financing activity</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8460" w:type="dxa"/>
            <w:vAlign w:val="bottom"/>
            <w:shd w:val="clear" w:color="auto" w:fill="CCEEFF"/>
          </w:tcPr>
          <w:p>
            <w:pPr>
              <w:ind w:left="40"/>
              <w:spacing w:after="0" w:line="150"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56" w:name="page57"/>
    <w:bookmarkEnd w:id="56"/>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14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78"/>
        </w:trPr>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40"/>
        </w:trPr>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w:t>
            </w:r>
          </w:p>
        </w:tc>
      </w:tr>
      <w:tr>
        <w:trPr>
          <w:trHeight w:val="275"/>
        </w:trPr>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780</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-685165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-359410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2">
            <w:col w:w="3560" w:space="720"/>
            <w:col w:w="7100"/>
          </w:cols>
          <w:pgMar w:left="280" w:top="118"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Business and Summary of Significant Accounting Policies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on businesses comprising our reportable segments, refer to Note 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Acquisition of Stewart</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common stock, or (iii) $25.00 in cash and 0.6425 shares of FNF common stock, subject to potential adjustment (as described below) and proration to the extent the option to receive cash or the option to receive stock is oversubscribed.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FNF currently intends to fund the $1.2 billion purchase price, 50% in cash and 50% in FNF common stock, through a combination of cash on hand at FNF, the issuance of FNF common stock to Stewart stockholders, and borrowings under our revolving credit facility, if necessary. Including the assumption of $109 million of Stewart's debt, our pro forma debt to total capital ratio is expected to be no more than approximately 20% at the close of the Stewart Merger.</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would be required to pay a reverse break-up fee of $50 million to Stewart.</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2018, we received a request for additional information and documentary material, often referred to as a “Second Request,” from the United States Federal Trade Commission (the “FTC”) in connection with the FTC’s Hart-Scott-Rodino Antitrust Improvements Act of 1976, as amended (the “HSR Act”), regulatory review of the Stewart Merger.We continue to work through the regulatory process for the Stewart Merger and are currently engaged in responding to the Second Request related to the FTC's HSR Act regulatory review of the transaction. Responses to nearly all the FTC's requests for information and documentation have been submitted. From December 29, 2018 through January 25, 2019, the FTC suspended its review of the Stewart Merger and the materials related thereto due to a lapse in government funding caused by a partial shutdown of the U.S. Federal Government, potentially creating significant backlog when the FTC resumed its operations on January 28, 2019. As such, we are unable to determine the extent of any such delay in the FTC’s review.</w:t>
      </w:r>
    </w:p>
    <w:p>
      <w:pPr>
        <w:spacing w:after="0" w:line="5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1, 2018, our registration statement on Form S-4 related to the Stewart Merger was declared effective by the U.S. Securities and Exchange Commission (the "SEC").</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21, 2018, we received a “no-action letter” from the Canadian Competition Bureau (the “Bureau”), indicating that the Bureau does not intend to oppose the completion of the Stewart Merger.</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meeting of Stewart stockholders to vote on the Stewart Merger was held on September 5, 2018 and a majority of the Stewart stockholders voted to approve the Stewart Merger. More than 99% of the votes cast, representing approximately 79% of the outstanding shares of Stewart common stock as of July 10, 2018, the record date for the special meeting, were cast in favor of adopting the Merger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applications regarding acquisition of control of the Stewart domestic insurers with the states of Texas and New York. The Texas application regarding acquisition of control of Stewart Title Guaranty Company, a Texas domiciled title insurance company licensed in 48 states, is under review by the Texas Department of Insurance.</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31, 2019, the New York State Department of Financial Services (“NYDFS”) provided written notice to us of its disapproval of our application to acquire control of Stewart Title Insurance Company, a New York domiciled title insurance company that is licensed only in the State of New York. Receipt of approval from the NYDFS is a condition to closing the Stewart Merger. FNF and Stewart are evaluating the appropriate course of action in light of the NYDFS’ determination, which may include a discussion with the NYDFS to better understand its concerns and respond to the letter. Through January 31, 2019, we have received 28 Form E state regulatory approvals relating to the Stewart Merger.</w:t>
      </w:r>
    </w:p>
    <w:p>
      <w:pPr>
        <w:spacing w:after="0" w:line="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of the Stewart Merger is subject to certain closing conditions, including federal and state regulatory approvals and the satisfaction of other customary closing conditions.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24, 2018, we closed on the sale of all of our 62% equity interest in, and notes outstanding from, Pacific Union International, Inc. ("Pacific Union"), a luxury real estate broker based in California, and its subsidiaries to Urban Compass, Inc. ("Compass") for $37 million in cash and up to $21 million in potential earnout payments (the "Pacific Union Sale"). The potential earnout payments range in value from $0 to $21 million, are based on certain gross profit and earnings targets for Pacific Union and are payable in approximately 60% cash and 40% Compass stock annually over the course of the next 3 years. Compass was not a related party prior to, and is not a related party subsequent to, the Pacific Union Sale.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notes due August 2028 with stated interest of 4.50%.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for further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and preferred securities held are carried at fair value as of the balance sheet dates. Our equity and certain preferred securities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long-term investments consist of other investments and company-owned life insurance policies. Other investments are carried at fair value. See Note C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other investments. Company-owned life insurance policies are carried at cash surrender value.</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Realized gains and losses on the sale of investments are determined on the basis of the cost of the specific investments sold and are credited or charged to income on a trade date basis. Beginning January 1, 2018, unrealized gains or losses on equity and preferred securities are included in earnings. Unrealized gains or losses on fixed maturity securities (and equity and preferred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9" w:name="page60"/>
    <w:bookmarkEnd w:id="5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securities prior to January 1, 2018)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on fixed maturity securities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3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for discussion of ASU No. 2016-01 which changed the accounting for unrealized gains and losses on equity and preferred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and Notes Receivables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reported in the Consolidated Balance Sheets for trade and notes receivables approximate their fair value.</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estimates using historical information of the volume of transactions that have closed in a particular period for which premiums have not yet been reported to us from independent agents. Historically, the time lag between the closing of these transactions by our agents and the reporting of these policies, or premiums, to us has been up to 15 months, with 88% - 95% reported within three months following closing, an additional 3% - 8% reported within the next three months and the remainder within seven to fifteen months. In addition to accruing these earned but unreported agency premiums, we also accrue agent commission expense, which was 76.5%, of agent premiums earned in 2018, 76.7% of agent premiums earned in 2017, and 76.1% of agent premiums earned in 2016. The amount due from our agents relating to this accrual, i.e., the agent premium less their contractual retained commission, was approximately $44 million and $55 million at December 31, 2018 and 2017, respectively. Due to the offsetting effects of reversing prior period accruals, the impact of this accrual to our recorded Agency title insurance premiums, Agent commissions and net earnings in any given period is not considered material.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completed annual goodwill impairment analyses in the fourth quarter of each period presented using a September 30 measurement date. As a result of the analysis, $3 million of goodwill impairment related to a real estate brokerage reporting unit in our Corporate and other segment was recorded in the year ended December 31, 2018. For the years ended December 31, 2017 and 2016, we determined there were no events or circumstances which indicated that the carrying value exceeded the fair value. See Note F.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other intangible assets, not including goodwill, which consist primarily of customer relationships and contracts, 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60" w:name="page61"/>
    <w:bookmarkEnd w:id="6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recoverable. In general, customer relationships are amortized over their estimated useful lives, generally ten years, using an accelerated method which takes into consideration expected customer attrition rates. Contractual relationships are generally amortized over their contractual life. Trademarks and tradenames are generally amortized over ten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recorded $3 million, $1 million and $1 million in impairment expense to other intangible assets during the years ended December 31, 2018, 2017 and 2016, respectively. The impairment in 2018 primarily relates to an acquired customer relationship asset in our Title segment. The impairment in 2017 was for computer software at ServiceLink. The impairment in 2016 was for customer relationships and tradenames at our real estate subsidiaries in our Corporate and Other segment.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Plants</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but recorded no impairment expense related to title plants in the years ended December 31, 2018, 2017 or 2016.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Title Claim Losses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reserve for title claim losses also includes reserves for losses arising from closing and disbursement functions due to fraud or operational error.</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Trust Deposits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$822 million and $830 million at December 31, 2018 and 2017, respectively, representing customers’ assets held by us and corresponding assets including cash and investments pledged as security for those trust balances.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sectPr>
      </w:pPr>
    </w:p>
    <w:bookmarkStart w:id="61" w:name="page62"/>
    <w:bookmarkEnd w:id="6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580"/>
        <w:spacing w:after="0" w:line="344" w:lineRule="auto"/>
        <w:rPr>
          <w:sz w:val="20"/>
          <w:szCs w:val="20"/>
          <w:color w:val="auto"/>
        </w:rPr>
      </w:pPr>
      <w:r>
        <w:rPr>
          <w:rFonts w:ascii="Times New Roman" w:cs="Times New Roman" w:eastAsia="Times New Roman" w:hAnsi="Times New Roman"/>
          <w:sz w:val="18"/>
          <w:szCs w:val="18"/>
          <w:color w:val="auto"/>
        </w:rPr>
        <w:t xml:space="preserve">to the years during which temporary differences are expected to be settled and reflected in the financial statements in the period enacted. </w:t>
      </w:r>
      <w:r>
        <w:rPr>
          <w:rFonts w:ascii="Times New Roman" w:cs="Times New Roman" w:eastAsia="Times New Roman" w:hAnsi="Times New Roman"/>
          <w:sz w:val="18"/>
          <w:szCs w:val="18"/>
          <w:b w:val="1"/>
          <w:bCs w:val="1"/>
          <w:i w:val="1"/>
          <w:iCs w:val="1"/>
          <w:color w:val="auto"/>
        </w:rPr>
        <w:t>Reinsurance</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Note T.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a description of our accounting for our various revenue streams.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of each outstanding share of FNFV common stock for one share of Cannae common stock, as of November 17, 2017. As a result of the FNFV Split-Off, Cannae became a separate, publicly-traded company (NYSE: CNNE) as of November 20, 2017. All of the Company’s core title insurance, real estate, technology and mortgage related businesses, assets and liabilities currently attributed to the Company’s FNF common stock that were not held by Cannae remain with the Company. As a result of the FNFV Split-Off, the financial results of FNFV Group have been reclassified to discontinued operations for the years ended December 31, 2017 and 2016.</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29, 2017 we completed our tax-free distribution to FNF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 traded holding company, Black Knight, Inc. ("New Black Knight"). Holders of FNF common stock received approximately 0.30663 shares of New Black Knight common stock for every one share of FNF common stock held at the close of business on September 20, 2017, the record date for the BK Distribution. New Black Knight's common stock is now listed under the symbol “BKI” on the New York Stock Exchange. The BK Distribution was generally tax-free to FNF shareholders for U.S. federal income tax purposes, except to the extent of any cash received in lieu of New Black Knight's fractional shares. As a result of the BK Distribution, the financial results of Black Knight have been reclassified to discontinued operations for the years ended December 31, 2017 and 2016.</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G.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details of the results and financial position of FNFV and Black Knight.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Earnings (Loss)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7" w:right="239" w:bottom="1440" w:gutter="0" w:footer="0" w:header="0"/>
        </w:sectPr>
      </w:pPr>
    </w:p>
    <w:bookmarkStart w:id="62" w:name="page63"/>
    <w:bookmarkEnd w:id="6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balance of Other comprehensive earnings (loss) by component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Unrealized (loss)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 investments</w:t>
            </w:r>
          </w:p>
        </w:tc>
        <w:tc>
          <w:tcPr>
            <w:tcW w:w="14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gain relating to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(loss) gain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Accumulated</w:t>
            </w:r>
          </w:p>
        </w:tc>
      </w:tr>
      <w:tr>
        <w:trPr>
          <w:trHeight w:val="203"/>
        </w:trPr>
        <w:tc>
          <w:tcPr>
            <w:tcW w:w="2740" w:type="dxa"/>
            <w:vAlign w:val="bottom"/>
          </w:tcPr>
          <w:p>
            <w:pPr>
              <w:spacing w:after="0"/>
              <w:rPr>
                <w:sz w:val="17"/>
                <w:szCs w:val="17"/>
                <w:color w:val="auto"/>
              </w:rPr>
            </w:pPr>
          </w:p>
        </w:tc>
        <w:tc>
          <w:tcPr>
            <w:tcW w:w="2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other financial instruments,</w:t>
            </w:r>
          </w:p>
        </w:tc>
        <w:tc>
          <w:tcPr>
            <w:tcW w:w="14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investments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on foreign currency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Minimum pension</w:t>
            </w: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(excluding investments in</w:t>
            </w:r>
          </w:p>
        </w:tc>
        <w:tc>
          <w:tcPr>
            <w:tcW w:w="14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unconsolidated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translation and cash</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liability</w:t>
            </w: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unconsolidated affiliates)</w:t>
            </w:r>
          </w:p>
        </w:tc>
        <w:tc>
          <w:tcPr>
            <w:tcW w:w="140" w:type="dxa"/>
            <w:vAlign w:val="bottom"/>
          </w:tcPr>
          <w:p>
            <w:pPr>
              <w:spacing w:after="0"/>
              <w:rPr>
                <w:sz w:val="18"/>
                <w:szCs w:val="18"/>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affiliates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flow hedging</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 Earnings</w:t>
            </w: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December 31,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r>
      <w:tr>
        <w:trPr>
          <w:trHeight w:val="23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40" w:type="dxa"/>
            <w:vAlign w:val="bottom"/>
          </w:tcPr>
          <w:p>
            <w:pPr>
              <w:spacing w:after="0"/>
              <w:rPr>
                <w:sz w:val="20"/>
                <w:szCs w:val="20"/>
                <w:color w:val="auto"/>
              </w:rPr>
            </w:pPr>
          </w:p>
        </w:tc>
        <w:tc>
          <w:tcPr>
            <w:tcW w:w="2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Distribution of FNFV to Cannae</w:t>
            </w: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Holdings</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r>
      <w:tr>
        <w:trPr>
          <w:trHeight w:val="21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December 31, 2017</w:t>
            </w:r>
          </w:p>
        </w:tc>
        <w:tc>
          <w:tcPr>
            <w:tcW w:w="1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 for cumulative effect for</w:t>
            </w: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adoption of ASU 2016-01</w:t>
            </w:r>
          </w:p>
        </w:tc>
        <w:tc>
          <w:tcPr>
            <w:tcW w:w="14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Adoption of ASU 2018-02</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1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Subsequent to our acquisition of Lender Processing Services, Inc. ("LPS") in January 2014, we issued a 35% ownership interest in ServiceLink to funds affiliated with Thomas H. Lee Partners ("THL" or "the minority interest holder"). THL has an option to put its ownership interests of ServiceLink to us if no public offering of the corresponding business was consummated after four years from the date of FNF's purchase of LPS. The units owned by THL (the "redeemable noncontrolling interests") may be settled in cash or common stock of FNF or a combination of both at our election. As of January 2018, no public offering was made and the redeemable noncontrolling interests were no longer subject to a holding requirement. The redeemable noncontrolling interests will be settled at the current fair value at the time we receive notice of THL's put election as determined by the parties or by a third party appraisal under the terms of the Unit Purchase Agreement. As a result of a recapitalization of ServiceLink in 2015, the ownership interest by the minority interest holder was reduced from 35% to 21%. As of December 31, 2018, the redeemable noncontrolling interests have a fair value of approximately $194 million and we do not believe the exercise of their remaining put right in ServiceLink to be probable. The redeemable noncontrolling interests are recorded at their initial value of $344 million in our consolidated balance sheets and would be adjusted to fair value were such value to rise above the initial value.</w:t>
      </w:r>
    </w:p>
    <w:p>
      <w:pPr>
        <w:spacing w:after="0" w:line="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of permanent equity; and the Consolidated Statement of Earnings reflects the respective redeemable noncontrolling interests in Net earnings attributable to non-controlling interests, the effect of which is removed from the net earnings attributable to Fidelity National Financial, Inc. common shareholders.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stock, options or other instruments which provide the ability to acquire shares of our common stock that are antidilutive are excluded from the computation of diluted earnings per share. For the years ended December 31, 2018 and 2017,</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7" w:right="239" w:bottom="1440" w:gutter="0" w:footer="0" w:header="0"/>
        </w:sectPr>
      </w:pPr>
    </w:p>
    <w:bookmarkStart w:id="63" w:name="page64"/>
    <w:bookmarkEnd w:id="6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antidilutive shares were outstanding. For the year ended December 31, 2016 options to purchase two million shares of our common stock were excluded from the computation of diluted earnings per share.</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attributable to our former FNFV group common stock for the 2017 period were calculated using weighted average shares outstanding through the date of the FNFV Split-off, November 17, 2017.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Reclassifications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the 2017 and 2016 Consolidated Financial Statements to conform to classifications used in 2018. These reclassifications have not changed net earnings or total equity, as previously reported.</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G.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information on reclassifications related to disposed businesses.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4" w:name="page65"/>
    <w:bookmarkEnd w:id="6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and financial position of the entities acquired during any year are included in the Consolidated Financial Statements from and after the date of acquisition.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 Guaranty of Hawaii</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31, 2017, FNF completed its acquisition of 90% of the membership interest of Title Guaranty of Hawaii ("Title Guaranty") for $98 million. Title Guaranty was previously an unaffiliated agent and will continue to be closely aligned with Chicago Title as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The acquisition does not meet the definition of "significant" pursuant to Article 3 of Regulation S-X (§210.3-05). Further, the results of operations are not material to our historical financial statements.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paid total consideration, net of cash received, of $93 million in exchange for 90% of the equity interests of Title Guaranty. The total cash consideration paid was as follows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10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consideration paid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10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has been allocated to Title Guaranty's assets acquired and liabilities assumed based on our best estimates of their fair values as of the acquisition date. Goodwill has been recorded based on the amount that the purchase price exceeds the fair value of the net assets acquired. The goodwill recorded is expected to be deductible for tax purposes.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7" w:right="239" w:bottom="1440" w:gutter="0" w:footer="0" w:header="0"/>
        </w:sectPr>
      </w:pPr>
    </w:p>
    <w:bookmarkStart w:id="65" w:name="page66"/>
    <w:bookmarkEnd w:id="6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purchase price consideration and the fair value amounts recognized for the assets acquired and liabilities assumed as of the acquisition date (dollars in millions):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9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plant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9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interests assumed</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9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Property and equipment and Other intangible assets acquired in the Title Guaranty acquisition consist of the following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2"/>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700" w:type="dxa"/>
            <w:vAlign w:val="bottom"/>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43</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name</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Software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53</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Real Geeks and SkySlope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2017, CINC and FNF completed their acquisitions of Real Geeks, LLC ("RG") and SkySlope, Inc. ("SS"), respectively (together, the "Real Estate Technology Acquisitions"). The Real Estate Technology Acquisitions were made to supplement our Commissions, Inc. ("CINC") business. The Real Estate Technology Acquisitions do not meet the definition of "significant", individually or in the aggregate, pursuant to Article 3 of Regulation S-X (§210.3-05). Further, their historical results of operations are not material to our financial statements.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CINC and FNF paid total aggregate consideration, net of cash received, of $98 million in exchange for 100% and 67% of the equity interests of RG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 respectively. The total consideration paid was as follows (in millions):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contingent consideration payable</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cash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has been allocated to the Real Estate Technology Acquisitions' assets acquired and liabilities assumed based on our best estimates of their fair values as of the acquisition date. Goodwill has been recorded based on the amount that the purchase price exceeds the fair value of the net assets acquired. $39 million of the goodwill recorded is expected to be deductible for tax purposes.</w:t>
      </w:r>
    </w:p>
    <w:p>
      <w:pPr>
        <w:sectPr>
          <w:pgSz w:w="11900" w:h="16838" w:orient="portrait"/>
          <w:cols w:equalWidth="0" w:num="1">
            <w:col w:w="11420"/>
          </w:cols>
          <w:pgMar w:left="240" w:top="117"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7" w:right="239" w:bottom="1440" w:gutter="0" w:footer="0" w:header="0"/>
          <w:type w:val="continuous"/>
        </w:sectPr>
      </w:pPr>
    </w:p>
    <w:bookmarkStart w:id="66" w:name="page67"/>
    <w:bookmarkEnd w:id="6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purchase price consideration and the fair value amounts recognized for the assets acquired and liabilities assumed for the Real Estate Technology Acquisitions as of the acquisition date (in millions):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9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equity assumed</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the Other intangible assets acquired in the Real Estate Technology Acquisitions consist of the following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1 - 5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Non-compete agreements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Computer software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16</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7" w:name="page68"/>
    <w:bookmarkEnd w:id="6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C.</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measured at fair value on a recurring basis as of December 31, 2018 and 2017, respectively:</w:t>
      </w:r>
    </w:p>
    <w:p>
      <w:pPr>
        <w:spacing w:after="0" w:line="10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1,503</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Level 2 fair value measures for preferred and fixed-maturity securities available for sale are provided by a third-party pricing service. We utilize one firm for our preferred securities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When</w:t>
      </w:r>
    </w:p>
    <w:p>
      <w:pPr>
        <w:sectPr>
          <w:pgSz w:w="11900" w:h="16838" w:orient="portrait"/>
          <w:cols w:equalWidth="0" w:num="1">
            <w:col w:w="11420"/>
          </w:cols>
          <w:pgMar w:left="240" w:top="117"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type w:val="continuous"/>
        </w:sectPr>
      </w:pPr>
    </w:p>
    <w:bookmarkStart w:id="68" w:name="page69"/>
    <w:bookmarkEnd w:id="6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available and for certain investments, we independently compare the resulting prices to other publicly available measures of fair value and internally developed models. The pricing methodologies used by the relevant third-party pricing services are as follows:</w:t>
      </w:r>
    </w:p>
    <w:p>
      <w:pPr>
        <w:spacing w:after="0" w:line="27" w:lineRule="exact"/>
        <w:rPr>
          <w:sz w:val="20"/>
          <w:szCs w:val="20"/>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conjunction with our adoption of ASU No. 2016-01, beginning January 1, 2018, we began recording certain preferred equity investments included in other long term investments at fair value which were previously accounted for as cost method investments. See discussion of Recent Accounting Pronouncements in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for further information on the impact of the adoption of ASU No. 2016-01.</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December 31, 2018 was a range of 8.4% - 8.8% and a weighted-average of 8.6%. Based on the total fair value of our Level 3 other long-term investment as of December 31, 2018, changes in the discount rate utilized will not result in a fair value significantly different than the amount recorded.</w:t>
      </w:r>
    </w:p>
    <w:p>
      <w:pPr>
        <w:spacing w:after="0" w:line="5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values of Level 3 assets, measured on a recurring basis, for the three and twelve months ended December 31,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long-term</w:t>
            </w:r>
          </w:p>
        </w:tc>
        <w:tc>
          <w:tcPr>
            <w:tcW w:w="14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debt</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assets associated with the adoption of ASU 2016-01 (1)</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Level 2</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dividends (2)</w:t>
            </w:r>
          </w:p>
        </w:tc>
        <w:tc>
          <w:tcPr>
            <w:tcW w:w="1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fair value included in earnings (3)</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 included in other comprehensive (loss)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for further discussion.</w:t>
      </w:r>
    </w:p>
    <w:p>
      <w:pPr>
        <w:spacing w:after="0" w:line="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and investment income on the Condensed Consolidated Statements of Earnings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Realized gains and losses, net on the Condensed Consolidated Statements of Earnings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Transfers into or out of the Level 3 fair value category occur when unobservable inputs become more or less significant to the fair value measurement or upon a change in valuation technique. For the year ended December 31, 2018, transfers between</w:t>
      </w:r>
    </w:p>
    <w:p>
      <w:pPr>
        <w:sectPr>
          <w:pgSz w:w="11900" w:h="16838" w:orient="portrait"/>
          <w:cols w:equalWidth="0" w:num="1">
            <w:col w:w="11420"/>
          </w:cols>
          <w:pgMar w:left="240" w:top="117"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type w:val="continuous"/>
        </w:sectPr>
      </w:pPr>
    </w:p>
    <w:bookmarkStart w:id="69" w:name="page70"/>
    <w:bookmarkEnd w:id="6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2017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or liabilities measured at fair value using Level 1 inputs to Level 2 in the years ended December 31, 2018 or 2017.</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unrealized gain (loss) on investments and other financial instruments, net (excluding investments in unconsolidated affiliates) on our Condensed Consolidated Statements of Comprehensive Income relate to fixed maturity securities which are considered Level 2 fair value measures.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short-term investments, accounts receivable and notes receivable approximate fair value due to their short-term nature. The fair value of our notes payable is included in Note J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Additional information regarding the fair value of our investment portfolio is included in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D.</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amounts and fair values of our available for sale securities at December 31, 2018 and 2017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basis of fixed maturity securities available for sale includes an adjustment for amortized premium or discount since the date of purchase.</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 conjunction with our adoption of ASU No. 2016-01, beginning January 1, 2018, unrealized gains and losses on equity and preferred securities are included in Realized gains and losses, net on the Condensed Consolidated Statement of Earnings. Accordingly, they are excluded from the table as of December 31, 2018 above. Refer to Note S.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for further discussion of the effects of the adoption of ASU 2016-01.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7" w:right="239" w:bottom="1440" w:gutter="0" w:footer="0" w:header="0"/>
        </w:sectPr>
      </w:pPr>
    </w:p>
    <w:bookmarkStart w:id="70" w:name="page71"/>
    <w:bookmarkEnd w:id="7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unrealized gains and (losses) on fixed maturities for the years ended December 31, 2018, 2017, and 2016 was an increase (decrease) of $(21) million, (1) million, and $13 million, respectively.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Maturity</w:t>
            </w: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10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20" w:type="dxa"/>
            <w:vAlign w:val="bottom"/>
            <w:gridSpan w:val="2"/>
          </w:tcPr>
          <w:p>
            <w:pP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tcPr>
          <w:p>
            <w:pPr>
              <w:jc w:val="right"/>
              <w:ind w:right="294"/>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Fixed maturity securities valued at approximately $122 million and $128 million were on deposit with various governmental authorities at December 31, 2018 and 2017, respectively, as required by law.</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2018 and 2017 are as follows (in millions):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unrealized losses for the corporate debt securities and U.S. government bonds were primarily caused by fluctuations in interest rates. The unrealized losses for the foreign government bonds were primarily caused by foreign exchange fluctuations. We consider the unrealized losses related to these securities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2018. It is reasonably possible that declines in fair value below cost not considered other-than-temporary in the current period could be considered to be other-than-temporary in a future period and earnings would be reduced to the extent of the impairment.</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7" w:right="239" w:bottom="1440" w:gutter="0" w:footer="0" w:header="0"/>
          <w:type w:val="continuous"/>
        </w:sectPr>
      </w:pPr>
    </w:p>
    <w:bookmarkStart w:id="71" w:name="page72"/>
    <w:bookmarkEnd w:id="7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2018, 2017 and 2016 we incurred impairment charges relating to investments that were determined to be other-than-temporarily impaired, which resulted in impairment charges of $3 million, $1 million and $19 million, respectively. The impairment charges in 2018 and 2017 related to fixed maturity securities of investees entering Chapter 11 bankruptcy which have exhibited a decreasing fair market value and from which we are uncertain of our ability to recover our initial investment. The impairment charges in 2016 related to fixed maturity securities of $13 million, an investment in an unconsolidated affiliate of $3 million, and an other long term investment of $3 million. In each case, we determined the credit risk of the holdings was high and the ability to recover our investment was unlikely.</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2017, we held no investment securities for which other-than-temporary impairments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consolidated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 w:right="239" w:bottom="1440" w:gutter="0" w:footer="0" w:header="0"/>
        </w:sectPr>
      </w:pPr>
    </w:p>
    <w:bookmarkStart w:id="72" w:name="page73"/>
    <w:bookmarkEnd w:id="7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realized gains and losses on investments and other assets and proceeds from the sale or maturity of investments and other assets for the years ended December 31, 2018, 2017, and 2016,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Valuation loss on equity securities (1)</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loss on preferred securities (1)</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Pacific Union Sale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realized gains and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47"/>
        </w:trPr>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(1) See discussion of adoption of ASU 2016-01 in Note S. </w:t>
            </w:r>
            <w:r>
              <w:rPr>
                <w:rFonts w:ascii="Times New Roman" w:cs="Times New Roman" w:eastAsia="Times New Roman" w:hAnsi="Times New Roman"/>
                <w:sz w:val="14"/>
                <w:szCs w:val="14"/>
                <w:i w:val="1"/>
                <w:iCs w:val="1"/>
                <w:color w:val="auto"/>
              </w:rPr>
              <w:t>Recent Accounting Pronouncements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on debt conversions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realized gains and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 w:right="239" w:bottom="1440" w:gutter="0" w:footer="0" w:header="0"/>
          <w:type w:val="continuous"/>
        </w:sectPr>
      </w:pPr>
    </w:p>
    <w:bookmarkStart w:id="73" w:name="page74"/>
    <w:bookmarkEnd w:id="7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and investment income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9"/>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Tax-deferred property exchange income</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and preferred stock available for sale</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7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E.</w:t>
            </w:r>
          </w:p>
        </w:tc>
        <w:tc>
          <w:tcPr>
            <w:tcW w:w="710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20" w:type="dxa"/>
            <w:vAlign w:val="bottom"/>
            <w:vMerge w:val="continue"/>
          </w:tcPr>
          <w:p>
            <w:pPr>
              <w:spacing w:after="0"/>
              <w:rPr>
                <w:sz w:val="24"/>
                <w:szCs w:val="24"/>
                <w:color w:val="auto"/>
              </w:rPr>
            </w:pPr>
          </w:p>
        </w:tc>
        <w:tc>
          <w:tcPr>
            <w:tcW w:w="7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Data processing equipment</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7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7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7"/>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$46 million, $48 million, and $45 million for the years ended December 31, 2018, 2017, and 2016,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F.</w:t>
            </w:r>
          </w:p>
        </w:tc>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 (1)</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Pacific Union Sale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w:t>
            </w:r>
          </w:p>
        </w:tc>
        <w:tc>
          <w:tcPr>
            <w:tcW w:w="7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 See Note B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significant goodwill acquired.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7" w:right="239" w:bottom="1440" w:gutter="0" w:footer="0" w:header="0"/>
          <w:type w:val="continuous"/>
        </w:sectPr>
      </w:pPr>
    </w:p>
    <w:bookmarkStart w:id="74" w:name="page75"/>
    <w:bookmarkEnd w:id="7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G.</w:t>
      </w:r>
      <w:r>
        <w:rPr>
          <w:sz w:val="20"/>
          <w:szCs w:val="20"/>
          <w:color w:val="auto"/>
        </w:rPr>
        <w:tab/>
      </w:r>
      <w:r>
        <w:rPr>
          <w:rFonts w:ascii="Times New Roman" w:cs="Times New Roman" w:eastAsia="Times New Roman" w:hAnsi="Times New Roman"/>
          <w:sz w:val="18"/>
          <w:szCs w:val="18"/>
          <w:b w:val="1"/>
          <w:bCs w:val="1"/>
          <w:color w:val="auto"/>
        </w:rPr>
        <w:t>Discontinued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Knight</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BK Distribution, the financial results of Black Knight have been reclassified to discontinued operations for all periods presented in our Consolidated Statements of Earnings. We retained no ownership in Black Knight.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Subsequent to the BK Distribution, Black Knight is considered a related party to FNF. The cash inflows and outflows from and to Black Knight as well as revenues and expenses included in continuing operations subsequent to the BK Distribution which were previously eliminated in our consolidated financial statements as intra-entity transactions, are not considered material to our results of operations.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operations of Black Knight included in discontinued operations is shown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400" w:type="dxa"/>
            <w:vAlign w:val="bottom"/>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3"/>
        </w:trPr>
        <w:tc>
          <w:tcPr>
            <w:tcW w:w="9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7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963</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0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963</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780" w:type="dxa"/>
            <w:vAlign w:val="bottom"/>
          </w:tcPr>
          <w:p>
            <w:pPr>
              <w:spacing w:after="0"/>
              <w:rPr>
                <w:sz w:val="20"/>
                <w:szCs w:val="20"/>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780" w:type="dxa"/>
            <w:vAlign w:val="bottom"/>
          </w:tcPr>
          <w:p>
            <w:pPr>
              <w:spacing w:after="0"/>
              <w:rPr>
                <w:sz w:val="20"/>
                <w:szCs w:val="20"/>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90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853</w:t>
            </w:r>
          </w:p>
        </w:tc>
      </w:tr>
      <w:tr>
        <w:trPr>
          <w:trHeight w:val="21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before income taxes</w:t>
            </w: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1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from discontinued operations</w:t>
            </w: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57"/>
        </w:trPr>
        <w:tc>
          <w:tcPr>
            <w:tcW w:w="90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 from discontinued operations data:</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operations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bl>
    <w:p>
      <w:pPr>
        <w:spacing w:after="0" w:line="200" w:lineRule="exact"/>
        <w:rPr>
          <w:sz w:val="20"/>
          <w:szCs w:val="20"/>
          <w:color w:val="auto"/>
        </w:rPr>
      </w:pP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0" w:gutter="0" w:footer="0" w:header="0"/>
          <w:type w:val="continuous"/>
        </w:sectPr>
      </w:pPr>
    </w:p>
    <w:bookmarkStart w:id="75" w:name="page76"/>
    <w:bookmarkEnd w:id="7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FNFV</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FNFV Split-Off, the financial results of FNFV Group have been reclassified to discontinued operations for all periods presented in our Consolidated Statements of Earnings. Subsequent to the FNFV Split-Off, Cannae is considered a related party to FNF. The cash inflows and outflows from and to Cannae as well as revenues and expenses included in continuing operations subsequent to November 17, 2017, the date of the FNFV Split-Off, which were previously eliminated in our consolidated financial statements as intra-entity transactions, are not material to our results of operations for the year ended December 31, 2017.</w:t>
      </w:r>
    </w:p>
    <w:p>
      <w:pPr>
        <w:spacing w:after="0" w:line="1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conjunction with the FNFV Split-Off, FNTIC, Chicago Title, and Commonwealth Title contributed an aggregate of $100 million to Cannae in exchange for 5,706,134 shares of Cannae common stock. As of December 31, 2018, we own approximately 7.9% of Cannae's outstanding common equity. In addition, we issued to Cannae a revolver note (the "Cannae Revolver") in the aggregate principal amount of up to $100 million, which accrues interest at LIBOR plus 450 basis points and matures on the five-year anniversary of the date of the revolver note. The maturity date is automatically extended for additional five-year terms unless notice of non-renewal is otherwise provided by either FNF or Cannae, in their sole discretion. As of December 31, 2018, there is no outstanding balance under the Cannae Revolver. On February 7, 2019, Cannae borrowed $100 million under the Cannae Revolver.</w:t>
      </w:r>
    </w:p>
    <w:p>
      <w:pPr>
        <w:spacing w:after="0" w:line="1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FNFV Split-Off, the following material agreements were entered into by and between the Company and Cannae (the “Split-Off Agreements”):</w:t>
      </w:r>
    </w:p>
    <w:p>
      <w:pPr>
        <w:spacing w:after="0" w:line="162" w:lineRule="exact"/>
        <w:rPr>
          <w:sz w:val="20"/>
          <w:szCs w:val="20"/>
          <w:color w:val="auto"/>
        </w:rPr>
      </w:pPr>
    </w:p>
    <w:p>
      <w:pPr>
        <w:jc w:val="both"/>
        <w:ind w:left="660" w:firstLine="320"/>
        <w:spacing w:after="0" w:line="313" w:lineRule="auto"/>
        <w:tabs>
          <w:tab w:leader="none" w:pos="1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49" w:lineRule="exact"/>
        <w:rPr>
          <w:rFonts w:ascii="Times New Roman" w:cs="Times New Roman" w:eastAsia="Times New Roman" w:hAnsi="Times New Roman"/>
          <w:sz w:val="18"/>
          <w:szCs w:val="18"/>
          <w:color w:val="auto"/>
        </w:rPr>
      </w:pPr>
    </w:p>
    <w:p>
      <w:pPr>
        <w:jc w:val="both"/>
        <w:ind w:left="660" w:firstLine="320"/>
        <w:spacing w:after="0" w:line="313" w:lineRule="auto"/>
        <w:tabs>
          <w:tab w:leader="none" w:pos="1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49" w:lineRule="exact"/>
        <w:rPr>
          <w:rFonts w:ascii="Times New Roman" w:cs="Times New Roman" w:eastAsia="Times New Roman" w:hAnsi="Times New Roman"/>
          <w:sz w:val="18"/>
          <w:szCs w:val="18"/>
          <w:color w:val="auto"/>
        </w:rPr>
      </w:pPr>
    </w:p>
    <w:p>
      <w:pPr>
        <w:jc w:val="both"/>
        <w:ind w:left="660" w:firstLine="320"/>
        <w:spacing w:after="0" w:line="305" w:lineRule="auto"/>
        <w:tabs>
          <w:tab w:leader="none" w:pos="1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 voted) in the same manner as, and in the same proportion to, all shares voted by holders of Cannae common stock (other than the Company and its subsidiaries).</w:t>
      </w:r>
    </w:p>
    <w:p>
      <w:pPr>
        <w:sectPr>
          <w:pgSz w:w="11900" w:h="16838" w:orient="portrait"/>
          <w:cols w:equalWidth="0" w:num="1">
            <w:col w:w="11420"/>
          </w:cols>
          <w:pgMar w:left="240" w:top="117" w:right="239" w:bottom="6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7" w:right="239" w:bottom="644" w:gutter="0" w:footer="0" w:header="0"/>
          <w:type w:val="continuous"/>
        </w:sectPr>
      </w:pPr>
    </w:p>
    <w:bookmarkStart w:id="76" w:name="page77"/>
    <w:bookmarkEnd w:id="7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operations of FNFV included in discontinued operations is shown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Pr>
          <w:p>
            <w:pPr>
              <w:spacing w:after="0"/>
              <w:rPr>
                <w:sz w:val="18"/>
                <w:szCs w:val="18"/>
                <w:color w:val="auto"/>
              </w:rPr>
            </w:pPr>
          </w:p>
        </w:tc>
        <w:tc>
          <w:tcPr>
            <w:tcW w:w="1420" w:type="dxa"/>
            <w:vAlign w:val="bottom"/>
            <w:gridSpan w:val="5"/>
          </w:tcPr>
          <w:p>
            <w:pPr>
              <w:jc w:val="center"/>
              <w:ind w:left="498"/>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Restaurant revenue</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90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equity in (losses) earnings of unconsolidated affiliates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from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(losses) earnings attributable to non-controlling interests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attributable to Fidelity National Financial, Inc. common shareholders</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 from discontinued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operations</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24"/>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Consolidated Financial Statements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reconciliation of the net earnings of Black Knight and FNFV to the Statement of Operations is shown below:</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5"/>
          </w:tcPr>
          <w:p>
            <w:pPr>
              <w:jc w:val="center"/>
              <w:ind w:left="498"/>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discontinued operations attributable to Black Knight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discontinued operations attributable to FNFV</w:t>
            </w:r>
          </w:p>
        </w:tc>
        <w:tc>
          <w:tcPr>
            <w:tcW w:w="22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earnings from discontinued operations, net of tax</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7" w:name="page78"/>
    <w:bookmarkEnd w:id="7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H.</w:t>
            </w: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3"/>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1,298</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96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6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amortizable intangible assets, which consist primarily of customer relationships and computer software, was $119 million, $130 million, and $110 million for the years ended December 31, 2018, 2017 and 2016, respectively. Estimated amortization expense for the next five years for assets owned at December 31, 2018, is $125 million in 2019, $106 million in 2020, $78 million in 2021, $61 million in 2022 and $43 million in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I.</w:t>
            </w: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 and Other Accrued Liabilities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liabilities consist of the following:</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3"/>
        </w:trPr>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13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incentives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benefits</w:t>
            </w:r>
          </w:p>
        </w:tc>
        <w:tc>
          <w:tcPr>
            <w:tcW w:w="7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Deferred revenue</w:t>
            </w:r>
          </w:p>
        </w:tc>
        <w:tc>
          <w:tcPr>
            <w:tcW w:w="7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 - acquisitions</w:t>
            </w:r>
          </w:p>
        </w:tc>
        <w:tc>
          <w:tcPr>
            <w:tcW w:w="90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rent</w:t>
            </w:r>
          </w:p>
        </w:tc>
        <w:tc>
          <w:tcPr>
            <w:tcW w:w="7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recording fees and transfer taxes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premium taxes</w:t>
            </w:r>
          </w:p>
        </w:tc>
        <w:tc>
          <w:tcPr>
            <w:tcW w:w="90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r>
      <w:tr>
        <w:trPr>
          <w:trHeight w:val="237"/>
        </w:trPr>
        <w:tc>
          <w:tcPr>
            <w:tcW w:w="13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w:t>
            </w:r>
          </w:p>
        </w:tc>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9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0"/>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1"/>
                <w:szCs w:val="21"/>
                <w:color w:val="auto"/>
              </w:rPr>
            </w:pPr>
          </w:p>
        </w:tc>
      </w:tr>
      <w:tr>
        <w:trPr>
          <w:trHeight w:val="255"/>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4.50%, due August 2028</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6"/>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74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6"/>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90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at December 31, 2018, due April 2022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monthly at LIBOR + 1.40%</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9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6"/>
              </w:rPr>
              <w:t>836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type w:val="continuous"/>
        </w:sectPr>
      </w:pPr>
    </w:p>
    <w:bookmarkStart w:id="78" w:name="page79"/>
    <w:bookmarkEnd w:id="7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2018, the estimated fair value of our unsecured notes payable was approximately $868 million, or $18 million higher than its carrying value, excluding $14 million of net unamortized debt issuance costs and premium/discount. The fair values of our unsecured notes payable are based on established market prices for the securities on December 31, 2018 and are considered Level 2 financial liabilities.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notes due August 2028 with stated interest of 4.50% per annum (the "4.50% Notes"), pursuant to Rule 144A and Regulation S under the Securities Act of 1933, as amended. The 4.50% Notes were priced at 99.252% of par to yield 4.594% annual interest. The proceeds were used to settle the remaining balance of the Notes (defined below), payoff the outstanding borrowings under the Revolving Credit Facility (defined below), and for general corporate purposes. The 4.50% Notes will pay interest semi-annually on the 15th of February and August, beginning February 15, 2019. The 4.50% Notes contain customary covenants and events of default for investment grade public debt, which primarily relate to failure to make principal or interest payments.</w:t>
      </w:r>
    </w:p>
    <w:p>
      <w:pPr>
        <w:spacing w:after="0" w:line="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Revolving Credit Facility was amended (the "Restated Credit Agreement") to extend the term for 5 years, from a maturity date of July 15, 2018 to April 27, 2022. Revolving loans under the credit facility generally bear interest at a variable rate based on either (i) the base rate (which is the highest of (a) 0.5% in excess of the federal funds rate, (b) the Administrative Agent's “prime rate”, or (c) the sum of 1% plus one-month LIBOR) plus a margin of between 10 and 60 basis points depending on the senior unsecured long-term debt ratings of FNF or (ii) LIBOR plus a margin of between 110 and 160 basis points depending on the senior unsecured long-term debt ratings of the Company. Based on our current Moody’s and Standard &amp; Poor’s senior unsecured long-term debt ratings of Baa2/BBB, respectively, the applicable margin for revolving loans subject to LIBOR is 140 basis points. In addition, we pay a commitment fee of between 15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As of December 31, 2018, there is no balance outstanding, $4 million in unamortized debt issuance costs and $800 million of borrowing capacity under the Revolving Credit Facility.</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The 5.50% notes will pay interest semi-annually on the 1st of March and September, beginning March 1, 2013.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 2011, we completed an offering of $300 million in aggregate principal amount of 4.25% convertible senior notes due August 2018 (the "Notes") in an offering conducted in accordance with Rule 144A under the Securities Act of 1933, as amended. The Notes matured on August 15, 2018. During the year ended December 31, 2018, we settled all of our remaining obligations under the Notes for an aggregate of $211 million.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9" w:name="page80"/>
    <w:bookmarkEnd w:id="7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December 31, 2018 are as follows (in millions):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4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K.</w:t>
            </w:r>
          </w:p>
        </w:tc>
        <w:tc>
          <w:tcPr>
            <w:tcW w:w="6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67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80" w:type="dxa"/>
            <w:vAlign w:val="bottom"/>
            <w:vMerge w:val="continue"/>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tax expense on continuing operations consists of the following:</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Total income tax expense was allocated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2"/>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attributable to net earnings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Unrealized gain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income tax (benefit) expense allocated to other comprehensive earnings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Tax exempt interest income</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reform</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7"/>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7" w:right="239" w:bottom="1440" w:gutter="0" w:footer="0" w:header="0"/>
          <w:type w:val="continuous"/>
        </w:sectPr>
      </w:pPr>
    </w:p>
    <w:bookmarkStart w:id="80" w:name="page81"/>
    <w:bookmarkEnd w:id="8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at December 31, 2018 and 2017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196"/>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7"/>
                <w:szCs w:val="17"/>
                <w:color w:val="auto"/>
              </w:rPr>
            </w:pP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accruals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reserve discounting</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uncollectible accounts receivable</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plant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goodwill and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reserve discounting</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deferred tax liability was $227 million and $169 million at December 31, 2018, and 2017, respectively. The significant changes in the deferred taxes are as follows: the deferred tax liability for insurance reserve discounting increased (prior year asset decreased) by $87 million largely due to a change in the treatment of the redomestication of certain of our insurance underwriters as prescribed by the IRS in 2018. The deferred tax liability relating to investment securities decreased by $44 million primarily due to unrealized losses recorded for investment securities.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 Staff Accounting Bulletin No. 118 ("SAB 118"), provided guidance for companies that had not completed their accounting for the income tax effects of the Tax Reform in the period of enactment, allowing for a measurement period of up to one year after the enactment date to finalize the recording of the related tax impacts. As of December 31, 2018, we have completed our accounting for the tax effects of the enactment of the Tax Reform.</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2018, we recorded additional benefits to tax expense of $45 million related to a change in tax treatment related to our redomestication of certain of our insurance underwriters. This adjustment has been included in the Tax Reform line of our reconciliation of the federal statutory rate to our effective tax rate.</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2018, we have net operating losses ("NOL") on a pretax basis of $31 million available to carryforward and offset future federal taxable income. The net operating losses are US federal net operating losses arising from acquisitions made since 2012, including CINC and ServiceLink. Most of the NOLs are subject to an annual Internal Revenue Code Section 382 limitation. These losses will begin to expire in year 2022 and we fully anticipate utilizing these losses prior to expiration with the exception of $3 million of gross net operating losses that are offset by a $1 million valuation allowance.</w:t>
      </w:r>
    </w:p>
    <w:p>
      <w:pPr>
        <w:sectPr>
          <w:pgSz w:w="11900" w:h="16838" w:orient="portrait"/>
          <w:cols w:equalWidth="0" w:num="1">
            <w:col w:w="11420"/>
          </w:cols>
          <w:pgMar w:left="240" w:top="117"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7" w:right="239" w:bottom="1440" w:gutter="0" w:footer="0" w:header="0"/>
          <w:type w:val="continuous"/>
        </w:sectPr>
      </w:pPr>
    </w:p>
    <w:bookmarkStart w:id="81" w:name="page82"/>
    <w:bookmarkEnd w:id="8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2018 and 2017, we had $41 million and $40 million of tax credits, respectively. The credits primarily consist of general business credits from historical acquisitions. We anticipate that these credits will be utilized prior to expiration after a valuation allowance of $21 million on the general business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540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and 2017, we had approximately $9 million and $11 million (including interest of less than $1 million), respectively, of total unrecognized tax benefits that, if recognized, would favorably affect our income tax rate. We record interest and penalties related to income taxes as a component of income tax expense. In 2018, we reversed $8 million of reserves related to a Florida audit that was closed with a favorable result and we increased our reserve by $6 million for potential state tax liabilities.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Internal Revenue Service (“IRS”) has selected us to participate in the Compliance Assurance Program that is a real-time audit. We are currently under audit by the Internal Revenue Service for the 2016 through 2019 tax years. We file income tax returns in various foreign and US state jurisdictions. Our state income tax returns for the 2012 through 2018 tax years remain subject to examination by state jurisdictions.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L.</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Summary of Reserve for Claim Losses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7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 summary of the reserve for claim losses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3"/>
        </w:trPr>
        <w:tc>
          <w:tcPr>
            <w:tcW w:w="1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64"/>
        </w:trPr>
        <w:tc>
          <w:tcPr>
            <w:tcW w:w="12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12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1,583</w:t>
            </w:r>
          </w:p>
        </w:tc>
      </w:tr>
      <w:tr>
        <w:trPr>
          <w:trHeight w:val="243"/>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reinsurance recoverable</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6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7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6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7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1,487</w:t>
            </w:r>
          </w:p>
        </w:tc>
      </w:tr>
      <w:tr>
        <w:trPr>
          <w:trHeight w:val="20"/>
        </w:trPr>
        <w:tc>
          <w:tcPr>
            <w:tcW w:w="75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quarter ended December 31, 2017, we reduced the current quarter provision for claims losses to 4.5%. During the quarter ended December 31, 2016, we released excess title reserves of $97 million in addition to reducing the provision for claims losses for the quarter to 5.0%. In response to favorable development on recent year claims, the average provision rate has decreased in each of the years ended 2016, 2017, and 2018.</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7" w:right="239" w:bottom="1440" w:gutter="0" w:footer="0" w:header="0"/>
        </w:sectPr>
      </w:pPr>
    </w:p>
    <w:bookmarkStart w:id="82" w:name="page83"/>
    <w:bookmarkEnd w:id="8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M.</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Regulatory Contingencies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$11 million and $2 million as of December 31, 2018 and 2017,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 class action captioned </w:t>
      </w:r>
      <w:r>
        <w:rPr>
          <w:rFonts w:ascii="Times New Roman" w:cs="Times New Roman" w:eastAsia="Times New Roman" w:hAnsi="Times New Roman"/>
          <w:sz w:val="18"/>
          <w:szCs w:val="18"/>
          <w:i w:val="1"/>
          <w:iCs w:val="1"/>
          <w:color w:val="auto"/>
        </w:rPr>
        <w:t>Patterson, et al. v. Fidelity National Title Insurance Company, et al.</w:t>
      </w:r>
      <w:r>
        <w:rPr>
          <w:rFonts w:ascii="Times New Roman" w:cs="Times New Roman" w:eastAsia="Times New Roman" w:hAnsi="Times New Roman"/>
          <w:sz w:val="18"/>
          <w:szCs w:val="18"/>
          <w:color w:val="auto"/>
        </w:rPr>
        <w:t>, Case No. GD 03-021176,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which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finding that the Company failed to advise its agents on how to interpret the rate rule so that it would be uniformly applied, thereby having engaged in “deceptive conduct.” The Company plans to seek interlocutory review of the summary judgment order. The court approved the parties’ stipulation in which they agreed that before interlocutory review is appropriate, the court will first determine which party should bear the burden of ascertaining the class and calculating damages, and determine whether the damages should be trebled. Briefing on these issues is complete and oral argument was held on January 15, 2019. A decision is pending with the court. There has been no determination as to the size of the class. It is unknown whether plaintiffs will seek statutory or actual damages, whether the judge will exercise discretion to award treble damages or award prejudgment interest, or what plaintiffs’ counsel will seek as reasonable attorneys’ fees. Accordingly, damages are not reasonably estimable at this time. We will continue to vigorously defend this matter, and we do not believe the result will have a material adverse effect on our financial condition.</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Balances</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3" w:name="page84"/>
    <w:bookmarkEnd w:id="8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Accepted Accounting Principles and industry practice. These balances amounted to $13.5 billion at December 31, 2018. As a result of holding these customers’ assets in escrow, we have ongoing programs for realizing economic benefits during the year through favorable borrowing and vendor arrangements with various banks. There were no investments or loans outstanding as of December 31, 2018 and 2017 related to these arrangements.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operating leases for certain of our premises and equipment, primarily for office space in our direct operations.</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leases range in term from one to ten years. Most of our leases include one or more options to renew, with varying renewal terms that can extend the lease term. The exercise of lease renewal options is at our sole discretion.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 minimum operating lease payments are as follows (in millions):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incurred under operating leases during the years ended December 31, 2018, 2017 and 2016 was $150 million, $144 million, and $128 million, respectively.</w:t>
      </w:r>
    </w:p>
    <w:p>
      <w:pPr>
        <w:spacing w:after="0" w:line="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7"/>
          <w:szCs w:val="17"/>
          <w:b w:val="1"/>
          <w:bCs w:val="1"/>
          <w:color w:val="auto"/>
        </w:rPr>
        <w:t>Regulation and Equity</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2018, the combined statutory unearned premium reserve required and reported for our title insurers was $1,412 million. In addition to statutory unearned premium reserves, each of our insurers maintains reserves for known claims and surplus funds for policyholder protection and business operations.</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2018, $1,518 million of our net assets are restricted from dividend payments without prior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7" w:right="239" w:bottom="1440" w:gutter="0" w:footer="0" w:header="0"/>
        </w:sectPr>
      </w:pPr>
    </w:p>
    <w:bookmarkStart w:id="84" w:name="page85"/>
    <w:bookmarkEnd w:id="8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from the Departments of Insurance. During 2019, our title insurers can pay or make distributions to us of approximately $512 million, without prior approval.</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$1,383 million and $1,389 million as of December 31, 2018 and 2017, respectively. The combined statutory net earnings of our title insurance subsidiaries were $625 million, $434 million, and $541 million for the years ended December 31, 2018, 2017, and 2016, respectively.</w:t>
      </w:r>
    </w:p>
    <w:p>
      <w:pPr>
        <w:spacing w:after="0" w:line="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Times New Roman" w:cs="Times New Roman" w:eastAsia="Times New Roman" w:hAnsi="Times New Roman"/>
          <w:sz w:val="18"/>
          <w:szCs w:val="18"/>
          <w:i w:val="1"/>
          <w:iCs w:val="1"/>
          <w:color w:val="auto"/>
        </w:rPr>
        <w:t>) Accounting Practices and Procedures</w:t>
      </w:r>
      <w:r>
        <w:rPr>
          <w:rFonts w:ascii="Times New Roman" w:cs="Times New Roman" w:eastAsia="Times New Roman" w:hAnsi="Times New Roman"/>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2018 and 2017 was lower by approximately $28 million than if we had reported such amounts in accordance with NAIC SAP.</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and surplus. Required levels of minimum capital and surplus are not significant to the insurers individually or in the aggregate. Each of our insurers has complied with the minimum statutory requirements as of December 31, 2018.</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underwritten title companies, primarily those domiciled in California, are also subject to certain regulation by insurance regulatory or banking</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2018.</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17, 2018, our Board of Directors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2018, we repurchased a total of 660,000 FNF common shares for $21 million or an average of $32.33 per share. Subsequent to December 31, 2018 and through market close on February 14, 2019, we repurchased a total of 60,000 shares for $2 million, or an average of $31.83 per share under this program. Since the original commencement of the 2018 Repurchase Program, we repurchased a total of 720,000 FNF common shares for $23 million, or an average of $32.29 per share.</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O.</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Plan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three-year period ended December 31, 2018,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contributed $25 million, $23 million, and $20 million to the ESPPs in the years ended December 31, 2018, 2017, and 2016, respectively, in accordance with our matching contribution.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Profit Sharing Plan</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three-year period ended December 31, 2018, we have offered our employees the opportunity to participate in our 401(k) profit sharing plan (the “401(k) Plan”), qualified voluntary contributory savings plan which is available to substantially all of our employees. Eligible employees may contribute up to 40% of their pretax annual compensation, up to the amount allowed pursuant to the Internal Revenue Code. We make an employer match on the 401(k) Plan of $0.375 on each $1.00 contributed up to the first 6% of eligible earnings contributed to the 401(k) Plan by employees. The employer match for the year ended December 31, 2018 was $30 million and $26 million for the years ended December 31, 2017 and 2016, respectively, and was credited based on the participant's individual investment elections in the FNF 401(k) Plan.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7"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2005, we established the FNT 2005 Omnibus Incentive Plan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2018, there were 1,821,238 shares of restricted stock and 7,543,787 stock options outstanding under this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FNF stock option transactions under the Omnibus Plan for 2018, 2017, and 2016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vMerge w:val="restart"/>
          </w:tcPr>
          <w:p>
            <w:pPr>
              <w:spacing w:after="0"/>
              <w:rPr>
                <w:sz w:val="13"/>
                <w:szCs w:val="1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9,300,509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5,256,426</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7,481,683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5,821,592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issued as make-whole adjustment for BK Distribution</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2,375,111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8,529,427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7,648,837</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7,543,787</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7,530,137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FNF restricted stock transactions under the Omnibus Plan in 2018, 2017, and 2016 are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2"/>
        </w:trPr>
        <w:tc>
          <w:tcPr>
            <w:tcW w:w="7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1,391,874</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(720,227)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37"/>
        </w:trPr>
        <w:tc>
          <w:tcPr>
            <w:tcW w:w="7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1,471,673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Restricted stock issued as make-whole adjustment for BK Distribution</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1,821,238</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stock options outstanding and exercisable as of December 31, 2018: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Range of</w:t>
            </w: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Intrinsic</w:t>
            </w:r>
          </w:p>
        </w:tc>
        <w:tc>
          <w:tcPr>
            <w:tcW w:w="124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23"/>
                <w:szCs w:val="23"/>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6"/>
              </w:rPr>
              <w:t>Intrinsic</w:t>
            </w:r>
          </w:p>
        </w:tc>
      </w:tr>
      <w:tr>
        <w:trPr>
          <w:trHeight w:val="246"/>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21"/>
                <w:szCs w:val="21"/>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2"/>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$0.00 - $14.38</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551,224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551,224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$14.39 - $17.76</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3,462,968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3,462,968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$17.77 - $21.84</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1,233,813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1,233,813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$21.85 - $25.34</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$25.35 - $25.53</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2,277,583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2,277,583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$25.54 - $26.99</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7,543,787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7,530,137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2018, 2017 and 2016 was $29 million, $31 million, and $29 million, respectively. The total fair value of restricted stock awards which vested in the years ended December 31, 2018, 2017 and 2016 was $29 million, $38 million, and $25 million, respectively. Option awards are measured at fair value on the grant date using the Black Scholes Option Pricing Model. The intrinsic value of options exercised in the years ended December 31, 2018, 2017 and 2016 was $19 million, $25 million, and $46 million, respectively. Net earnings attributable to FNF Shareholders reflects stock-based compensation expense amounts of $31 million for the year ended December 31, 2018, $44 million for the year ended December 31, 2017, and $58 million for the year ended December 31, 2016, which are included in personnel costs in the reported financial results of each period.</w:t>
      </w:r>
    </w:p>
    <w:p>
      <w:pPr>
        <w:spacing w:after="0" w:line="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2018, the total unrecognized compensation cost related to non-vested stock option grants and restricted stock grants is $54 million, which is expected to be recognized in pre-tax income over a weighted average period of 1.62 years.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discount rate used to determine the benefit obligation as of the years ended December 31, 2018 and 2017 was 3.90% and 3.34%, respectively. As of the years ended December 31, 2018 and 2017 the projected benefit obligation was $150 million and $166 million, respectively, and the fair value of plan assets was $144 million and $162 million, respectively. The net pension liability and net periodic expense included in our financial position and results of operations relating to these plans is not considered material for any period presented.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7"/>
          <w:szCs w:val="17"/>
          <w:b w:val="1"/>
          <w:bCs w:val="1"/>
          <w:color w:val="auto"/>
        </w:rPr>
        <w:t>Supplementary Cash Flow Information</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interest and tax payments, as well as certain non-cash investing and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78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year:</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proceeds of sales of investments available for sale receivable in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purchases of investments available for sale payable in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Liabilities assumed in connection with acquisitions (1):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Less: Total purchase price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557</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Liabilities and noncontrolling interests assumed</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treasury stock purchases payable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accrued dividends payable in period</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 See Note B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assets and liabilities acquired in business combinations.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Q.</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 and Concentration of Risk</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3" w:lineRule="exact"/>
        <w:rPr>
          <w:sz w:val="20"/>
          <w:szCs w:val="20"/>
          <w:color w:val="auto"/>
        </w:rPr>
      </w:pPr>
    </w:p>
    <w:p>
      <w:pPr>
        <w:jc w:val="both"/>
        <w:ind w:firstLine="36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a significant amount of title insurance premiums in Texas, California, Florida and New York. Title insurance premiums as a percentage of the total title insurance premiums written from those four states are detailed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short-term investments, and trade receivables.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 w:right="239" w:bottom="1440" w:gutter="0" w:footer="0" w:header="0"/>
        </w:sectPr>
      </w:pPr>
    </w:p>
    <w:bookmarkStart w:id="88" w:name="page89"/>
    <w:bookmarkEnd w:id="8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R.</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There are certain intercompany corporate related arrangements between our various businesses. The effects of these arrangements including intercompany notes and related interest and any other non-operational intercompany revenues and expenses have been eliminated in the segment presentations below.</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180" w:type="dxa"/>
            <w:vAlign w:val="bottom"/>
          </w:tcPr>
          <w:p>
            <w:pPr>
              <w:spacing w:after="0"/>
              <w:rPr>
                <w:sz w:val="12"/>
                <w:szCs w:val="12"/>
                <w:color w:val="auto"/>
              </w:rPr>
            </w:pPr>
          </w:p>
        </w:tc>
        <w:tc>
          <w:tcPr>
            <w:tcW w:w="84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9"/>
              </w:rPr>
              <w:t>Total FNF</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4,911</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2,189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2,615</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7,526</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7,160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7,594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182</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750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635</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8,391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9,301</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2,726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180" w:type="dxa"/>
            <w:vAlign w:val="bottom"/>
          </w:tcPr>
          <w:p>
            <w:pPr>
              <w:spacing w:after="0"/>
              <w:rPr>
                <w:sz w:val="12"/>
                <w:szCs w:val="12"/>
                <w:color w:val="auto"/>
              </w:rPr>
            </w:pPr>
          </w:p>
        </w:tc>
        <w:tc>
          <w:tcPr>
            <w:tcW w:w="84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9"/>
              </w:rPr>
              <w:t>Total FNF</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4,893</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2,181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2,637</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7,530</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(loss), including realized gains and losses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133</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7,663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183</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864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639</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9,151</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type w:val="continuous"/>
        </w:sectPr>
      </w:pPr>
    </w:p>
    <w:bookmarkStart w:id="89" w:name="page90"/>
    <w:bookmarkEnd w:id="8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Corporate and</w:t>
            </w:r>
          </w:p>
        </w:tc>
        <w:tc>
          <w:tcPr>
            <w:tcW w:w="180" w:type="dxa"/>
            <w:vAlign w:val="bottom"/>
          </w:tcPr>
          <w:p>
            <w:pPr>
              <w:spacing w:after="0"/>
              <w:rPr>
                <w:sz w:val="12"/>
                <w:szCs w:val="12"/>
                <w:color w:val="auto"/>
              </w:rPr>
            </w:pPr>
          </w:p>
        </w:tc>
        <w:tc>
          <w:tcPr>
            <w:tcW w:w="84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9"/>
              </w:rPr>
              <w:t>Total FNF</w:t>
            </w:r>
          </w:p>
        </w:tc>
        <w:tc>
          <w:tcPr>
            <w:tcW w:w="0" w:type="dxa"/>
            <w:vAlign w:val="bottom"/>
          </w:tcPr>
          <w:p>
            <w:pPr>
              <w:spacing w:after="0"/>
              <w:rPr>
                <w:sz w:val="1"/>
                <w:szCs w:val="1"/>
                <w:color w:val="auto"/>
              </w:rPr>
            </w:pPr>
          </w:p>
        </w:tc>
      </w:tr>
      <w:tr>
        <w:trPr>
          <w:trHeight w:val="174"/>
        </w:trPr>
        <w:tc>
          <w:tcPr>
            <w:tcW w:w="8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4,723</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2,416</w:t>
            </w:r>
          </w:p>
        </w:tc>
        <w:tc>
          <w:tcPr>
            <w:tcW w:w="0" w:type="dxa"/>
            <w:vAlign w:val="bottom"/>
          </w:tcPr>
          <w:p>
            <w:pPr>
              <w:spacing w:after="0"/>
              <w:rPr>
                <w:sz w:val="1"/>
                <w:szCs w:val="1"/>
                <w:color w:val="auto"/>
              </w:rPr>
            </w:pP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7,139</w:t>
            </w:r>
          </w:p>
        </w:tc>
        <w:tc>
          <w:tcPr>
            <w:tcW w:w="0" w:type="dxa"/>
            <w:vAlign w:val="bottom"/>
          </w:tcPr>
          <w:p>
            <w:pPr>
              <w:spacing w:after="0"/>
              <w:rPr>
                <w:sz w:val="1"/>
                <w:szCs w:val="1"/>
                <w:color w:val="auto"/>
              </w:rPr>
            </w:pP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(loss), including realized gains and losses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6,978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7,257</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160</w:t>
            </w: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64</w:t>
            </w:r>
          </w:p>
        </w:tc>
        <w:tc>
          <w:tcPr>
            <w:tcW w:w="0" w:type="dxa"/>
            <w:vAlign w:val="bottom"/>
          </w:tcPr>
          <w:p>
            <w:pPr>
              <w:spacing w:after="0"/>
              <w:rPr>
                <w:sz w:val="1"/>
                <w:szCs w:val="1"/>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347</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608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8,756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14,521</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88" w:lineRule="exact"/>
        <w:rPr>
          <w:sz w:val="20"/>
          <w:szCs w:val="20"/>
          <w:color w:val="auto"/>
        </w:rPr>
      </w:pPr>
    </w:p>
    <w:p>
      <w:pPr>
        <w:jc w:val="both"/>
        <w:ind w:left="660" w:hanging="409"/>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which provide title insurance and escrow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26" w:lineRule="exact"/>
        <w:rPr>
          <w:rFonts w:ascii="Times New Roman" w:cs="Times New Roman" w:eastAsia="Times New Roman" w:hAnsi="Times New Roman"/>
          <w:sz w:val="18"/>
          <w:szCs w:val="18"/>
          <w:color w:val="auto"/>
        </w:rPr>
      </w:pPr>
    </w:p>
    <w:p>
      <w:pPr>
        <w:jc w:val="both"/>
        <w:ind w:left="660" w:hanging="409"/>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other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non-title businesses and certain unallocated corporate overhead expenses and eliminations of revenues and expenses between it and our Title segment. This segment also includes the results of operations of Pacific Union through the date of the Pacific Union Sale and the assets of discontinued operations, Black Knight and FNFV, as of December 31, 2016. Refer to Note G.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information.</w:t>
      </w:r>
    </w:p>
    <w:p>
      <w:pPr>
        <w:spacing w:after="0" w:line="1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S.</w:t>
      </w:r>
      <w:r>
        <w:rPr>
          <w:sz w:val="20"/>
          <w:szCs w:val="20"/>
          <w:color w:val="auto"/>
        </w:rPr>
        <w:tab/>
      </w: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This ASU provides a new comprehensive revenue recognition model that requires companies to recognize revenue to depict the transfer of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Times New Roman" w:cs="Times New Roman" w:eastAsia="Times New Roman" w:hAnsi="Times New Roman"/>
          <w:sz w:val="18"/>
          <w:szCs w:val="18"/>
          <w:i w:val="1"/>
          <w:iCs w:val="1"/>
          <w:color w:val="auto"/>
        </w:rPr>
        <w:t>Revenue from Contracts with Customers (Topic 606): Principal versus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Agent Considerations </w:t>
      </w:r>
      <w:r>
        <w:rPr>
          <w:rFonts w:ascii="Times New Roman" w:cs="Times New Roman" w:eastAsia="Times New Roman" w:hAnsi="Times New Roman"/>
          <w:sz w:val="18"/>
          <w:szCs w:val="18"/>
          <w:color w:val="auto"/>
        </w:rPr>
        <w:t>was issued by FASB in March 2016 to clarify the principal versus agent considerations within ASU 2014-09.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was issued by the FASB in April 2016 to clarify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 whether goods and services are separately identifiable and thus accounted for as separate performance obligations. ASU 2016-12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Narrow-Scope Improvements and Practical Expedients </w:t>
      </w:r>
      <w:r>
        <w:rPr>
          <w:rFonts w:ascii="Times New Roman" w:cs="Times New Roman" w:eastAsia="Times New Roman" w:hAnsi="Times New Roman"/>
          <w:sz w:val="18"/>
          <w:szCs w:val="18"/>
          <w:color w:val="auto"/>
        </w:rPr>
        <w:t>was issued by the FASB in May 2016 to clarify certain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the aforementioned updates and to add practical expedients for contracts at various stages of completion. ASU 2016-20, </w:t>
      </w:r>
      <w:r>
        <w:rPr>
          <w:rFonts w:ascii="Times New Roman" w:cs="Times New Roman" w:eastAsia="Times New Roman" w:hAnsi="Times New Roman"/>
          <w:sz w:val="18"/>
          <w:szCs w:val="18"/>
          <w:i w:val="1"/>
          <w:iCs w:val="1"/>
          <w:color w:val="auto"/>
        </w:rPr>
        <w:t>Technical Corrections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606, Revenue from Contracts with Customers</w:t>
      </w:r>
      <w:r>
        <w:rPr>
          <w:rFonts w:ascii="Times New Roman" w:cs="Times New Roman" w:eastAsia="Times New Roman" w:hAnsi="Times New Roman"/>
          <w:sz w:val="18"/>
          <w:szCs w:val="18"/>
          <w:color w:val="auto"/>
        </w:rPr>
        <w:t>, was issued by the FASB in December 2016 which includes thirteen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corrections and improvements affecting narrow aspects of the guidance issued in ASU 2014-09.</w:t>
      </w:r>
    </w:p>
    <w:p>
      <w:pPr>
        <w:spacing w:after="0" w:line="1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We adopted these revenue standards on January 1, 2018 using the modified retrospective approach. As there was no material impact to our historical revenue recognition, we did not record a cumulative-effect adjustment to the opening balance of retained earnings in the current year. See Note T.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 </w:t>
      </w:r>
      <w:r>
        <w:rPr>
          <w:rFonts w:ascii="Times New Roman" w:cs="Times New Roman" w:eastAsia="Times New Roman" w:hAnsi="Times New Roman"/>
          <w:sz w:val="18"/>
          <w:szCs w:val="18"/>
          <w:color w:val="auto"/>
        </w:rPr>
        <w:t>for further discussion of our revenue.</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7" w:right="239" w:bottom="1440" w:gutter="0" w:footer="0" w:header="0"/>
          <w:type w:val="continuous"/>
        </w:sectPr>
      </w:pPr>
    </w:p>
    <w:bookmarkStart w:id="90" w:name="page91"/>
    <w:bookmarkEnd w:id="9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Pronouncements</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The primary amendments required by the ASU include: requiring equity investments with readily determinable fair values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w:t>
      </w:r>
    </w:p>
    <w:p>
      <w:pPr>
        <w:spacing w:after="0" w:line="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adopted this new guidance on January 1, 2018, which resulted in the reclassification of our unrealized gains and losses on our equity and preferred securities available for sale previously included in accumulated other comprehensive income to beginning retained earnings. Changes in the fair value of our investments in equity and preferred securities subsequent to January 1, 2018 are now included in Realized gains and losses, net in our Consolidated Statements of Earnings.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details. We reclassified a total of $109 million from Accumulated other comprehensive income to beginning Retained earnings as of January 1, 2018. The total cumulative effect on opening equity, including an increase in Retained earnings of $19 million attributable to an increase in value of certain Other long term investments resulting from recording at fair value, was an increase in Retained earnings of $128 million and decrease in Accumulated other comprehensive income of $109 million.</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The amendments in this ASU require that a statement of cash flows explain the change during the period in the total of cash, cash equivalents, and amounts generally described as restricted cash or restricted cash equivalents. GAAP previously did not include specific guidance on the cash flow classification and presentation of changes in restricted cash. The Company previously excluded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The ASU requires retrospective application to all prior periods presented upon adoption.</w:t>
      </w:r>
    </w:p>
    <w:p>
      <w:pPr>
        <w:spacing w:after="0" w:line="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adopted this ASU on January 1, 2018 and have retrospectively restated our Consolidated Statements of Cash Flows included herein. The adoption of this ASU resulted in the following retrospective changes to our Consolidated Statements of Cash Flows for the years ended December 31, 2017 and 2016, respectively: an increase (decrease) in the net change in cash and cash equivalents of $144 million and $223 million, respectively, due to the inclusion of the change in our cash pledged against secured trust deposits; an increase (decrease) in cash provided by (used in) investing activities of $174 million and $63 million, respectively, related to the movement of cash paid/received for investments pledged against secured trust deposits from operating to investing activities; and an (increase) decrease in cash used in financing activities of $(30) million and $160 million, respectively, related to the movement of the change in secured trust deposits from operating to financing activities.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Income Statement—Reporting Comprehensive Income (Topic 220): Reclassification of Certain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from Accumulated Other Comprehensive Income. </w:t>
      </w:r>
      <w:r>
        <w:rPr>
          <w:rFonts w:ascii="Times New Roman" w:cs="Times New Roman" w:eastAsia="Times New Roman" w:hAnsi="Times New Roman"/>
          <w:sz w:val="18"/>
          <w:szCs w:val="18"/>
          <w:color w:val="auto"/>
        </w:rPr>
        <w:t>The amendments in this ASU allow a reclassification from accumulated other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to retained earnings for stranded tax effects resulting from Tax Reform. We adopted this ASU on April 1, 2018. Adoption of this ASU resulted in no net reclassification from Accumulated other comprehensive loss to Retained earnings.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Pronouncements Not Yet Adopted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allows for a modified retrospective approach to transitioning which allows for the use of practical expedients to effectively account for leases commenced prior to the effective date in accordance with previous GAAP. In July 2018, the FASB issued ASU 2018-11 </w:t>
      </w:r>
      <w:r>
        <w:rPr>
          <w:rFonts w:ascii="Times New Roman" w:cs="Times New Roman" w:eastAsia="Times New Roman" w:hAnsi="Times New Roman"/>
          <w:sz w:val="18"/>
          <w:szCs w:val="18"/>
          <w:i w:val="1"/>
          <w:iCs w:val="1"/>
          <w:color w:val="auto"/>
        </w:rPr>
        <w:t>Leases (Topic 842):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which allows entities the option to adopt this standard prospectively with a cumulative-effect adjustment to opening equity and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disclosures for prior periods.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7" w:right="239" w:bottom="1440" w:gutter="0" w:footer="0" w:header="0"/>
        </w:sectPr>
      </w:pPr>
    </w:p>
    <w:bookmarkStart w:id="91" w:name="page92"/>
    <w:bookmarkEnd w:id="9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identified a vendor with software suited to track and account for leases under the new standard and have transitioned our lease accounting within the software. We anticipate this standard will have a material impact on our consolidated balance sheets and result in recording a right-of-use asset of approximately $416 million to $451 million and a lease liability of approximately $431 million to $466 million. While we are still completing our analysis, we do not anticipate that adoption of this ASU will have a material impact on our consolidated statements of earnings. Our primary right-of-use assets and lease liabilities recorded upon adoption primarily relate to our leased office space. We plan to prospectively adopt this standard in the first quarter of 2019 and to use the package of practical expedients available upon adoption.</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still evaluating the effect this new guidance will have on our consolidated financial statements and related disclosures and have not yet concluded on its effects. We do not plan to early adopt the standard.</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do not expect this guidance to have a material impact on our consolidated financial statements and related disclosures and do not plan to early adopt.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7" w:right="239" w:bottom="1440" w:gutter="0" w:footer="0" w:header="0"/>
        </w:sectPr>
      </w:pPr>
    </w:p>
    <w:bookmarkStart w:id="92" w:name="page93"/>
    <w:bookmarkEnd w:id="9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 — Revenue Recognition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2018, we adopted ASC Topic 606 by applying the modified retrospective method. Results for reporting periods beginning after January 1, 2018 are presented under Topic 606, while prior period amounts are not adjusted and continue to be reported under the accounting standards in effect for the prior period.</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ectPr>
          <w:pgSz w:w="11900" w:h="16838" w:orient="portrait"/>
          <w:cols w:equalWidth="0" w:num="1">
            <w:col w:w="11420"/>
          </w:cols>
          <w:pgMar w:left="240" w:top="117" w:right="239" w:bottom="1440" w:gutter="0" w:footer="0" w:header="0"/>
        </w:sectPr>
      </w:pPr>
    </w:p>
    <w:p>
      <w:pPr>
        <w:spacing w:after="0" w:line="118"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87"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Revenue from insurance contracts: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Direct title insurance premiums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Agency title insurance premiums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Home warranty</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revenue from insurance contracts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Revenue from contracts with customers: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Escrow fees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title-related fees and income</w:t>
      </w:r>
    </w:p>
    <w:p>
      <w:pPr>
        <w:spacing w:after="0" w:line="73" w:lineRule="exact"/>
        <w:rPr>
          <w:sz w:val="20"/>
          <w:szCs w:val="20"/>
          <w:color w:val="auto"/>
        </w:rPr>
      </w:pPr>
    </w:p>
    <w:p>
      <w:pPr>
        <w:ind w:left="180" w:right="280"/>
        <w:spacing w:after="0" w:line="298" w:lineRule="auto"/>
        <w:rPr>
          <w:sz w:val="20"/>
          <w:szCs w:val="20"/>
          <w:color w:val="auto"/>
        </w:rPr>
      </w:pPr>
      <w:r>
        <w:rPr>
          <w:rFonts w:ascii="Times New Roman" w:cs="Times New Roman" w:eastAsia="Times New Roman" w:hAnsi="Times New Roman"/>
          <w:sz w:val="16"/>
          <w:szCs w:val="16"/>
          <w:color w:val="auto"/>
        </w:rPr>
        <w:t>ServiceLink, excluding title premiums, escrow fees, and subservicing fees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Real estate brokerage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Real estate technology</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revenue from contracts with customers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revenue: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Loan subservicing revenue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and investment income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Realized gains and losses, net</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50"/>
        </w:trPr>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21"/>
                <w:szCs w:val="21"/>
                <w:color w:val="auto"/>
              </w:rPr>
            </w:pPr>
          </w:p>
        </w:tc>
        <w:tc>
          <w:tcPr>
            <w:tcW w:w="11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Total Revenue</w:t>
            </w:r>
          </w:p>
        </w:tc>
      </w:tr>
      <w:tr>
        <w:trPr>
          <w:trHeight w:val="259"/>
        </w:trPr>
        <w:tc>
          <w:tcPr>
            <w:tcW w:w="3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(in millions)</w:t>
            </w:r>
          </w:p>
        </w:tc>
      </w:tr>
      <w:tr>
        <w:trPr>
          <w:trHeight w:val="24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2,221</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2,690</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5,093</w:t>
            </w:r>
          </w:p>
        </w:tc>
      </w:tr>
      <w:tr>
        <w:trPr>
          <w:trHeight w:val="54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826</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585</w:t>
            </w:r>
          </w:p>
        </w:tc>
      </w:tr>
      <w:tr>
        <w:trPr>
          <w:trHeight w:val="45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379</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316</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101</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2,216</w:t>
            </w:r>
          </w:p>
        </w:tc>
      </w:tr>
      <w:tr>
        <w:trPr>
          <w:trHeight w:val="54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w:t>
            </w:r>
          </w:p>
        </w:tc>
        <w:tc>
          <w:tcPr>
            <w:tcW w:w="18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217</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Various</w:t>
            </w: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177</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Various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7,594</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-3060700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-2717800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-2374900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-2032000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-1568450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-1225550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-882650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-539750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-196850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00"/>
          </w:cols>
          <w:pgMar w:left="240" w:top="117" w:right="239" w:bottom="1440" w:gutter="0" w:footer="0" w:header="0"/>
          <w:type w:val="continuous"/>
        </w:sectPr>
      </w:pP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 title insurance premiums are recognized as revenue at a point-in-time upon of closing of the underlying real estate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Premium revenues from agency title operations are recognized when the underlying title order and real estate transaction closing, if applicable, are complete and reported to us.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from our home warranty business are generated from insurance contracts with customers to provide warranty for major home appliances.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home warranty contracts are one year in length and revenue is recognized ratably over the term of the contract.</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at a point-in-time upon closing of the underlying real estate transaction or completion and billing of services. Cash associated with such revenue is typically collected at closing.</w:t>
      </w:r>
    </w:p>
    <w:p>
      <w:pPr>
        <w:sectPr>
          <w:pgSz w:w="11900" w:h="16838" w:orient="portrait"/>
          <w:cols w:equalWidth="0" w:num="1">
            <w:col w:w="11420"/>
          </w:cols>
          <w:pgMar w:left="240" w:top="117" w:right="239" w:bottom="1440" w:gutter="0" w:footer="0" w:header="0"/>
          <w:type w:val="continuous"/>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7" w:right="239" w:bottom="1440" w:gutter="0" w:footer="0" w:header="0"/>
          <w:type w:val="continuous"/>
        </w:sectPr>
      </w:pPr>
    </w:p>
    <w:bookmarkStart w:id="93" w:name="page94"/>
    <w:bookmarkEnd w:id="9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at a point-in-time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91"/>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year ended December 31, 2018, we recognized $97 million of revenue which was included in deferred revenue at the beginning of the period.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7"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3" w:lineRule="exact"/>
        <w:rPr>
          <w:sz w:val="20"/>
          <w:szCs w:val="20"/>
          <w:color w:val="auto"/>
        </w:rPr>
      </w:pPr>
    </w:p>
    <w:p>
      <w:pPr>
        <w:ind w:firstLine="8"/>
        <w:spacing w:after="0" w:line="261"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management, including our principal executive and principal financial officers, as appropriate to allow timely decisions regarding required disclosure.</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2018 that have materially affected, or are reasonably likely to materially affect, our internal control over financial reporting.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 (COSO).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under this framework, our management concluded that our internal control over financial reporting was effective as of December 31, 2018. The effectiveness of our internal control over financial reporting as of December 31, 2018 has been audited by Ernst &amp; Young LLP, an independent registered public accounting firm, as stated in their report which is included herein.</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Within 120 days after the close of our fiscal year, we intend to file with the Securities and Exchange Commission the matters required by these items.</w:t>
      </w:r>
    </w:p>
    <w:p>
      <w:pPr>
        <w:spacing w:after="0" w:line="3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240" w:top="121" w:right="51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Exhibits, Financial Statement Schedules and Reports on Form 8-K</w:t>
      </w:r>
    </w:p>
    <w:p>
      <w:pPr>
        <w:spacing w:after="0" w:line="92" w:lineRule="exact"/>
        <w:rPr>
          <w:sz w:val="20"/>
          <w:szCs w:val="20"/>
          <w:color w:val="auto"/>
        </w:rPr>
      </w:pPr>
    </w:p>
    <w:p>
      <w:pPr>
        <w:ind w:firstLine="332"/>
        <w:spacing w:after="0" w:line="284" w:lineRule="auto"/>
        <w:tabs>
          <w:tab w:leader="none" w:pos="5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is a list of the Consolidated Financial Statements of Fidelity National Financial, Inc. and its subsidiaries included in Item 8 of Part II:</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60" w:type="dxa"/>
            <w:vAlign w:val="bottom"/>
            <w:gridSpan w:val="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Report of Independent Registered Public Accounting Firm on Effectiveness of Internal Control over Financial Reporting</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250"/>
        </w:trPr>
        <w:tc>
          <w:tcPr>
            <w:tcW w:w="86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Report of Independent Registered Public Accounting Firm on Financial Statements</w:t>
              </w:r>
            </w:hyperlink>
          </w:p>
        </w:tc>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46</w:t>
              </w:r>
            </w:hyperlink>
          </w:p>
        </w:tc>
      </w:tr>
      <w:tr>
        <w:trPr>
          <w:trHeight w:val="250"/>
        </w:trPr>
        <w:tc>
          <w:tcPr>
            <w:tcW w:w="59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Balance Sheets as of December 31, 2018 and 2017</w:t>
              </w:r>
            </w:hyperlink>
          </w:p>
        </w:tc>
        <w:tc>
          <w:tcPr>
            <w:tcW w:w="508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Statements of Earnings for the years ended December 31, 2018, 2017 and 2016</w:t>
              </w:r>
            </w:hyperlink>
          </w:p>
        </w:tc>
        <w:tc>
          <w:tcPr>
            <w:tcW w:w="436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49</w:t>
              </w:r>
            </w:hyperlink>
          </w:p>
        </w:tc>
      </w:tr>
      <w:tr>
        <w:trPr>
          <w:trHeight w:val="250"/>
        </w:trPr>
        <w:tc>
          <w:tcPr>
            <w:tcW w:w="7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Consolidated Statements of Comprehensive Earnings for the years ended December 31, 2018, 2017 and 2016</w:t>
              </w:r>
            </w:hyperlink>
          </w:p>
        </w:tc>
        <w:tc>
          <w:tcPr>
            <w:tcW w:w="31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51</w:t>
              </w:r>
            </w:hyperlink>
          </w:p>
        </w:tc>
      </w:tr>
      <w:tr>
        <w:trPr>
          <w:trHeight w:val="250"/>
        </w:trPr>
        <w:tc>
          <w:tcPr>
            <w:tcW w:w="6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Consolidated Statements of Equity for the years ended December 31, 2018, 2017 and 2016</w:t>
              </w:r>
            </w:hyperlink>
          </w:p>
        </w:tc>
        <w:tc>
          <w:tcPr>
            <w:tcW w:w="45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52</w:t>
              </w:r>
            </w:hyperlink>
          </w:p>
        </w:tc>
      </w:tr>
      <w:tr>
        <w:trPr>
          <w:trHeight w:val="250"/>
        </w:trPr>
        <w:tc>
          <w:tcPr>
            <w:tcW w:w="11060" w:type="dxa"/>
            <w:vAlign w:val="bottom"/>
            <w:gridSpan w:val="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260" w:type="dxa"/>
            <w:vAlign w:val="bottom"/>
            <w:gridSpan w:val="2"/>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54</w:t>
              </w:r>
            </w:hyperlink>
          </w:p>
        </w:tc>
      </w:tr>
      <w:tr>
        <w:trPr>
          <w:trHeight w:val="250"/>
        </w:trPr>
        <w:tc>
          <w:tcPr>
            <w:tcW w:w="69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Notes to Consolidated Financial Statements</w:t>
              </w:r>
            </w:hyperlink>
          </w:p>
        </w:tc>
        <w:tc>
          <w:tcPr>
            <w:tcW w:w="41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60" w:type="dxa"/>
            <w:vAlign w:val="bottom"/>
            <w:gridSpan w:val="9"/>
          </w:tcPr>
          <w:p>
            <w:pPr>
              <w:ind w:left="300"/>
              <w:spacing w:after="0"/>
              <w:rPr>
                <w:sz w:val="20"/>
                <w:szCs w:val="20"/>
                <w:color w:val="auto"/>
              </w:rPr>
            </w:pPr>
            <w:r>
              <w:rPr>
                <w:rFonts w:ascii="Times New Roman" w:cs="Times New Roman" w:eastAsia="Times New Roman" w:hAnsi="Times New Roman"/>
                <w:sz w:val="18"/>
                <w:szCs w:val="18"/>
                <w:color w:val="auto"/>
              </w:rPr>
              <w:t xml:space="preserve">(a) (2)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The following is a list of financial statement schedules filed as part of this annual report on Form 10-K: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 xml:space="preserve">Schedule II: </w:t>
            </w:r>
            <w:r>
              <w:rPr>
                <w:rFonts w:ascii="Times New Roman" w:cs="Times New Roman" w:eastAsia="Times New Roman" w:hAnsi="Times New Roman"/>
                <w:sz w:val="18"/>
                <w:szCs w:val="18"/>
                <w:color w:val="auto"/>
              </w:rPr>
              <w:t>Fidelity National Financial, Inc. (Parent Company Financial Statements)</w:t>
            </w:r>
          </w:p>
        </w:tc>
        <w:tc>
          <w:tcPr>
            <w:tcW w:w="26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03">
              <w:r>
                <w:rPr>
                  <w:rFonts w:ascii="Times New Roman" w:cs="Times New Roman" w:eastAsia="Times New Roman" w:hAnsi="Times New Roman"/>
                  <w:sz w:val="18"/>
                  <w:szCs w:val="18"/>
                  <w:color w:val="0000EE"/>
                  <w:w w:val="88"/>
                </w:rPr>
                <w:t>100</w:t>
              </w:r>
            </w:hyperlink>
          </w:p>
        </w:tc>
      </w:tr>
    </w:tbl>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The following exhibits are incorporated by reference or are set forth on pages to this Form 10-K:</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80" w:type="dxa"/>
            <w:vAlign w:val="bottom"/>
          </w:tcPr>
          <w:p>
            <w:pPr>
              <w:spacing w:after="0"/>
              <w:rPr>
                <w:sz w:val="19"/>
                <w:szCs w:val="19"/>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Securities Exchange and Distribution Agreement between Old FNF and the Registrant, dated as of June 25, 2006, as amended and restated as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September 18, 2006 (incorporated by reference to Annex A to the Registrant’s Schedule 14C filed on September 19, 2006</w:t>
              </w:r>
            </w:hyperlink>
          </w:p>
        </w:tc>
        <w:tc>
          <w:tcPr>
            <w:tcW w:w="1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Reorganization Agreement, dated as of June 8, 2017, by and among Fidelity National Financial, Inc., Black Knight Holdings, Inc., and New BKH</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0"/>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Corp. (incorporated by reference to Exhibit 2.1 to the Registrant’s Current Report on Form 8-K filed on June 9,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Agreement and Plan of Merger, dated as of June 8, 2017, by and among Fidelity National Financial, Inc., New BKH Corp., Black Knight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0"/>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Financial Services, Inc., Black Knight Holdco Corp., New BKH Merger Sub, Inc., and BKFS Merger Sub,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Exhibit 2.2 to the Registrant’s Current Report on Form 8-K filed on June 9, 2017)</w:t>
              </w:r>
            </w:hyperlink>
          </w:p>
        </w:tc>
        <w:tc>
          <w:tcPr>
            <w:tcW w:w="464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Reorganization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(incorporated by reference to Exhibit 2.1 to the Registrant’s Current Report on Form 8-K filed on November 20, 2017)</w:t>
              </w:r>
            </w:hyperlink>
          </w:p>
        </w:tc>
        <w:tc>
          <w:tcPr>
            <w:tcW w:w="1260" w:type="dxa"/>
            <w:vAlign w:val="bottom"/>
            <w:tcBorders>
              <w:top w:val="single" w:sz="8" w:color="0000FF"/>
            </w:tcBorders>
            <w:gridSpan w:val="4"/>
          </w:tcPr>
          <w:p>
            <w:pPr>
              <w:spacing w:after="0"/>
              <w:rPr>
                <w:sz w:val="17"/>
                <w:szCs w:val="17"/>
                <w:color w:val="auto"/>
              </w:rPr>
            </w:pPr>
          </w:p>
        </w:tc>
        <w:tc>
          <w:tcPr>
            <w:tcW w:w="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Agreement and Plan of Merger, dated as of March 18, 2018, by and among Stewart Information Services Corporation, Fidelity National</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Financial, Inc., A Holdco Corp., and S Holdco LLC. (incorporated by reference to Exhibit 2.1 to the Registrant’s Current Report on Form 8-K</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filed on March 19, 2018)</w:t>
              </w:r>
            </w:hyperlink>
          </w:p>
        </w:tc>
        <w:tc>
          <w:tcPr>
            <w:tcW w:w="87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Fifth 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filed on June 13, 2018)</w:t>
              </w:r>
            </w:hyperlink>
          </w:p>
        </w:tc>
        <w:tc>
          <w:tcPr>
            <w:tcW w:w="8860" w:type="dxa"/>
            <w:vAlign w:val="bottom"/>
            <w:tcBorders>
              <w:top w:val="single" w:sz="8" w:color="0000FF"/>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Fourth Amended and Restated Bylaws of Fidelity National Financial, Inc., February 1, 2017 (incorporated by reference to Exhibit 3.1 to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National Financial, Inc.’s Current Report on Form 8-K, dated February 2, 2017)</w:t>
              </w:r>
            </w:hyperlink>
          </w:p>
        </w:tc>
        <w:tc>
          <w:tcPr>
            <w:tcW w:w="4660" w:type="dxa"/>
            <w:vAlign w:val="bottom"/>
            <w:tcBorders>
              <w:top w:val="single" w:sz="8" w:color="0000FF"/>
            </w:tcBorders>
            <w:gridSpan w:val="19"/>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1"/>
                <w:szCs w:val="21"/>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Indenture between the Registrant and The Bank of New York Trust Company, N.A., dated December 8, 2005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Exhibit 4.1 to the Registrant’s Annual Report on Form 10-K for the year ended December 31, 2005)</w:t>
              </w:r>
            </w:hyperlink>
          </w:p>
        </w:tc>
        <w:tc>
          <w:tcPr>
            <w:tcW w:w="332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1"/>
                <w:szCs w:val="21"/>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First Supplemental Indenture between the Registrant and the Bank of New York Trust Company, N.A., dated as of January 6, 2006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by reference to Exhibit 4.1 to the Registrant’s Current Report on Form 8-K filed on January 24, 2006)</w:t>
              </w:r>
            </w:hyperlink>
          </w:p>
        </w:tc>
        <w:tc>
          <w:tcPr>
            <w:tcW w:w="32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Second Supplemental Indenture, dated May 5, 2010,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(incorporated by reference to Exhibit 4.1 to the Registrant's Current Report on Form 8-K filed on May 5, 2010)</w:t>
              </w:r>
            </w:hyperlink>
          </w:p>
        </w:tc>
        <w:tc>
          <w:tcPr>
            <w:tcW w:w="2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Third Supplemental Indenture, dated as of June 30, 2014,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0"/>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(incorporated by reference to Exhibit 4.1 to the Registrant's Current Report on Form 8-K filed on June 30,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of Subordinated Indenture between the Registrant and the Bank of New York Trust Company, N.A.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Exhibit 4.2 (A) to the Registrant’s Registration Statement on Form S-3 filed on November 14, 2007)</w:t>
              </w:r>
            </w:hyperlink>
          </w:p>
        </w:tc>
        <w:tc>
          <w:tcPr>
            <w:tcW w:w="3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80" w:type="dxa"/>
            <w:vAlign w:val="bottom"/>
          </w:tcPr>
          <w:p>
            <w:pPr>
              <w:spacing w:after="0"/>
              <w:rPr>
                <w:sz w:val="21"/>
                <w:szCs w:val="21"/>
                <w:color w:val="auto"/>
              </w:rPr>
            </w:pPr>
          </w:p>
        </w:tc>
        <w:tc>
          <w:tcPr>
            <w:tcW w:w="105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4.25% Convertible Senior Note due August 2018 (incorporated by reference to Exhibit 4.5 to the Registrant's Current Report on Form 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45">
              <w:r>
                <w:rPr>
                  <w:rFonts w:ascii="Times New Roman" w:cs="Times New Roman" w:eastAsia="Times New Roman" w:hAnsi="Times New Roman"/>
                  <w:sz w:val="18"/>
                  <w:szCs w:val="18"/>
                  <w:color w:val="0000FF"/>
                  <w:w w:val="98"/>
                </w:rPr>
                <w:t>K filed on August 2, 2011)</w:t>
              </w:r>
            </w:hyperlink>
          </w:p>
        </w:tc>
        <w:tc>
          <w:tcPr>
            <w:tcW w:w="8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80" w:type="dxa"/>
            <w:vAlign w:val="bottom"/>
          </w:tcPr>
          <w:p>
            <w:pPr>
              <w:spacing w:after="0"/>
              <w:rPr>
                <w:sz w:val="24"/>
                <w:szCs w:val="24"/>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Fourth Supplemental Indenture, dated August 13, 2018,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(incorporated by reference to Exhibit 4.4 to the Registrant's Current Report on Form 8-K filed on August 13, 2018)</w:t>
              </w:r>
            </w:hyperlink>
          </w:p>
        </w:tc>
        <w:tc>
          <w:tcPr>
            <w:tcW w:w="1600" w:type="dxa"/>
            <w:vAlign w:val="bottom"/>
            <w:tcBorders>
              <w:top w:val="single" w:sz="8" w:color="0000FF"/>
            </w:tcBorders>
            <w:gridSpan w:val="7"/>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80" w:type="dxa"/>
            <w:vAlign w:val="bottom"/>
          </w:tcPr>
          <w:p>
            <w:pPr>
              <w:spacing w:after="0"/>
              <w:rPr>
                <w:sz w:val="24"/>
                <w:szCs w:val="24"/>
                <w:color w:val="auto"/>
              </w:rPr>
            </w:pPr>
          </w:p>
        </w:tc>
        <w:tc>
          <w:tcPr>
            <w:tcW w:w="103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Form of 4.50% Senior Note of the Registrant due 2028 (incorporated by reference to Exhibit A to Exhibit 4.4 to the Registrant's Current Report</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on Form 8-K filed on August 13, 2018).</w:t>
              </w:r>
            </w:hyperlink>
          </w:p>
        </w:tc>
        <w:tc>
          <w:tcPr>
            <w:tcW w:w="7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80" w:type="dxa"/>
            <w:vAlign w:val="bottom"/>
          </w:tcPr>
          <w:p>
            <w:pPr>
              <w:spacing w:after="0"/>
              <w:rPr>
                <w:sz w:val="24"/>
                <w:szCs w:val="24"/>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 xml:space="preserve">Specimen certificate for shares of the Registrant’s FNF Group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0.0001 per Share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30"/>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Registration Statement on Form S-4/A filed on May 5,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Fourth Amended and Restated Credit Agreement, dated as of April 27, 2017, by and among Fidelity National Financial, Inc., a Delaware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corporation, as the borrower, Bank of America, N.A., as administrative agent, the other agents party thereto and the financial institutions party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thereto as lenders (incorporated by reference to Exhibit 10.2 to the Registrant's Current Report on Form 8-K filed on May 2, 2017)</w:t>
              </w:r>
            </w:hyperlink>
          </w:p>
        </w:tc>
        <w:tc>
          <w:tcPr>
            <w:tcW w:w="11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1"/>
                <w:szCs w:val="21"/>
                <w:color w:val="auto"/>
              </w:rPr>
            </w:pPr>
          </w:p>
        </w:tc>
        <w:tc>
          <w:tcPr>
            <w:tcW w:w="10560" w:type="dxa"/>
            <w:vAlign w:val="bottom"/>
            <w:gridSpan w:val="3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Fidelity National Financial, Inc. 2005 Omnibus Incentive Plan (incorporated by reference to Annex A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Schedule 14A filed on April 29, 2016) (1)</w:t>
              </w:r>
            </w:hyperlink>
          </w:p>
        </w:tc>
        <w:tc>
          <w:tcPr>
            <w:tcW w:w="750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6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107">
              <w:r>
                <w:rPr>
                  <w:rFonts w:ascii="Times New Roman" w:cs="Times New Roman" w:eastAsia="Times New Roman" w:hAnsi="Times New Roman"/>
                  <w:sz w:val="18"/>
                  <w:szCs w:val="18"/>
                  <w:color w:val="0000FF"/>
                  <w:w w:val="99"/>
                </w:rPr>
                <w:t>Amended and Restated Fidelity National Financial, Inc. 2013 Employee Stock Purchase Plan (1)</w:t>
              </w:r>
            </w:hyperlink>
          </w:p>
        </w:tc>
        <w:tc>
          <w:tcPr>
            <w:tcW w:w="35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Fidelity National Financial, Inc. Annual Incentive Plan (incorporated by reference to Annex B to the Registrant's Schedule 14A filed on April 29,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2016) (1)</w:t>
              </w:r>
            </w:hyperlink>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960" w:type="dxa"/>
            <w:vAlign w:val="bottom"/>
            <w:gridSpan w:val="7"/>
          </w:tcPr>
          <w:p>
            <w:pPr>
              <w:jc w:val="right"/>
              <w:ind w:right="608"/>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13"/>
            <w:vMerge w:val="restart"/>
          </w:tcPr>
          <w:p>
            <w:pPr>
              <w:jc w:val="center"/>
              <w:ind w:right="4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Fidelity National Financial, Inc. Deferred Compensation Plan, as amended and restated, effective January 1, 2009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Exhibit 10.18 to the Registrant’s Annual Report on Form 10-K for the year ended December 31, 2008)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Notice of FNF Group Stock Option Award and FNF Group Stock Option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National Financial, Inc. 2005 Omnibus Incentive Plan for October 2015 Awards (incorporated by reference to Exhibit 10.12 to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Annual Report on Form 10-K for the year ended December 31, 2015)(1)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Notice of Stock Option Award and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Omnibus Incentive Plan for November 2013 Awards (incorporated by reference to Exhibit 10.12 to the Registrant’s Annual Report on Form 10-K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for the year ended December 31, 2013)(1)</w:t>
              </w:r>
            </w:hyperlink>
          </w:p>
        </w:tc>
        <w:tc>
          <w:tcPr>
            <w:tcW w:w="750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Notice of Stock Option Grant and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Omnibus Incentive Plan (incorporated by reference to Exhibit 10.10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December 31, 2012) (1)</w:t>
              </w:r>
            </w:hyperlink>
          </w:p>
        </w:tc>
        <w:tc>
          <w:tcPr>
            <w:tcW w:w="8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Employment Agreement between the Registrant and Anthony J. Park, effective as of October 10, 2008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reference to Exhibit 10.11 to Registrant’s Annual Report on Form 10-K for the year ended December 31, 2008) (1)</w:t>
              </w:r>
            </w:hyperlink>
          </w:p>
        </w:tc>
        <w:tc>
          <w:tcPr>
            <w:tcW w:w="2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effective February 4, 2010 to Amended and Restated Employment Agreement between the Registrant and Anthony J. Park, effective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as of October 10, 2008 (incorporated by reference to Exhibit 10.13 to the Registrant's Annual Report on Form 10-K for the year ended December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31, 2009) (1)</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effective as of July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(incorporated by reference to Exhibit 10.1 to the Registrant’s Quarterly Report on Form 10-Q for the quarter ended June 30, 2012)(1)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Amendment effective as of January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(incorporated by reference to Exhibit 10.16 to the Registrant’s Annual Report on Form 10-K for the year ended December 31, 2011)(1)</w:t>
              </w:r>
            </w:hyperlink>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Amendment effective February 4, 2010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(incorporated by reference to Exhibit 10.15 to the Registrant’s Annual Report on Form 10-K for the year ended December 31, 2009)</w:t>
              </w:r>
            </w:hyperlink>
          </w:p>
        </w:tc>
        <w:tc>
          <w:tcPr>
            <w:tcW w:w="9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jc w:val="cente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Employment Agreement between the Registrant and Brent B. Bickett, effective July 2, 2008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Exhibit 10.17 to the Registrants Annual Report on Form 10-K for the year ended December 31, 2017) (1)</w:t>
              </w:r>
            </w:hyperlink>
          </w:p>
        </w:tc>
        <w:tc>
          <w:tcPr>
            <w:tcW w:w="2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Director Services Agreement between Fidelity National Financial, Inc. and William P. Foley, II (incorporated by reference to Exhibit 10.27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Registrant's Annual Report on Form 10-K for the year ended December 31, 2015) (1)</w:t>
              </w:r>
            </w:hyperlink>
          </w:p>
        </w:tc>
        <w:tc>
          <w:tcPr>
            <w:tcW w:w="438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Employment Agreement between the Registrant and Raymond R. Quirk, effective as of October 10, 2008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10.16 to Registrant’s Annual Report on Form 10-K for the year ended December 31,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8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Amendment effective February 4, 2010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effective as of October 10, 2008 (incorporated by reference to Exhibit 10.21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December 31, 2009) (1)</w:t>
              </w:r>
            </w:hyperlink>
          </w:p>
        </w:tc>
        <w:tc>
          <w:tcPr>
            <w:tcW w:w="8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Employment Agreement between the Registrant and Michael L. Gravelle, effective as of January 30, 2013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by reference to Exhibit 10.22 to the Registrant's Annual Report on Form 10-K for the year ended December 31, 2012) (1)</w:t>
              </w:r>
            </w:hyperlink>
          </w:p>
        </w:tc>
        <w:tc>
          <w:tcPr>
            <w:tcW w:w="17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Amendment No. 2 to Amended and Restated Employment Agreement between the Registrant and Michael L. Gravelle, effective as of March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2015 (incorporated by reference to Exhibit 10.2 to the Registrant’s Quarterly Report on Form 10-Q for the quarter ended March 31, 2015) (1)</w:t>
              </w:r>
            </w:hyperlink>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Employment Agreement between the Registrant and Peter T. Sadowski, effective as of February 4, 2010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reference to Exhibit 10.26 to the Registrant's Annual Report on Form 10-K for the year ended December 31, 2012) (1)</w:t>
              </w:r>
            </w:hyperlink>
          </w:p>
        </w:tc>
        <w:tc>
          <w:tcPr>
            <w:tcW w:w="2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ServiceLink Holdings, LLC 2013 Management Incentive Plan (incorporated by reference to Exhibit 10.2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8-K filed on January 15, 2014)(1)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80" w:type="dxa"/>
            <w:vAlign w:val="bottom"/>
          </w:tcPr>
          <w:p>
            <w:pPr>
              <w:spacing w:after="0"/>
              <w:rPr>
                <w:sz w:val="21"/>
                <w:szCs w:val="21"/>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ServiceLink Holdings, LLC Unit Grant Agreement (incorporated by reference to Exhibit 10.4 to the Registrant's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8-K filed on January 15, 2014)(1)</w:t>
              </w:r>
            </w:hyperlink>
          </w:p>
        </w:tc>
        <w:tc>
          <w:tcPr>
            <w:tcW w:w="810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7"/>
          </w:tcPr>
          <w:p>
            <w:pPr>
              <w:ind w:left="478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bottom w:val="single" w:sz="8" w:color="auto"/>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80" w:type="dxa"/>
            <w:vAlign w:val="bottom"/>
          </w:tcPr>
          <w:p>
            <w:pPr>
              <w:spacing w:after="0"/>
              <w:rPr>
                <w:sz w:val="18"/>
                <w:szCs w:val="18"/>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ServiceLink Holdings, LLC Incentive Plan (incorporated by reference to Exhibit 10.6 to the to the Registrant’s Current Report on Form 8-K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on January 15, 2014) (1)</w:t>
              </w:r>
            </w:hyperlink>
          </w:p>
        </w:tc>
        <w:tc>
          <w:tcPr>
            <w:tcW w:w="8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Amendment effective May 3, 2016 to Director Services Agreement between the Registrant and William P. Foley II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10.1 to Registrant's Quarterly Report on Form 10-Q for the quarter ended June 30, 2016)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 effective May 3, 2016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(incorporated by reference to Exhibit 10.2 to the Registrant's Quarterly Report on Form 10-Q for the quarter ended June 30, 2016) (1)</w:t>
              </w:r>
            </w:hyperlink>
          </w:p>
        </w:tc>
        <w:tc>
          <w:tcPr>
            <w:tcW w:w="9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 effective May 3, 2016 to Amended and Restated Employment Agreement between the Registrant and Brent B. Bickett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by reference to Exhibit 10.3 to the Registrant's Quarterly Report on Form 10-Q for the quarter ended June 30, 2016) (1)</w:t>
              </w:r>
            </w:hyperlink>
          </w:p>
        </w:tc>
        <w:tc>
          <w:tcPr>
            <w:tcW w:w="19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Amendment effective May 3, 2016 to Amended and Restated Employment Agreement between the Registrant and Anthony J. Park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by reference to Exhibit 10.4 to the Registrant's Quarterly Report on Form 10-Q for the quarter ended June 30, 2016) (1)</w:t>
              </w:r>
            </w:hyperlink>
          </w:p>
        </w:tc>
        <w:tc>
          <w:tcPr>
            <w:tcW w:w="19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Amendment effective May 3, 2016 to Amended and Restated Employment Agreement between the Registrant and Michael L. Gravelle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(incorporated by reference to Exhibit 10.5 to the Registrant's Quarterly Report on Form 10-Q for the quarter ended June 30, 2016) (1)</w:t>
              </w:r>
            </w:hyperlink>
          </w:p>
        </w:tc>
        <w:tc>
          <w:tcPr>
            <w:tcW w:w="9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Amendment effective May 3, 2016 to Amended and Restated Employment Agreement between the Registrant and Peter T. Sadowski</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by reference to Exhibit 10.6 to the Registrant's Quarterly Report on Form 10-Q for the quarter ended June 30, 2016) (1)</w:t>
              </w:r>
            </w:hyperlink>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Employment Agreement between the Registrant and Michael Nolan effective March 2, 2016 (incorporated by reference to Exhibit 10.7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Registrant's Quarterly Report on Form 10-Q for the quarter ended June 30, 2016)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Amendment effective May 3, 2016 to Employment Agreement between the Registrant and Michael Nolan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8</w:t>
              </w:r>
              <w:r>
                <w:rPr>
                  <w:rFonts w:ascii="Times New Roman" w:cs="Times New Roman" w:eastAsia="Times New Roman" w:hAnsi="Times New Roman"/>
                  <w:sz w:val="18"/>
                  <w:szCs w:val="18"/>
                  <w:color w:val="0000FF"/>
                  <w:w w:val="99"/>
                </w:rPr>
                <w:t xml:space="preserve"> to the Registrant's Quarterly Report on Form 10-Q for the quarter ended June 30, 2016) (1)</w:t>
              </w:r>
            </w:hyperlink>
          </w:p>
        </w:tc>
        <w:tc>
          <w:tcPr>
            <w:tcW w:w="36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Employment Agreement between the Registrant and Roger Jewkes effective March 3, 2016 (incorporated by reference to Exhibit 10.9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Registrant's Quarterly Report on Form 10-Q for the quarter ended June 30, 2016)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Amendment effective May 3, 2016 to Employment Agreement between the Registrant and Roger Jewkes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5"/>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to the 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Notice of FNF Group Restricted Stock Grant and FNF Group Restricted Stock Award Agreement (Time-Based) under Amended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Restated Fidelity National Financial, Inc. 2005 Omnibus Incentive Plan for March 2016 Awards (incorporated by reference to Exhibit 10.58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Registrant's Annual Report on Form 10-K for the year ended December 31, 2016) (1)</w:t>
              </w:r>
            </w:hyperlink>
          </w:p>
        </w:tc>
        <w:tc>
          <w:tcPr>
            <w:tcW w:w="438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Notice of FNF Group Restricted Stock Grant and FNF Group Restricted Stock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National Financial, Inc. 2005 Omnibus Incentive Plan for December 2016 Awards (incorporated by reference to Exhibit 10.59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5"/>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Annual Report on Form 10-K for the year ended December 31, 2016)(1)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Notice of FNF Group Restricted Stock Grant and FNF Group Restricted Stock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National Financial, Inc. 2005 Omnibus Incentive Plan for October 2017 Awards (incorporated by reference to Exhibit 10.39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5"/>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Annual Report on Form 10-K for the year ended December 31, 2017)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Tax Matters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5"/>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10.1 to the Registrant's Current Report on Form 8-K filed on November 20,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4020" w:type="dxa"/>
            <w:vAlign w:val="bottom"/>
            <w:gridSpan w:val="10"/>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80" w:type="dxa"/>
            <w:vAlign w:val="bottom"/>
          </w:tcPr>
          <w:p>
            <w:pPr>
              <w:spacing w:after="0"/>
              <w:rPr>
                <w:sz w:val="21"/>
                <w:szCs w:val="21"/>
                <w:color w:val="auto"/>
              </w:rPr>
            </w:pPr>
          </w:p>
        </w:tc>
        <w:tc>
          <w:tcPr>
            <w:tcW w:w="10560" w:type="dxa"/>
            <w:vAlign w:val="bottom"/>
            <w:gridSpan w:val="15"/>
          </w:tcPr>
          <w:p>
            <w:pPr>
              <w:spacing w:after="0"/>
              <w:rPr>
                <w:rFonts w:ascii="Times New Roman" w:cs="Times New Roman" w:eastAsia="Times New Roman" w:hAnsi="Times New Roman"/>
                <w:sz w:val="18"/>
                <w:szCs w:val="18"/>
                <w:color w:val="0000FF"/>
              </w:rPr>
            </w:pPr>
            <w:hyperlink w:anchor="page115">
              <w:r>
                <w:rPr>
                  <w:rFonts w:ascii="Times New Roman" w:cs="Times New Roman" w:eastAsia="Times New Roman" w:hAnsi="Times New Roman"/>
                  <w:sz w:val="18"/>
                  <w:szCs w:val="18"/>
                  <w:color w:val="0000FF"/>
                </w:rPr>
                <w:t>Form of Notice of Restricted Stock Grant and FNF Restricted Stock Award Agreement under Amended and Restated Fidelity National Financial,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115">
              <w:r>
                <w:rPr>
                  <w:rFonts w:ascii="Times New Roman" w:cs="Times New Roman" w:eastAsia="Times New Roman" w:hAnsi="Times New Roman"/>
                  <w:sz w:val="18"/>
                  <w:szCs w:val="18"/>
                  <w:color w:val="0000FF"/>
                  <w:w w:val="99"/>
                </w:rPr>
                <w:t>Inc. 2005 Omnibus Incentive Plan for October 2018 Awards (1)</w:t>
              </w:r>
            </w:hyperlink>
          </w:p>
        </w:tc>
        <w:tc>
          <w:tcPr>
            <w:tcW w:w="594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4"/>
          </w:tcPr>
          <w:p>
            <w:pPr>
              <w:ind w:left="4780"/>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21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21">
              <w:r>
                <w:rPr>
                  <w:rFonts w:ascii="Times New Roman" w:cs="Times New Roman" w:eastAsia="Times New Roman" w:hAnsi="Times New Roman"/>
                  <w:sz w:val="18"/>
                  <w:szCs w:val="18"/>
                  <w:color w:val="0000FF"/>
                  <w:w w:val="99"/>
                </w:rPr>
                <w:t>Subsidiaries of the Registrant</w:t>
              </w:r>
            </w:hyperlink>
          </w:p>
        </w:tc>
        <w:tc>
          <w:tcPr>
            <w:tcW w:w="84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1"/>
                <w:szCs w:val="21"/>
                <w:color w:val="auto"/>
              </w:rPr>
            </w:pPr>
          </w:p>
        </w:tc>
        <w:tc>
          <w:tcPr>
            <w:tcW w:w="10540" w:type="dxa"/>
            <w:vAlign w:val="bottom"/>
            <w:gridSpan w:val="9"/>
          </w:tcPr>
          <w:p>
            <w:pPr>
              <w:spacing w:after="0"/>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1"/>
                <w:szCs w:val="21"/>
                <w:color w:val="auto"/>
              </w:rPr>
            </w:pPr>
          </w:p>
        </w:tc>
        <w:tc>
          <w:tcPr>
            <w:tcW w:w="52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123">
              <w:r>
                <w:rPr>
                  <w:rFonts w:ascii="Times New Roman" w:cs="Times New Roman" w:eastAsia="Times New Roman" w:hAnsi="Times New Roman"/>
                  <w:sz w:val="18"/>
                  <w:szCs w:val="18"/>
                  <w:color w:val="0000FF"/>
                  <w:w w:val="99"/>
                </w:rPr>
                <w:t>Consent of KPMG LLP, Independent Registered Public Accounting Firm</w:t>
              </w:r>
            </w:hyperlink>
          </w:p>
        </w:tc>
        <w:tc>
          <w:tcPr>
            <w:tcW w:w="560" w:type="dxa"/>
            <w:vAlign w:val="bottom"/>
            <w:tcBorders>
              <w:top w:val="single" w:sz="8" w:color="0000FF"/>
            </w:tcBorders>
            <w:gridSpan w:val="2"/>
          </w:tcPr>
          <w:p>
            <w:pPr>
              <w:spacing w:after="0"/>
              <w:rPr>
                <w:sz w:val="21"/>
                <w:szCs w:val="21"/>
                <w:color w:val="auto"/>
              </w:rPr>
            </w:pPr>
          </w:p>
        </w:tc>
        <w:tc>
          <w:tcPr>
            <w:tcW w:w="47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10540" w:type="dxa"/>
            <w:vAlign w:val="bottom"/>
            <w:gridSpan w:val="9"/>
          </w:tcPr>
          <w:p>
            <w:pPr>
              <w:spacing w:after="0"/>
              <w:rPr>
                <w:rFonts w:ascii="Times New Roman" w:cs="Times New Roman" w:eastAsia="Times New Roman" w:hAnsi="Times New Roman"/>
                <w:sz w:val="18"/>
                <w:szCs w:val="18"/>
                <w:color w:val="0000FF"/>
              </w:rPr>
            </w:pPr>
            <w:hyperlink w:anchor="page124">
              <w:r>
                <w:rPr>
                  <w:rFonts w:ascii="Times New Roman" w:cs="Times New Roman" w:eastAsia="Times New Roman" w:hAnsi="Times New Roman"/>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1"/>
                <w:szCs w:val="21"/>
                <w:color w:val="auto"/>
              </w:rPr>
            </w:pPr>
          </w:p>
        </w:tc>
        <w:tc>
          <w:tcPr>
            <w:tcW w:w="718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Certification of Chief Financial Officer pursuant to Section 302 of the Sarbanes-Oxley Act of 2002</w:t>
              </w:r>
            </w:hyperlink>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180" w:type="dxa"/>
            <w:vAlign w:val="bottom"/>
            <w:gridSpan w:val="6"/>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10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126">
              <w:r>
                <w:rPr>
                  <w:rFonts w:ascii="Times New Roman" w:cs="Times New Roman" w:eastAsia="Times New Roman" w:hAnsi="Times New Roman"/>
                  <w:sz w:val="18"/>
                  <w:szCs w:val="18"/>
                  <w:color w:val="0000FF"/>
                  <w:w w:val="99"/>
                </w:rPr>
                <w:t>Section 1350</w:t>
              </w:r>
            </w:hyperlink>
          </w:p>
        </w:tc>
        <w:tc>
          <w:tcPr>
            <w:tcW w:w="9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1"/>
                <w:szCs w:val="21"/>
                <w:color w:val="auto"/>
              </w:rPr>
            </w:pPr>
          </w:p>
        </w:tc>
        <w:tc>
          <w:tcPr>
            <w:tcW w:w="10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127">
              <w:r>
                <w:rPr>
                  <w:rFonts w:ascii="Times New Roman" w:cs="Times New Roman" w:eastAsia="Times New Roman" w:hAnsi="Times New Roman"/>
                  <w:sz w:val="18"/>
                  <w:szCs w:val="18"/>
                  <w:color w:val="0000FF"/>
                  <w:w w:val="99"/>
                </w:rPr>
                <w:t>Section 1350</w:t>
              </w:r>
            </w:hyperlink>
          </w:p>
        </w:tc>
        <w:tc>
          <w:tcPr>
            <w:tcW w:w="9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840" w:hanging="562"/>
        <w:spacing w:after="0" w:line="261" w:lineRule="auto"/>
        <w:tabs>
          <w:tab w:leader="none" w:pos="8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Fidelity National Financial, Inc.'s Annual Report on Form 10-K for the year ended December 31, 2018,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Consolidated Financial Statements.</w:t>
      </w:r>
    </w:p>
    <w:p>
      <w:pPr>
        <w:spacing w:after="0" w:line="2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15(c) of Form 10-K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121"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61" w:lineRule="exact"/>
        <w:rPr>
          <w:sz w:val="20"/>
          <w:szCs w:val="20"/>
          <w:color w:val="auto"/>
        </w:rPr>
      </w:pPr>
    </w:p>
    <w:p>
      <w:pPr>
        <w:ind w:left="632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35560</wp:posOffset>
            </wp:positionV>
            <wp:extent cx="23755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266" w:lineRule="exact"/>
        <w:rPr>
          <w:sz w:val="20"/>
          <w:szCs w:val="20"/>
          <w:color w:val="auto"/>
        </w:rPr>
      </w:pPr>
    </w:p>
    <w:p>
      <w:pPr>
        <w:ind w:left="40" w:right="68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60" w:type="dxa"/>
            <w:vAlign w:val="bottom"/>
          </w:tcPr>
          <w:p>
            <w:pPr>
              <w:spacing w:after="0"/>
              <w:rPr>
                <w:sz w:val="13"/>
                <w:szCs w:val="13"/>
                <w:color w:val="auto"/>
              </w:rPr>
            </w:pP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Raymond R. Quirk</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Raymond R. Quirk</w:t>
            </w:r>
          </w:p>
        </w:tc>
        <w:tc>
          <w:tcPr>
            <w:tcW w:w="514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Anthony J. Park</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William P. Foley, II</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Douglas K. Ammerman</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Thomas M. Hagerty</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Daniel D. (Ron) Lane</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Richard N. Massey</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Heather H. Murren</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Heather H. Murren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John D. Rood</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Peter O. Shea, Jr.</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Cary H. Thompson</w:t>
            </w:r>
          </w:p>
        </w:tc>
        <w:tc>
          <w:tcPr>
            <w:tcW w:w="51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color w:val="auto"/>
              </w:rPr>
              <w:t>February 19, 2019</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648"/>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410"/>
        </w:trPr>
        <w:tc>
          <w:tcPr>
            <w:tcW w:w="8660" w:type="dxa"/>
            <w:vAlign w:val="bottom"/>
          </w:tcPr>
          <w:p>
            <w:pPr>
              <w:jc w:val="center"/>
              <w:ind w:left="2706"/>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60" w:type="dxa"/>
            <w:vAlign w:val="bottom"/>
          </w:tcPr>
          <w:p>
            <w:pPr>
              <w:jc w:val="center"/>
              <w:ind w:left="2686"/>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60" w:type="dxa"/>
            <w:vAlign w:val="bottom"/>
          </w:tcPr>
          <w:p>
            <w:pPr>
              <w:jc w:val="center"/>
              <w:ind w:left="2686"/>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0" w:type="dxa"/>
            <w:vAlign w:val="bottom"/>
          </w:tcPr>
          <w:p>
            <w:pPr>
              <w:spacing w:after="0"/>
              <w:rPr>
                <w:sz w:val="1"/>
                <w:szCs w:val="1"/>
                <w:color w:val="auto"/>
              </w:rPr>
            </w:pPr>
          </w:p>
        </w:tc>
      </w:tr>
      <w:tr>
        <w:trPr>
          <w:trHeight w:val="208"/>
        </w:trPr>
        <w:tc>
          <w:tcPr>
            <w:tcW w:w="8660" w:type="dxa"/>
            <w:vAlign w:val="bottom"/>
          </w:tcPr>
          <w:p>
            <w:pPr>
              <w:ind w:left="5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230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 term investments</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Notes receivable</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576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 in and amounts due from subsidiaries</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4,672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 receivable</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5,582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60" w:type="dxa"/>
            <w:vAlign w:val="bottom"/>
            <w:shd w:val="clear" w:color="auto" w:fill="CCEEFF"/>
          </w:tcPr>
          <w:p>
            <w:pPr>
              <w:ind w:left="4700"/>
              <w:spacing w:after="0" w:line="151"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taxes payable</w:t>
            </w:r>
          </w:p>
        </w:tc>
        <w:tc>
          <w:tcPr>
            <w:tcW w:w="78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liability</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169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Notes payable</w:t>
            </w: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757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1,135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6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FNF common stock, $0.0001 par value; authorized 487,000,000 shares as of December 31, 2018 and 2017; outstanding of 275,373,834 and</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274,431,737 as of December 31, 2018 and 2017, respectively; and issued of 289,601,523 and 287,718,304 as of December 31, 2018 and 2017,</w:t>
            </w:r>
          </w:p>
        </w:tc>
        <w:tc>
          <w:tcPr>
            <w:tcW w:w="7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7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stock, $0.0001 par value; authorized 50,000,000 shares, issued and outstanding, none</w:t>
            </w:r>
          </w:p>
        </w:tc>
        <w:tc>
          <w:tcPr>
            <w:tcW w:w="78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4,587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Treasury stock, 14,227,689 shares and 13,286,567 shares as of December 31, 2018 and 2017, respectively, at cost</w:t>
            </w: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4,447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5,582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10"/>
        </w:trPr>
        <w:tc>
          <w:tcPr>
            <w:tcW w:w="7440" w:type="dxa"/>
            <w:vAlign w:val="bottom"/>
          </w:tcPr>
          <w:p>
            <w:pPr>
              <w:jc w:val="center"/>
              <w:ind w:left="3911"/>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7440" w:type="dxa"/>
            <w:vAlign w:val="bottom"/>
          </w:tcPr>
          <w:p>
            <w:pPr>
              <w:jc w:val="center"/>
              <w:ind w:left="3891"/>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240" w:type="dxa"/>
            <w:vAlign w:val="bottom"/>
            <w:gridSpan w:val="2"/>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w w:val="99"/>
              </w:rPr>
              <w:t>STATEMENTS OF EARNINGS AND RETAINED EARNINGS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3"/>
        </w:trPr>
        <w:tc>
          <w:tcPr>
            <w:tcW w:w="7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40" w:type="dxa"/>
            <w:vAlign w:val="bottom"/>
          </w:tcPr>
          <w:p>
            <w:pPr>
              <w:spacing w:after="0"/>
              <w:rPr>
                <w:sz w:val="17"/>
                <w:szCs w:val="17"/>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fees and revenue</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investment income and realized gains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59"/>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Personnel expenses</w:t>
            </w: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8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before income tax benefit and equity in earnings of subsidiaries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before equity in earnings of subsidiaries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671</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discontinued operations</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 beginning of year</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of Black Knight to FNF common shareholders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of FNFV tracking stock and distribution of Cannae Holdings, Inc. common stock to</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FNFV tracking stock</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effect of adoption of accounting standards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equity activity</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 end of year</w:t>
            </w: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1,784</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410"/>
        </w:trPr>
        <w:tc>
          <w:tcPr>
            <w:tcW w:w="8120" w:type="dxa"/>
            <w:vAlign w:val="bottom"/>
          </w:tcPr>
          <w:p>
            <w:pPr>
              <w:jc w:val="center"/>
              <w:ind w:left="3231"/>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2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Pacific Union Sale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decrease (increase)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increase (decrease) in accounts payable and other accrued liabilities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investments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(purchases of) proceeds from short-term investment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proceeds from the Pacific Union Sale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notes receivable</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Collection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investments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service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portion of debt conversions paid in cash</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for shares withheld for taxes and in treasury</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transferred in the Black Knight spin-off</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transferred in the FNFV split-off</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financing activity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dividends from subsidiaries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171"/>
              <w:spacing w:after="0"/>
              <w:rPr>
                <w:sz w:val="20"/>
                <w:szCs w:val="20"/>
                <w:color w:val="auto"/>
              </w:rPr>
            </w:pPr>
            <w:r>
              <w:rPr>
                <w:rFonts w:ascii="Times New Roman" w:cs="Times New Roman" w:eastAsia="Times New Roman" w:hAnsi="Times New Roman"/>
                <w:sz w:val="18"/>
                <w:szCs w:val="18"/>
                <w:color w:val="auto"/>
                <w:w w:val="99"/>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94"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2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1"/>
                <w:szCs w:val="21"/>
                <w:color w:val="auto"/>
              </w:rPr>
            </w:pPr>
          </w:p>
        </w:tc>
      </w:tr>
      <w:tr>
        <w:trPr>
          <w:trHeight w:val="255"/>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4.50%, due August 2028</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74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6"/>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at December 31, 2018, due April 2022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at LIBOR + 1.40%</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9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528</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367</w:t>
            </w:r>
          </w:p>
        </w:tc>
      </w:tr>
    </w:tbl>
    <w:p>
      <w:pPr>
        <w:spacing w:after="0" w:line="8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Dividends Received</w:t>
      </w:r>
    </w:p>
    <w:p>
      <w:pPr>
        <w:spacing w:after="0" w:line="94" w:lineRule="exact"/>
        <w:rPr>
          <w:sz w:val="20"/>
          <w:szCs w:val="20"/>
          <w:color w:val="auto"/>
        </w:rPr>
      </w:pPr>
    </w:p>
    <w:p>
      <w:pPr>
        <w:ind w:right="20" w:firstLine="270"/>
        <w:spacing w:after="0" w:line="282" w:lineRule="auto"/>
        <w:rPr>
          <w:sz w:val="20"/>
          <w:szCs w:val="20"/>
          <w:color w:val="auto"/>
        </w:rPr>
      </w:pPr>
      <w:r>
        <w:rPr>
          <w:rFonts w:ascii="Times New Roman" w:cs="Times New Roman" w:eastAsia="Times New Roman" w:hAnsi="Times New Roman"/>
          <w:sz w:val="18"/>
          <w:szCs w:val="18"/>
          <w:color w:val="auto"/>
        </w:rPr>
        <w:t>We have received cash dividends from subsidiaries and affiliates of $0.4 billion, $0.8 billion, and $0.4 billion during the years ended December 31, 2018, 2017, and 2016,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FIDELITY NATIONAL FINANCIAL,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EMPLOYEE STOCK PURCHASE PLAN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Fidelity National Financial, Inc., a Delaware corporation (hereinafter referred to as the “Company”), hereby amends and restates the “Fidelity National Financial, Inc. 2013 Employee Stock Purchase Plan” (hereinafter referred to as the “Plan”), effective as of January 1, 2019. The Plan was last approved by the Company’s shareholders at the Company’s annual shareholder meeting in 2014 (the date of the approval of the Company’s shareholders referred to as the “Effective Date”). The Plan became effective on October 1, 2013. The Plan shall remain in effect, subject to the right of the Board to amend or terminate the Plan at any time pursuant to Section 10.1 hereof, until all of the shares of Company Stock authorized under the Plan have been purchased according to the Plan’s provisions.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PURPOSE OF THE PLAN</w:t>
      </w:r>
    </w:p>
    <w:p>
      <w:pPr>
        <w:spacing w:after="0" w:line="23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21"/>
          <w:szCs w:val="21"/>
          <w:color w:val="auto"/>
        </w:rPr>
        <w:t>PURPOSE. The Company has determined that it is in its best interests to provide an incentive to attract and retain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Employees and to increase Employee morale by providing a program through which Employees may acquire a proprietary interest in the Company through the purchase of shares of Company Stock. The Plan shall permit Employees to purchase shares of Company Stock through payroll deductions and through a Company matching program. Participation in the Plan is entirely voluntary and neither the Company nor any of its Subsidiaries makes any recommendations to their Employees as to whether they should participate in the Plan. The Plan is not intended to be an employee benefit plan under the Employee Retirement Income Security Act of 1974, as amended, nor qualify as an “employee stock purchase plan” under Section 423 of the Code.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herein without definition shall have the respective meanings set forth below:</w:t>
      </w:r>
    </w:p>
    <w:p>
      <w:pPr>
        <w:spacing w:after="0" w:line="32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21"/>
          <w:szCs w:val="21"/>
          <w:color w:val="auto"/>
        </w:rPr>
        <w:t>ACCOUNT. “Account” means the bookkeeping entry maintained by the Company on behalf of each 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for the purpose of accounting for all Participant Contributions credited to the Participant pursuant to the Plan.</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21"/>
          <w:szCs w:val="21"/>
          <w:color w:val="auto"/>
        </w:rPr>
        <w:t>BASE EARNINGS. “Base Earnings” means the amount of a Participant’s regular salary before deductions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required by law and deductions authorized by the Participant, including any elective deferrals with respect to a plan of an Employer qualified under Sections 125 or 401(a) of the Code and any amounts deferred by the Participant to a nonqualified deferred compensation plan sponsored by an Employer. In the case of Participants primarily compensated on a commission basis, “Base Earnings” may include commission earnings not to exceed $10,000 per month. “Base Earnings” shall not include: wages paid for overtime, extended workweek schedules or any other form of extra compensation, payments made by an Employer based upon salary for Social Security, workers’ compensation, unemployment compensation, disability payments or any other payment mandated by state or federal statute, or salary-related contributions made by an Employer for insurance, annuity or any other employee benefit plan.</w:t>
      </w:r>
    </w:p>
    <w:p>
      <w:pPr>
        <w:spacing w:after="0" w:line="200" w:lineRule="exact"/>
        <w:rPr>
          <w:sz w:val="20"/>
          <w:szCs w:val="20"/>
          <w:color w:val="auto"/>
        </w:rPr>
      </w:pPr>
    </w:p>
    <w:p>
      <w:pPr>
        <w:spacing w:after="0" w:line="338"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21"/>
          <w:szCs w:val="21"/>
          <w:color w:val="auto"/>
        </w:rPr>
        <w:t>BOARD. “Board” means the Board of Directors of the Company.</w:t>
      </w:r>
    </w:p>
    <w:p>
      <w:pPr>
        <w:sectPr>
          <w:pgSz w:w="11900" w:h="16838" w:orient="portrait"/>
          <w:cols w:equalWidth="0" w:num="1">
            <w:col w:w="11420"/>
          </w:cols>
          <w:pgMar w:left="240" w:top="572" w:right="239" w:bottom="1440" w:gutter="0" w:footer="0" w:header="0"/>
        </w:sectPr>
      </w:pPr>
    </w:p>
    <w:bookmarkStart w:id="107" w:name="page108"/>
    <w:bookmarkEnd w:id="107"/>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21"/>
          <w:szCs w:val="21"/>
          <w:color w:val="auto"/>
        </w:rPr>
        <w:t>BROKER. “Broker” means the financial institution designated by the Company to act as Broker for the Plan.</w:t>
      </w:r>
    </w:p>
    <w:p>
      <w:pPr>
        <w:spacing w:after="0" w:line="353"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21"/>
          <w:szCs w:val="21"/>
          <w:color w:val="auto"/>
        </w:rPr>
        <w:t>CODE. “Code” means the Internal Revenue Code of 1986, as amended, and the regulations promulgated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thereunder.</w:t>
      </w: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21"/>
          <w:szCs w:val="21"/>
          <w:color w:val="auto"/>
        </w:rPr>
        <w:t>COMMITTEE. “Committee” means the Committee described in Article 8.</w:t>
      </w:r>
    </w:p>
    <w:p>
      <w:pPr>
        <w:spacing w:after="0" w:line="353"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21"/>
          <w:szCs w:val="21"/>
          <w:color w:val="auto"/>
        </w:rPr>
        <w:t>COMPANY. “Company” means Fidelity National Financial, Inc., a Delaware corporation, and any 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thereto.</w:t>
      </w: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21"/>
          <w:szCs w:val="21"/>
          <w:color w:val="auto"/>
        </w:rPr>
        <w:t>COMPANY STOCK. “Company Stock” means the common stock of the Company, par value $0.0001 per share.</w:t>
      </w:r>
    </w:p>
    <w:p>
      <w:pPr>
        <w:spacing w:after="0" w:line="35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21"/>
          <w:szCs w:val="21"/>
          <w:color w:val="auto"/>
        </w:rPr>
        <w:t>EMPLOYEE. “Employee” means each person currently employed by an Employer (a) any portion of whose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income is subject to withholding of income tax or for whom Social Security retirement contributions are made by an Employer, or</w:t>
      </w:r>
    </w:p>
    <w:p>
      <w:pPr>
        <w:spacing w:after="0" w:line="1" w:lineRule="exact"/>
        <w:rPr>
          <w:sz w:val="20"/>
          <w:szCs w:val="20"/>
          <w:color w:val="auto"/>
        </w:rPr>
      </w:pPr>
    </w:p>
    <w:p>
      <w:pPr>
        <w:ind w:firstLine="8"/>
        <w:spacing w:after="0" w:line="248" w:lineRule="auto"/>
        <w:tabs>
          <w:tab w:leader="none" w:pos="3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qualifies as a common-law employee of an Employer. Notwithstanding the foregoing, persons determined by the Committee not to be Employees and persons on a leave of absence shall not be treated as “Employees” for purposes of this Plan.</w:t>
      </w:r>
    </w:p>
    <w:p>
      <w:pPr>
        <w:spacing w:after="0" w:line="29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21"/>
          <w:szCs w:val="21"/>
          <w:color w:val="auto"/>
        </w:rPr>
        <w:t>EMPLOYER. “Employer” means the Company and any Subsidiary designated by the Committee.</w:t>
      </w:r>
    </w:p>
    <w:p>
      <w:pPr>
        <w:spacing w:after="0" w:line="35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21"/>
          <w:szCs w:val="21"/>
          <w:color w:val="auto"/>
        </w:rPr>
        <w:t>MATCHING DATE. “Matching Date” means the date during the calendar month following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anniversary of the applicable Quarter End on which an Employer credits Match Shares to a Participant’s Share Account.</w:t>
      </w:r>
    </w:p>
    <w:p>
      <w:pPr>
        <w:spacing w:after="0" w:line="22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21"/>
          <w:szCs w:val="21"/>
          <w:color w:val="auto"/>
        </w:rPr>
        <w:t>MATCH PRICE. “Match Price” means the closing price of a share of Company Stock on the Wednesday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preceding the Matching Date (or on such other date during the week that includes the Matching Date, as determined by the Company).</w:t>
      </w: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21"/>
          <w:szCs w:val="21"/>
          <w:color w:val="auto"/>
        </w:rPr>
        <w:t>MATCH SHARES. “Match Shares” means shares of Company Stock credited to Participants’ Share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pursuant to Article 5 and Sections 6.1 and 6.2(a).</w:t>
      </w:r>
    </w:p>
    <w:p>
      <w:pPr>
        <w:spacing w:after="0" w:line="22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21"/>
          <w:szCs w:val="21"/>
          <w:color w:val="auto"/>
        </w:rPr>
        <w:t>PARTICIPANT. “Participant” means an Employee who has satisfied the eligibility requirements of 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and has become a participant in the Plan in accordance with Section 3.2.</w:t>
      </w:r>
    </w:p>
    <w:p>
      <w:pPr>
        <w:spacing w:after="0" w:line="22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21"/>
          <w:szCs w:val="21"/>
          <w:color w:val="auto"/>
        </w:rPr>
        <w:t>PAYROLL PERIOD. “Payroll Period” means the pay periods coinciding with an Employer’s payroll practices,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as revised from time to time.</w:t>
      </w:r>
    </w:p>
    <w:p>
      <w:pPr>
        <w:spacing w:after="0" w:line="22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21"/>
          <w:szCs w:val="21"/>
          <w:color w:val="auto"/>
        </w:rPr>
        <w:t>PLAN YEAR. “Plan Year” means the twelve consecutive month period ending each December 31.</w:t>
      </w:r>
    </w:p>
    <w:p>
      <w:pPr>
        <w:spacing w:after="0" w:line="35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21"/>
          <w:szCs w:val="21"/>
          <w:color w:val="auto"/>
        </w:rPr>
        <w:t>PREVIOUSLY RELATED EMPLOYER. “Previously Related Employer” means Black Knight, Inc., Cannae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Holdings, Inc., and Fidelity National Information Services, Inc. (and any predecessor, successor or Subsidiary of any of the foregoing).</w:t>
      </w:r>
    </w:p>
    <w:p>
      <w:pPr>
        <w:sectPr>
          <w:pgSz w:w="11900" w:h="16838" w:orient="portrait"/>
          <w:cols w:equalWidth="0" w:num="1">
            <w:col w:w="11420"/>
          </w:cols>
          <w:pgMar w:left="240" w:top="585" w:right="239" w:bottom="1440" w:gutter="0" w:footer="0" w:header="0"/>
        </w:sectPr>
      </w:pPr>
    </w:p>
    <w:bookmarkStart w:id="108" w:name="page109"/>
    <w:bookmarkEnd w:id="10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21"/>
          <w:szCs w:val="21"/>
          <w:color w:val="auto"/>
        </w:rPr>
        <w:t>QUALIFYING EMPLOYMENT. “Qualifying Employment” means (i) employment with any Employer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(including both current employment and, with respect to employees who were reinstated or rehired by an Employer within one (1) year after the cessation of employment with an Employer, employment with the Employer prior to the cessation of employment) and (ii) employment with a Previously Related Employer prior to commencing employment with an Employer (provided that the employee was hired by the Employer within one (1) year after cessation of employment with the Previously Related Employer).</w:t>
      </w:r>
    </w:p>
    <w:p>
      <w:pPr>
        <w:spacing w:after="0" w:line="27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21"/>
          <w:szCs w:val="21"/>
          <w:color w:val="auto"/>
        </w:rPr>
        <w:t>QUARTER. “Quarter” means, with respect to each Plan Year, the following four calendar quarters: January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through March 31, April 1 through June 30, July 1 through September 30 and October 1 through December 31.</w:t>
      </w:r>
    </w:p>
    <w:p>
      <w:pPr>
        <w:spacing w:after="0" w:line="22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21"/>
          <w:szCs w:val="21"/>
          <w:color w:val="auto"/>
        </w:rPr>
        <w:t>QUARTER END. “Quarter End” means the last day of each Quarter (i.e., March 31, June 30, September 30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December 31).</w:t>
      </w:r>
    </w:p>
    <w:p>
      <w:pPr>
        <w:spacing w:after="0" w:line="22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21"/>
          <w:szCs w:val="21"/>
          <w:color w:val="auto"/>
        </w:rPr>
        <w:t>SHARE ACCOUNT. “Share Account” means the account maintained by the Broker on behalf of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Participant for the purpose of accounting for Match Shares and Company Stock purchased by the Participant pursuant to the Plan.</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21"/>
          <w:szCs w:val="21"/>
          <w:color w:val="auto"/>
        </w:rPr>
        <w:t>SUBSIDIARY. “Subsidiary” means any corporation in which the Company owns, directly or indirectly, at least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fifty percent (50%) of the total combined voting power of all classes of stock, or any other entity (including, but not limited to, partnerships and joint ventures) in which the Company owns, directly or indirectly, at least fifty percent (50%) of the combined equity thereof.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ELIGIBILITY AND PARTICIPATION</w:t>
      </w:r>
    </w:p>
    <w:p>
      <w:pPr>
        <w:spacing w:after="0" w:line="4"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21"/>
          <w:szCs w:val="21"/>
          <w:color w:val="auto"/>
        </w:rPr>
        <w:t>ELIGIBILITY.</w:t>
      </w:r>
    </w:p>
    <w:p>
      <w:pPr>
        <w:spacing w:after="0" w:line="329" w:lineRule="exact"/>
        <w:rPr>
          <w:sz w:val="20"/>
          <w:szCs w:val="20"/>
          <w:color w:val="auto"/>
        </w:rPr>
      </w:pPr>
    </w:p>
    <w:p>
      <w:pPr>
        <w:ind w:firstLine="1305"/>
        <w:spacing w:after="0" w:line="284" w:lineRule="auto"/>
        <w:tabs>
          <w:tab w:leader="none" w:pos="20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Employee of an Employer who was a Participant in the Plan as of the Effective Date of the most recent amendment and restatement shall continue to be eligible to participate in the Plan.</w:t>
      </w:r>
    </w:p>
    <w:p>
      <w:pPr>
        <w:spacing w:after="0" w:line="252" w:lineRule="exact"/>
        <w:rPr>
          <w:rFonts w:ascii="Times New Roman" w:cs="Times New Roman" w:eastAsia="Times New Roman" w:hAnsi="Times New Roman"/>
          <w:sz w:val="18"/>
          <w:szCs w:val="18"/>
          <w:color w:val="auto"/>
        </w:rPr>
      </w:pPr>
    </w:p>
    <w:p>
      <w:pPr>
        <w:jc w:val="both"/>
        <w:ind w:firstLine="1305"/>
        <w:spacing w:after="0" w:line="257" w:lineRule="auto"/>
        <w:tabs>
          <w:tab w:leader="none" w:pos="2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any other provisions herein, each Employee who was employed by an organization, which was part of a corporate transaction with the Company immediately prior to commencing employment with an Employer, shall be eligible to participate in the Plan upon commencing employment with an Employer if (1) such corporate transaction documents provided for such immediate eligibility or (2) the Committee so decides.</w:t>
      </w:r>
    </w:p>
    <w:p>
      <w:pPr>
        <w:spacing w:after="0" w:line="280"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All other Employees of an Employer shall be eligible to become Participants in the Plan following the later</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of:</w:t>
      </w:r>
    </w:p>
    <w:p>
      <w:pPr>
        <w:spacing w:after="0" w:line="315" w:lineRule="exact"/>
        <w:rPr>
          <w:rFonts w:ascii="Times New Roman" w:cs="Times New Roman" w:eastAsia="Times New Roman" w:hAnsi="Times New Roman"/>
          <w:sz w:val="17"/>
          <w:szCs w:val="17"/>
          <w:color w:val="auto"/>
        </w:rPr>
      </w:pPr>
    </w:p>
    <w:p>
      <w:pPr>
        <w:ind w:left="2700" w:hanging="747"/>
        <w:spacing w:after="0"/>
        <w:tabs>
          <w:tab w:leader="none" w:pos="2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attaining the age of eighteen (18), and</w:t>
      </w:r>
    </w:p>
    <w:p>
      <w:pPr>
        <w:spacing w:after="0" w:line="341" w:lineRule="exact"/>
        <w:rPr>
          <w:rFonts w:ascii="Times New Roman" w:cs="Times New Roman" w:eastAsia="Times New Roman" w:hAnsi="Times New Roman"/>
          <w:sz w:val="18"/>
          <w:szCs w:val="18"/>
          <w:color w:val="auto"/>
        </w:rPr>
      </w:pPr>
    </w:p>
    <w:p>
      <w:pPr>
        <w:ind w:left="2740" w:hanging="787"/>
        <w:spacing w:after="0"/>
        <w:tabs>
          <w:tab w:leader="none" w:pos="2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completion of ninety (90) days of Qualifying Employment.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may, in its discretion, waive any of the foregoing eligibility requirements on an individual or group basis.</w:t>
      </w:r>
    </w:p>
    <w:p>
      <w:pPr>
        <w:sectPr>
          <w:pgSz w:w="11900" w:h="16838" w:orient="portrait"/>
          <w:cols w:equalWidth="0" w:num="1">
            <w:col w:w="11420"/>
          </w:cols>
          <w:pgMar w:left="240" w:top="585" w:right="2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21"/>
          <w:szCs w:val="21"/>
          <w:color w:val="auto"/>
        </w:rPr>
        <w:t>PARTICIPATION. An Employee who has satisfied the eligibility requirements of Section 3.1 may become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Participant in the Plan upon his or her completion of such enrollment procedures as the Company may prescribe, which procedures may include responding to enrollment procedures set forth via an Internet website or a voice response system authorizing payroll deductions. Payroll deductions for a Participant shall commence as soon as administratively practicable following the completion of the enrollment procedures established by the Company and shall remain in effect until changed by the Participant in accordance with Section 4.2 below. Employees who become eligible to participate in the Plan due, in whole or in part, to Qualifying Employment attributable to prior employment with an Employer or with a Previously Related Employer will commence participation on the first day of the month following the later of (a) commencement of employment with an Employer (if the employee has (90) days of Qualifying Employment on the employment commencement date) and (b) completion of ninety (90) days of Qualifying Employment.</w:t>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21"/>
          <w:szCs w:val="21"/>
          <w:color w:val="auto"/>
        </w:rPr>
        <w:t>SPECIAL RULES. In the event that a person is excluded from participation in the Plan under Section 2.9 above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and a court of competent jurisdiction determines that the person is eligible to participate in the Plan, the person shall be treated as an Employee only from the date of the court’s determination and shall not be entitled to retroactive participation in the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PARTICIPANT CONTRIBUTIONS</w:t>
      </w:r>
    </w:p>
    <w:p>
      <w:pPr>
        <w:spacing w:after="0" w:line="2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21"/>
          <w:szCs w:val="21"/>
          <w:color w:val="auto"/>
        </w:rPr>
        <w:t>PARTICIPANT ELECTION. Pursuant to the enrollment procedures established by the Company in 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each Participant shall designate the amount of payroll deductions (“Participant Contributions”) to be made from his or her paycheck to purchase Company Stock under the Plan. The amount of Participant Contributions shall be designated in whole percentages of Base Earnings, of at least 3% and not to exceed 15% of Base Earnings for any Plan Year. The amount so designated by the Participant shall be effective as soon as administratively practicable following completion of the enrollment procedures and shall continue until terminated or altered in accordance with Section 4.2 below.</w:t>
      </w:r>
    </w:p>
    <w:p>
      <w:pPr>
        <w:spacing w:after="0" w:line="2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21"/>
          <w:szCs w:val="21"/>
          <w:color w:val="auto"/>
        </w:rPr>
        <w:t>CHANGES IN ELECTION. In accordance with procedures established by the Company, a Participant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decrease or increase the rate of his or her Participant Contributions or elect to discontinue his or her Participant Contributions, in either case as soon as administratively practicable. No such election may be made retroactive, and any new election shall remain in effect until subsequently modified by the Participant pursuant to this Section 4.2.</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21"/>
          <w:szCs w:val="21"/>
          <w:color w:val="auto"/>
        </w:rPr>
        <w:t>PARTICIPANT ACCOUNTS. The Company shall establish and maintain a separate Account for each 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amount of each Participant’s Participant Contribution shall be credited to his or her Account. No interest shall accrue at any time for any amount credited to an Account of a Participant.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COMPANY MATCH</w:t>
      </w:r>
    </w:p>
    <w:p>
      <w:pPr>
        <w:spacing w:after="0" w:line="24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21"/>
          <w:szCs w:val="21"/>
          <w:color w:val="auto"/>
        </w:rPr>
        <w:t>ELIGIBILITY TO RECEIVE MATCH SHARES; MATCH FORMULA. Each Employee who is a Participant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Plan and remains an Employee on each day from a Quarter End until the Matching Date for such Quarter End shall be eligible to receive Match Shares. The number of Match Shares credited to a Participant’s Share Account pursuant to Article 6 shall be determined by dividing the Participant’s “Matching Credit” (determined pursuant to this Article 5) by the applicable Match Price.</w:t>
      </w:r>
    </w:p>
    <w:p>
      <w:pPr>
        <w:sectPr>
          <w:pgSz w:w="11900" w:h="16838" w:orient="portrait"/>
          <w:cols w:equalWidth="0" w:num="1">
            <w:col w:w="11420"/>
          </w:cols>
          <w:pgMar w:left="240" w:top="585" w:right="239" w:bottom="1440" w:gutter="0" w:footer="0" w:header="0"/>
        </w:sectPr>
      </w:pPr>
    </w:p>
    <w:bookmarkStart w:id="110" w:name="page111"/>
    <w:bookmarkEnd w:id="11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21"/>
          <w:szCs w:val="21"/>
          <w:color w:val="auto"/>
        </w:rPr>
        <w:t>OFFICERS. For each Officer who is a Participant in the Plan and remains an Employee on each day from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Quarter End until the Matching Date for such Quarter End, the Matching Credit shall be an amount equal to one-half of the amount of the Participant Contributions credited to the Participant’s Account for the Quarter ending on the applicable Quarter End. For purposes of the Plan and unless otherwise determined by the Committee, “Officer” means chief executive officer, president, executive vice president, senior vice president, vice president, or assistant vice president.</w:t>
      </w:r>
    </w:p>
    <w:p>
      <w:pPr>
        <w:spacing w:after="0" w:line="27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21"/>
          <w:szCs w:val="21"/>
          <w:color w:val="auto"/>
        </w:rPr>
        <w:t>OTHER PARTICIPANTS. For each Participant who is not an Officer under Section 5.2 above and who remains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 Employee on each day from a Quarter End until the Matching Date for such Quarter End, the Matching Credit shall be an amount equal to one-third of the amount of Participant Contributions credited to the Participant’s Account for the Quarter ending on the applicable Quarter End.</w:t>
      </w:r>
    </w:p>
    <w:p>
      <w:pPr>
        <w:spacing w:after="0" w:line="26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21"/>
          <w:szCs w:val="21"/>
          <w:color w:val="auto"/>
        </w:rPr>
        <w:t>TEN-YEAR EMPLOYEES. Notwithstanding the provisions of Section 5.3 to the contrary, with respect to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Participant who has completed at least ten years of Qualifying Employment as of a Matching Date (“Ten-Year Employee”), the Matching Credit for such Participant under Section 5.3 above with respect to any Participant Contributions made on or after the date the Participant becomes a Ten-Year Employee shall be one-half of the amount of the Participant’s Participant Contributions instead of one-third. For purposes of this Section 5.4, unless determined otherwise by the Committee, a Participant’s years of employment shall include such Participant’s years of employment with a Previously Related Employer or such Participant’s years of employment with an organization that was part of a corporate transaction with the Company immediately prior to commencing employment with an Employer if (1) such corporate transaction documents provided for such credit or (2) if the Committee so decides.</w:t>
      </w: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21"/>
          <w:szCs w:val="21"/>
          <w:color w:val="auto"/>
        </w:rPr>
        <w:t>CHANGES IN STATUS. In the event that a Participant becomes an Officer of an Employer, as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Section 5.2 herein, or a Ten-Year Employee, as described in Section 5.4 herein, during a Quarter, for purposes of determining such Participant’s Matching Credit, all Participant Contributions made during the Quarter in which the change in status occurred shall be considered to have been made as an Officer or Ten-Year Employee for that Quarter.</w:t>
      </w:r>
    </w:p>
    <w:p>
      <w:pPr>
        <w:spacing w:after="0" w:line="26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21"/>
          <w:szCs w:val="21"/>
          <w:color w:val="auto"/>
        </w:rPr>
        <w:t>PREVIOUSLY RELATED EMPLOYER CREDITS. With respect to each Participant who was participating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Employee Stock Purchase Plan of a Previously Related Employer when the Participant’s employment with the Previously Related Employer terminated, for the first four Matching Dates following such Participant’s commencement of employment with the Company, if the Participant remains an Employee through such Matching Dates, the Participant may receive a Matching Credit equal to the matching contribution or matching credit the Participant would have received under the Employee Stock Purchase Plan maintained by the Previously Related Employer had the Participant continued to be eligible to participate in such plan through such Matching Dates.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OF STOCK AND ALLOCATION OF MATCH SHARES</w:t>
      </w:r>
    </w:p>
    <w:p>
      <w:pPr>
        <w:spacing w:after="0" w:line="2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21"/>
          <w:szCs w:val="21"/>
          <w:color w:val="auto"/>
        </w:rPr>
        <w:t>PURCHASE OF COMPANY STOCK. As soon as practicable following the close of each Payroll Period,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amount credited to a Participant’s Account shall be transferred by the Company or an Employer to the Broker, and the Company shall cause the Broker to use such amount to purchase shares of Company Stock on the open market on the Participant’s behalf (each such case, a “Purchase Date”). Any balance remaining after the purchase shall be credited to the Participant’s Share Account and shall be used to purchase additional shares of Company Stock as of the next Purchase Date.</w:t>
      </w:r>
    </w:p>
    <w:p>
      <w:pPr>
        <w:sectPr>
          <w:pgSz w:w="11900" w:h="16838" w:orient="portrait"/>
          <w:cols w:equalWidth="0" w:num="1">
            <w:col w:w="11420"/>
          </w:cols>
          <w:pgMar w:left="240" w:top="585" w:right="239" w:bottom="1440" w:gutter="0" w:footer="0" w:header="0"/>
        </w:sectPr>
      </w:pPr>
    </w:p>
    <w:bookmarkStart w:id="111" w:name="page112"/>
    <w:bookmarkEnd w:id="111"/>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21"/>
          <w:szCs w:val="21"/>
          <w:color w:val="auto"/>
        </w:rPr>
        <w:t>MATCHING ALLOCATIONS. As soon as practicable following each Quarter End, the Company shall cause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be allocated to the Share Account of each Participant who is eligible to receive Match Shares that number of Match Shares determined pursuant to Article 5. Match Shares shall be posted to the Participant’s Share Account as soon as practicable after, and credited to such Share Account as of, each Matching Date.</w:t>
      </w:r>
    </w:p>
    <w:p>
      <w:pPr>
        <w:spacing w:after="0" w:line="2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21"/>
          <w:szCs w:val="21"/>
          <w:color w:val="auto"/>
        </w:rPr>
        <w:t>FEES AND COMMISSIONS. The Company shall pay the Broker’s administrative charges for opening the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Accounts for the Participants and the brokerage commissions on purchases made that are attributable to Match Shares and the purchase of Company Stock with Participant Contributions. Participants shall pay all other expenses of their Share Account, including but not limited to the Broker’s fees attributable to the issuance of certificates for any and all shares of Company Stock held in a Participant’s Share Account. Participants shall also pay the brokerage commissions and any charges associated with the sale of Company Stock held in the Participant’s Share Account.</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OF EMPLOYMENT</w:t>
      </w:r>
    </w:p>
    <w:p>
      <w:pPr>
        <w:spacing w:after="0" w:line="2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21"/>
          <w:szCs w:val="21"/>
          <w:color w:val="auto"/>
        </w:rPr>
        <w:t>TERMINATION OF EMPLOYMENT. In the event that a Participant’s employment with an Employer terminates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for any reason, the Participant will cease to be a Participant in the Plan as of the date of termination. All cash in the Participant’s Account will be transferred to the Participant’s Share Account. The Broker may continue to maintain the Participant’s Share Account on behalf of the Participant; however, the Participant’s Share Account will cease to be administered under or have any other affiliation with the Plan. As of the date of termination of employment, the Participant shall pay for any and all expenses and costs related to his or her Share Account, including but not limited to the brokerage commissions on purchases of shares of Company stock made on or after the date of termination and any other fees, commissions, or charges for which the Participant would otherwise have been responsible for if he or she had continued to be a Participant in the Plan.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PLAN ADMINISTRATION</w:t>
      </w:r>
    </w:p>
    <w:p>
      <w:pPr>
        <w:spacing w:after="0" w:line="236"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21"/>
          <w:szCs w:val="21"/>
          <w:color w:val="auto"/>
        </w:rPr>
        <w:t>PLAN ADMINISTRATION.</w:t>
      </w:r>
    </w:p>
    <w:p>
      <w:pPr>
        <w:spacing w:after="0" w:line="353" w:lineRule="exact"/>
        <w:rPr>
          <w:sz w:val="20"/>
          <w:szCs w:val="20"/>
          <w:color w:val="auto"/>
        </w:rPr>
      </w:pPr>
    </w:p>
    <w:p>
      <w:pPr>
        <w:jc w:val="both"/>
        <w:ind w:firstLine="1305"/>
        <w:spacing w:after="0" w:line="257" w:lineRule="auto"/>
        <w:tabs>
          <w:tab w:leader="none" w:pos="20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Authority to control and manage the operation and administration of the Plan shall be vested in the Board, or a committee (“Committee”) appointed by the Board. Until such time as the Board appoints a Committee to administer the Plan, the Board shall serve as the Committee for purposes of the Plan. The Board or Committee shall have all powers necessary to supervise the administration of the Plan and control its operations.</w:t>
      </w:r>
    </w:p>
    <w:p>
      <w:pPr>
        <w:spacing w:after="0" w:line="280" w:lineRule="exact"/>
        <w:rPr>
          <w:rFonts w:ascii="Times New Roman" w:cs="Times New Roman" w:eastAsia="Times New Roman" w:hAnsi="Times New Roman"/>
          <w:sz w:val="18"/>
          <w:szCs w:val="18"/>
          <w:color w:val="auto"/>
        </w:rPr>
      </w:pPr>
    </w:p>
    <w:p>
      <w:pPr>
        <w:ind w:firstLine="1305"/>
        <w:spacing w:after="0" w:line="284" w:lineRule="auto"/>
        <w:tabs>
          <w:tab w:leader="none" w:pos="2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addition to any powers and authority conferred on the Board or Committee elsewhere in the Plan or by law, the Board or Committee shall have the following powers and authority:</w:t>
      </w:r>
    </w:p>
    <w:p>
      <w:pPr>
        <w:spacing w:after="0" w:line="252" w:lineRule="exact"/>
        <w:rPr>
          <w:rFonts w:ascii="Times New Roman" w:cs="Times New Roman" w:eastAsia="Times New Roman" w:hAnsi="Times New Roman"/>
          <w:sz w:val="18"/>
          <w:szCs w:val="18"/>
          <w:color w:val="auto"/>
        </w:rPr>
      </w:pPr>
    </w:p>
    <w:p>
      <w:pPr>
        <w:ind w:left="2700" w:hanging="747"/>
        <w:spacing w:after="0"/>
        <w:tabs>
          <w:tab w:leader="none" w:pos="2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designate agents to carry out responsibilities relating to the Plan;</w:t>
      </w:r>
    </w:p>
    <w:p>
      <w:pPr>
        <w:spacing w:after="0" w:line="341" w:lineRule="exact"/>
        <w:rPr>
          <w:rFonts w:ascii="Times New Roman" w:cs="Times New Roman" w:eastAsia="Times New Roman" w:hAnsi="Times New Roman"/>
          <w:sz w:val="18"/>
          <w:szCs w:val="18"/>
          <w:color w:val="auto"/>
        </w:rPr>
      </w:pPr>
    </w:p>
    <w:p>
      <w:pPr>
        <w:ind w:left="660" w:firstLine="1293"/>
        <w:spacing w:after="0" w:line="284" w:lineRule="auto"/>
        <w:tabs>
          <w:tab w:leader="none" w:pos="27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administer, interpret, construe and apply this Plan and to answer all questions that may arise or that may be raised under this Plan by a Participant, his or her beneficiary or any other person whatsoever;</w:t>
      </w:r>
    </w:p>
    <w:p>
      <w:pPr>
        <w:sectPr>
          <w:pgSz w:w="11900" w:h="16838" w:orient="portrait"/>
          <w:cols w:equalWidth="0" w:num="1">
            <w:col w:w="11420"/>
          </w:cols>
          <w:pgMar w:left="240" w:top="585" w:right="239" w:bottom="1440" w:gutter="0" w:footer="0" w:header="0"/>
        </w:sectPr>
      </w:pPr>
    </w:p>
    <w:bookmarkStart w:id="112" w:name="page113"/>
    <w:bookmarkEnd w:id="112"/>
    <w:p>
      <w:pPr>
        <w:ind w:left="660" w:firstLine="1293"/>
        <w:spacing w:after="0" w:line="284" w:lineRule="auto"/>
        <w:tabs>
          <w:tab w:leader="none" w:pos="28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establish rules and procedures from time to time for the conduct of its business and for the administration and effectuation of its responsibilities under the Plan; and</w:t>
      </w:r>
    </w:p>
    <w:p>
      <w:pPr>
        <w:spacing w:after="0" w:line="252" w:lineRule="exact"/>
        <w:rPr>
          <w:rFonts w:ascii="Times New Roman" w:cs="Times New Roman" w:eastAsia="Times New Roman" w:hAnsi="Times New Roman"/>
          <w:sz w:val="18"/>
          <w:szCs w:val="18"/>
          <w:color w:val="auto"/>
        </w:rPr>
      </w:pPr>
    </w:p>
    <w:p>
      <w:pPr>
        <w:ind w:left="660" w:firstLine="1293"/>
        <w:spacing w:after="0" w:line="284" w:lineRule="auto"/>
        <w:tabs>
          <w:tab w:leader="none" w:pos="27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perform or cause to be performed such further acts as it may deem to be necessary, appropriate, or convenient for the operation of the Plan.</w:t>
      </w:r>
    </w:p>
    <w:p>
      <w:pPr>
        <w:spacing w:after="0" w:line="252" w:lineRule="exact"/>
        <w:rPr>
          <w:rFonts w:ascii="Times New Roman" w:cs="Times New Roman" w:eastAsia="Times New Roman" w:hAnsi="Times New Roman"/>
          <w:sz w:val="18"/>
          <w:szCs w:val="18"/>
          <w:color w:val="auto"/>
        </w:rPr>
      </w:pPr>
    </w:p>
    <w:p>
      <w:pPr>
        <w:jc w:val="both"/>
        <w:ind w:firstLine="1305"/>
        <w:spacing w:after="0" w:line="263" w:lineRule="auto"/>
        <w:tabs>
          <w:tab w:leader="none" w:pos="20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action taken in good faith by the Board or Committee or their designated agents in the exercise of authority conferred upon it by this Plan shall be conclusive and binding upon a Participant and his or her beneficiaries. All discretionary powers conferred upon the Board and Committee shall be absolute.</w:t>
      </w:r>
    </w:p>
    <w:p>
      <w:pPr>
        <w:spacing w:after="0" w:line="2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21"/>
          <w:szCs w:val="21"/>
          <w:color w:val="auto"/>
        </w:rPr>
        <w:t>LIMITATION ON LIABILITY. No Employee, officer, member of the Board or Committee, or designated agent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Board or Committee shall be subject to any liability with respect to his or her duties under the Plan unless the person acts fraudulently or in bad faith. To the extent permitted by law, the Company shall indemnify each member of the Board or Committee and any of their designated agents, and any other Employee or officer of an Employer with duties under the Plan who was or is a party, or is threatened to be made a party, to any threatened, pending or completed proceeding, whether civil, criminal, administrative, or investigative, by reason of the person’s conduct in the performance of his or her duties under the Plan.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COMPANY STOCK</w:t>
      </w:r>
    </w:p>
    <w:p>
      <w:pPr>
        <w:spacing w:after="0" w:line="23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21"/>
          <w:szCs w:val="21"/>
          <w:color w:val="auto"/>
        </w:rPr>
        <w:t>MAXIMUM NUMBER OF SHARES. Subject to Section 9.3 below, the maximum number of shares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Stock which may be allocated as Match Shares and purchased under the Plan pursuant to Participant Contributions on or after the Effective Date is 15,000,000 shares. All shares of Company Stock purchased pursuant to the terms of this Plan shall be purchased on the open market.</w:t>
      </w:r>
    </w:p>
    <w:p>
      <w:pPr>
        <w:spacing w:after="0" w:line="26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21"/>
          <w:szCs w:val="21"/>
          <w:color w:val="auto"/>
        </w:rPr>
        <w:t>VOTING COMPANY STOCK. The Participant will have no interest or voting right in shares of Company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to be purchased under Article 6 of the Plan until such shares have been posted to the Participant’s Share Account.</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21"/>
          <w:szCs w:val="21"/>
          <w:color w:val="auto"/>
        </w:rPr>
        <w:t>ADJUSTMENTS. In the event of any merger, reorganization, consolidation, recapitalization, liquidation,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dividend, split-up, spin-off, stock split, reverse stock split, share combination, share exchange, extraordinary dividend, or any change in the corporate structure affecting the shares of Company Stock, such adjustment shall be made in the number and kind of shares of Company Stock that may be purchased under the Plan as set forth in Section 9.1, as may be determined to be appropriate and equitable by the Committee, in its sole discretion. The decision by the Committee regarding any such adjustment shall be final, binding and conclusive.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 MATTERS</w:t>
      </w:r>
    </w:p>
    <w:p>
      <w:pPr>
        <w:spacing w:after="0" w:line="23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21"/>
          <w:szCs w:val="21"/>
          <w:color w:val="auto"/>
        </w:rPr>
        <w:t>AMENDMENT AND TERMINATION. Since future conditions affecting the Company cannot be anticipated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foreseen, the Board reserves the right to amend, modify, or terminate the Plan at any time; provided, however, that no amendment that requires stockholder approval in order for the Plan to continue to comply with the New York Stock Exchange listing standards or any rule promulgated by the</w:t>
      </w:r>
    </w:p>
    <w:p>
      <w:pPr>
        <w:sectPr>
          <w:pgSz w:w="11900" w:h="16838" w:orient="portrait"/>
          <w:cols w:equalWidth="0" w:num="1">
            <w:col w:w="11420"/>
          </w:cols>
          <w:pgMar w:left="240" w:top="585" w:right="239" w:bottom="1440" w:gutter="0" w:footer="0" w:header="0"/>
        </w:sectPr>
      </w:pPr>
    </w:p>
    <w:bookmarkStart w:id="113" w:name="page114"/>
    <w:bookmarkEnd w:id="113"/>
    <w:p>
      <w:pPr>
        <w:jc w:val="both"/>
        <w:spacing w:after="0" w:line="246" w:lineRule="auto"/>
        <w:rPr>
          <w:sz w:val="20"/>
          <w:szCs w:val="20"/>
          <w:color w:val="auto"/>
        </w:rPr>
      </w:pPr>
      <w:r>
        <w:rPr>
          <w:rFonts w:ascii="Times New Roman" w:cs="Times New Roman" w:eastAsia="Times New Roman" w:hAnsi="Times New Roman"/>
          <w:sz w:val="22"/>
          <w:szCs w:val="22"/>
          <w:color w:val="auto"/>
        </w:rPr>
        <w:t>United States Securities and Exchange Commission or any securities exchange on which the securities of the Company are listed shall be effective unless such amendment shall be approved by the requisite vote of stockholders of the Company entitled to vote thereon within the time period required under such applicable listing standard or rule. Upon termination of the Plan, all cash in an Employee’s Account will be transferred to the Employee’s Share Account. The Broker may continue to maintain the Employee’s Share Account on behalf of the Employee; however, the Participant’s Share Account will cease to be administered under or have any other affiliation with the Plan, and the Employee shall thereafter be responsible for any and all expenses and costs related to his or her Share Account. Notwithstanding the foregoing, no such amendment or termination shall affect rights previously granted, nor may an amendment make any change in any right previously granted which adversely affects the rights of any Participant without the consent of such Participant.</w:t>
      </w:r>
    </w:p>
    <w:p>
      <w:pPr>
        <w:spacing w:after="0" w:line="23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21"/>
          <w:szCs w:val="21"/>
          <w:color w:val="auto"/>
        </w:rPr>
        <w:t>TAX WITHOLDING. The Company shall have the right to deduct from all amounts payable or provided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Participant (whether under this Plan or otherwise) any taxes required by law to be withheld in respect of amounts payable or provided under this Plan. Withholding with respect to Match Shares may be satisfied, at the Company’s option, by withholding from a Participant’s other wages, by reducing the number of Match Shares credited to a Participant’s Share Account by that number of shares of Company Stock having a fair market value equal to all or part of the withholding obligation, by requiring the Participant to remit the withholding amount to the Company or the Participant’s Employer, and/or by such other means as the Company or the Participant’s Employer may determine.</w:t>
      </w:r>
    </w:p>
    <w:p>
      <w:pPr>
        <w:spacing w:after="0" w:line="2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21"/>
          <w:szCs w:val="21"/>
          <w:color w:val="auto"/>
        </w:rPr>
        <w:t>BENEFITS NOT ALIENABLE. Benefits under the Plan may not be assigned or alienated, whether voluntarily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or involuntarily, except as expressly permitted in this Plan. Any such attempt at assignment, transfer, pledge or other disposition shall be without effect.</w:t>
      </w:r>
    </w:p>
    <w:p>
      <w:pPr>
        <w:spacing w:after="0" w:line="2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21"/>
          <w:szCs w:val="21"/>
          <w:color w:val="auto"/>
        </w:rPr>
        <w:t>NO ENLARGEMENT OF EMPLOYEE RIGHTS. This Plan is strictly a voluntary undertaking on the part of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Employer and shall not be deemed to constitute a contract between an Employer and any Employee or to be consideration for, or an inducement to, or a condition of, the employment of any Employee. Nothing contained in the Plan shall be deemed to give the right to any Employee to be retained in the employ of an Employer or to interfere with the right of an Employer to discharge any Employee at any time.</w:t>
      </w:r>
    </w:p>
    <w:p>
      <w:pPr>
        <w:spacing w:after="0" w:line="2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21"/>
          <w:szCs w:val="21"/>
          <w:color w:val="auto"/>
        </w:rPr>
        <w:t>GOVERNING LAW. To the extent not preempted by Federal law, the Plan shall be construed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and governed by the laws of the State of Florida, excluding any conflicts or choice of law rule or principle that might otherwise refer construction or interpretation of this Plan to the substantive law of another jurisdiction.</w:t>
      </w:r>
    </w:p>
    <w:p>
      <w:pPr>
        <w:spacing w:after="0" w:line="25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21"/>
          <w:szCs w:val="21"/>
          <w:color w:val="auto"/>
        </w:rPr>
        <w:t>NON-BUSINESS DAYS. When any act under the Plan is required to be performed on a day that falls on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Saturday, Sunday or legal holiday, that act shall be performed on the next succeeding day which is not a Saturday, Sunday or legal holiday.</w:t>
      </w:r>
    </w:p>
    <w:p>
      <w:pPr>
        <w:spacing w:after="0" w:line="200" w:lineRule="exact"/>
        <w:rPr>
          <w:sz w:val="20"/>
          <w:szCs w:val="20"/>
          <w:color w:val="auto"/>
        </w:rPr>
      </w:pPr>
    </w:p>
    <w:p>
      <w:pPr>
        <w:spacing w:after="0" w:line="3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21"/>
          <w:szCs w:val="21"/>
          <w:color w:val="auto"/>
        </w:rPr>
        <w:t>COMPLIANCE WITH SECURITIES LAWS. Notwithstanding any provision of the Plan to the contrary,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Committee shall administer the Plan in such a way to insure that the Plan at all times complies with any applicable requirements of Federal securities laws.</w:t>
      </w:r>
    </w:p>
    <w:p>
      <w:pPr>
        <w:sectPr>
          <w:pgSz w:w="11900" w:h="16838" w:orient="portrait"/>
          <w:cols w:equalWidth="0" w:num="1">
            <w:col w:w="11420"/>
          </w:cols>
          <w:pgMar w:left="240" w:top="585"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Exhibit 10.41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Fidelity National Financial,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2005 Omnibus Incentive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Grant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You (the “Grantee”) have been granted the following award of restricted Shares of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09"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26, 2018</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18"/>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Award Agreement, with respect to one 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Effective Date of Grant and satisfaction of the Performance Restriction as set</w:t>
            </w:r>
          </w:p>
        </w:tc>
      </w:tr>
      <w:tr>
        <w:trPr>
          <w:trHeight w:val="234"/>
        </w:trPr>
        <w:tc>
          <w:tcPr>
            <w:tcW w:w="5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420"/>
          </w:cols>
          <w:pgMar w:left="240" w:top="801"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auto"/>
        </w:rPr>
        <w:t>Fidelity National Financial,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2005 Omnibus Incentive Plan</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RESTRICTED STOCK</w:t>
      </w:r>
    </w:p>
    <w:p>
      <w:pPr>
        <w:spacing w:after="0" w:line="260" w:lineRule="exact"/>
        <w:rPr>
          <w:sz w:val="20"/>
          <w:szCs w:val="20"/>
          <w:color w:val="auto"/>
        </w:rPr>
      </w:pPr>
    </w:p>
    <w:p>
      <w:pPr>
        <w:jc w:val="both"/>
        <w:ind w:firstLine="8"/>
        <w:spacing w:after="0" w:line="259" w:lineRule="auto"/>
        <w:tabs>
          <w:tab w:leader="none" w:pos="94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On the terms and conditions set forth in the Notice of Restricted Stock Grant and this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(the “Agreement”), the Company grants to the Grantee on the Effective Date of Grant the Shares of Restricted Stock (the “Restricted Stock”) set forth in the Notice of Restricted Stock Grant.</w:t>
      </w:r>
    </w:p>
    <w:p>
      <w:pPr>
        <w:spacing w:after="0" w:line="207" w:lineRule="exact"/>
        <w:rPr>
          <w:rFonts w:ascii="Times New Roman" w:cs="Times New Roman" w:eastAsia="Times New Roman" w:hAnsi="Times New Roman"/>
          <w:sz w:val="22"/>
          <w:szCs w:val="22"/>
          <w:color w:val="auto"/>
        </w:rPr>
      </w:pPr>
    </w:p>
    <w:p>
      <w:pPr>
        <w:jc w:val="both"/>
        <w:ind w:firstLine="8"/>
        <w:spacing w:after="0" w:line="251" w:lineRule="auto"/>
        <w:tabs>
          <w:tab w:leader="none" w:pos="96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Plan and Defined Terms</w:t>
      </w:r>
      <w:r>
        <w:rPr>
          <w:rFonts w:ascii="Times New Roman" w:cs="Times New Roman" w:eastAsia="Times New Roman" w:hAnsi="Times New Roman"/>
          <w:sz w:val="22"/>
          <w:szCs w:val="22"/>
          <w:color w:val="auto"/>
        </w:rPr>
        <w:t>. The Restricted Stock is granted pursuant to the Plan. All terms, provisions,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2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FORFEITURE AND TRANSFER RESTRICTIONS</w:t>
      </w:r>
    </w:p>
    <w:p>
      <w:pPr>
        <w:spacing w:after="0" w:line="260" w:lineRule="exact"/>
        <w:rPr>
          <w:sz w:val="20"/>
          <w:szCs w:val="20"/>
          <w:color w:val="auto"/>
        </w:rPr>
      </w:pPr>
    </w:p>
    <w:p>
      <w:pPr>
        <w:ind w:firstLine="8"/>
        <w:spacing w:after="0" w:line="275" w:lineRule="auto"/>
        <w:tabs>
          <w:tab w:leader="none" w:pos="9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w:t>
      </w:r>
      <w:r>
        <w:rPr>
          <w:rFonts w:ascii="Times New Roman" w:cs="Times New Roman" w:eastAsia="Times New Roman" w:hAnsi="Times New Roman"/>
          <w:sz w:val="22"/>
          <w:szCs w:val="22"/>
          <w:color w:val="auto"/>
        </w:rPr>
        <w:t>. Except as otherwise provided in Grantee’s employment, director services or similar agreement in effect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of the employment termination:</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213" w:lineRule="exact"/>
        <w:rPr>
          <w:rFonts w:ascii="Times New Roman" w:cs="Times New Roman" w:eastAsia="Times New Roman" w:hAnsi="Times New Roman"/>
          <w:sz w:val="22"/>
          <w:szCs w:val="22"/>
          <w:color w:val="auto"/>
        </w:rPr>
      </w:pPr>
    </w:p>
    <w:p>
      <w:pPr>
        <w:jc w:val="both"/>
        <w:ind w:firstLine="656"/>
        <w:spacing w:after="0" w:line="250" w:lineRule="auto"/>
        <w:tabs>
          <w:tab w:leader="none" w:pos="156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 x B) - C, where</w:t>
      </w:r>
    </w:p>
    <w:p>
      <w:pPr>
        <w:spacing w:after="0" w:line="1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 = the total number of Shares granted under this Agreement,</w:t>
      </w:r>
    </w:p>
    <w:p>
      <w:pPr>
        <w:spacing w:after="0" w:line="112"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B = the number of completed months to the date of termination of employment since the Effective Date of Grant divided by 36, and</w:t>
      </w:r>
    </w:p>
    <w:p>
      <w:pPr>
        <w:spacing w:after="0" w:line="50"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C = the number of Shares granted under this Agreement which vested on or prior to the date of termination of employment.</w:t>
      </w:r>
    </w:p>
    <w:p>
      <w:pPr>
        <w:spacing w:after="0" w:line="200" w:lineRule="exact"/>
        <w:rPr>
          <w:sz w:val="20"/>
          <w:szCs w:val="20"/>
          <w:color w:val="auto"/>
        </w:rPr>
      </w:pPr>
    </w:p>
    <w:p>
      <w:pPr>
        <w:spacing w:after="0" w:line="21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1"/>
          <w:szCs w:val="21"/>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ectPr>
          <w:pgSz w:w="11900" w:h="16838" w:orient="portrait"/>
          <w:cols w:equalWidth="0" w:num="1">
            <w:col w:w="11420"/>
          </w:cols>
          <w:pgMar w:left="240" w:top="837" w:right="239" w:bottom="1440" w:gutter="0" w:footer="0" w:header="0"/>
        </w:sectPr>
      </w:pPr>
    </w:p>
    <w:bookmarkStart w:id="116" w:name="page117"/>
    <w:bookmarkEnd w:id="116"/>
    <w:p>
      <w:pPr>
        <w:jc w:val="both"/>
        <w:ind w:firstLine="656"/>
        <w:spacing w:after="0" w:line="250" w:lineRule="auto"/>
        <w:tabs>
          <w:tab w:leader="none" w:pos="16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22" w:lineRule="exact"/>
        <w:rPr>
          <w:rFonts w:ascii="Times New Roman" w:cs="Times New Roman" w:eastAsia="Times New Roman" w:hAnsi="Times New Roman"/>
          <w:sz w:val="22"/>
          <w:szCs w:val="22"/>
          <w:color w:val="auto"/>
        </w:rPr>
      </w:pPr>
    </w:p>
    <w:p>
      <w:pPr>
        <w:ind w:firstLine="656"/>
        <w:spacing w:after="0" w:line="271" w:lineRule="auto"/>
        <w:tabs>
          <w:tab w:leader="none" w:pos="160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94" w:lineRule="exact"/>
        <w:rPr>
          <w:rFonts w:ascii="Times New Roman" w:cs="Times New Roman" w:eastAsia="Times New Roman" w:hAnsi="Times New Roman"/>
          <w:sz w:val="22"/>
          <w:szCs w:val="22"/>
          <w:color w:val="auto"/>
        </w:rPr>
      </w:pPr>
    </w:p>
    <w:p>
      <w:pPr>
        <w:jc w:val="both"/>
        <w:ind w:firstLine="8"/>
        <w:spacing w:after="0" w:line="259" w:lineRule="auto"/>
        <w:tabs>
          <w:tab w:leader="none" w:pos="98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color w:val="auto"/>
        </w:rPr>
        <w:t>. During the Period of Restriction, the Restricted Stock may not be sold, assigned, pledged,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exchanged, hypothecated or otherwise transferred, encumbered or disposed of, to the extent such Shares are subject to a Period of Restriction.</w:t>
      </w:r>
    </w:p>
    <w:p>
      <w:pPr>
        <w:spacing w:after="0" w:line="207" w:lineRule="exact"/>
        <w:rPr>
          <w:rFonts w:ascii="Times New Roman" w:cs="Times New Roman" w:eastAsia="Times New Roman" w:hAnsi="Times New Roman"/>
          <w:sz w:val="22"/>
          <w:szCs w:val="22"/>
          <w:color w:val="auto"/>
        </w:rPr>
      </w:pPr>
    </w:p>
    <w:p>
      <w:pPr>
        <w:jc w:val="both"/>
        <w:ind w:firstLine="8"/>
        <w:spacing w:after="0" w:line="246" w:lineRule="auto"/>
        <w:tabs>
          <w:tab w:leader="none" w:pos="94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Holding Period</w:t>
      </w:r>
      <w:r>
        <w:rPr>
          <w:rFonts w:ascii="Times New Roman" w:cs="Times New Roman" w:eastAsia="Times New Roman" w:hAnsi="Times New Roman"/>
          <w:sz w:val="22"/>
          <w:szCs w:val="22"/>
          <w:color w:val="auto"/>
        </w:rPr>
        <w:t>. If and when (i) the Grantee is an Officer (as defined in Rule 16a-1(f) of the Exchange Act) or holds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of President - Agency Operations,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226" w:lineRule="exact"/>
        <w:rPr>
          <w:rFonts w:ascii="Times New Roman" w:cs="Times New Roman" w:eastAsia="Times New Roman" w:hAnsi="Times New Roman"/>
          <w:sz w:val="22"/>
          <w:szCs w:val="22"/>
          <w:color w:val="auto"/>
        </w:rPr>
      </w:pPr>
    </w:p>
    <w:p>
      <w:pPr>
        <w:jc w:val="both"/>
        <w:ind w:firstLine="8"/>
        <w:spacing w:after="0" w:line="248" w:lineRule="auto"/>
        <w:tabs>
          <w:tab w:leader="none" w:pos="95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Lapse of Restrictions</w:t>
      </w:r>
      <w:r>
        <w:rPr>
          <w:rFonts w:ascii="Times New Roman" w:cs="Times New Roman" w:eastAsia="Times New Roman" w:hAnsi="Times New Roman"/>
          <w:sz w:val="22"/>
          <w:szCs w:val="22"/>
          <w:color w:val="auto"/>
        </w:rPr>
        <w:t>. The Period of Restriction shall lapse as to the Restricted Stock in accordance with the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STOCK CERTIFICATES</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SHAREHOLDER RIGHTS</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w:t>
      </w:r>
    </w:p>
    <w:p>
      <w:pPr>
        <w:sectPr>
          <w:pgSz w:w="11900" w:h="16838" w:orient="portrait"/>
          <w:cols w:equalWidth="0" w:num="1">
            <w:col w:w="11420"/>
          </w:cols>
          <w:pgMar w:left="240" w:top="585" w:right="2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DIVIDENDS</w:t>
      </w:r>
    </w:p>
    <w:p>
      <w:pPr>
        <w:spacing w:after="0" w:line="264" w:lineRule="exact"/>
        <w:rPr>
          <w:sz w:val="20"/>
          <w:szCs w:val="20"/>
          <w:color w:val="auto"/>
        </w:rPr>
      </w:pPr>
    </w:p>
    <w:p>
      <w:pPr>
        <w:ind w:firstLine="8"/>
        <w:spacing w:after="0" w:line="271" w:lineRule="auto"/>
        <w:tabs>
          <w:tab w:leader="none" w:pos="96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dividends paid with respect to Shares which remain subject to a Period of Restriction shall not be paid to the Grantee but shall be held by the Company.</w:t>
      </w:r>
    </w:p>
    <w:p>
      <w:pPr>
        <w:spacing w:after="0" w:line="198" w:lineRule="exact"/>
        <w:rPr>
          <w:rFonts w:ascii="Times New Roman" w:cs="Times New Roman" w:eastAsia="Times New Roman" w:hAnsi="Times New Roman"/>
          <w:sz w:val="22"/>
          <w:szCs w:val="22"/>
          <w:color w:val="auto"/>
        </w:rPr>
      </w:pPr>
    </w:p>
    <w:p>
      <w:pPr>
        <w:ind w:left="960" w:hanging="952"/>
        <w:spacing w:after="0"/>
        <w:tabs>
          <w:tab w:leader="none" w:pos="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held dividends shall be subject to the same Period of Restriction as the Shares to which they relate.</w:t>
      </w:r>
    </w:p>
    <w:p>
      <w:pPr>
        <w:spacing w:after="0" w:line="260" w:lineRule="exact"/>
        <w:rPr>
          <w:rFonts w:ascii="Times New Roman" w:cs="Times New Roman" w:eastAsia="Times New Roman" w:hAnsi="Times New Roman"/>
          <w:sz w:val="22"/>
          <w:szCs w:val="22"/>
          <w:color w:val="auto"/>
        </w:rPr>
      </w:pPr>
    </w:p>
    <w:p>
      <w:pPr>
        <w:ind w:firstLine="8"/>
        <w:spacing w:after="0" w:line="271" w:lineRule="auto"/>
        <w:tabs>
          <w:tab w:leader="none" w:pos="9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dividends held pursuant to this Section 5 which are attributable to Shares which vest pursuant to this Agreement shall be paid to the Grantee within 30 days of the applicable vesting date.</w:t>
      </w:r>
    </w:p>
    <w:p>
      <w:pPr>
        <w:spacing w:after="0" w:line="198" w:lineRule="exact"/>
        <w:rPr>
          <w:rFonts w:ascii="Times New Roman" w:cs="Times New Roman" w:eastAsia="Times New Roman" w:hAnsi="Times New Roman"/>
          <w:sz w:val="22"/>
          <w:szCs w:val="22"/>
          <w:color w:val="auto"/>
        </w:rPr>
      </w:pPr>
    </w:p>
    <w:p>
      <w:pPr>
        <w:ind w:right="20" w:firstLine="8"/>
        <w:spacing w:after="0" w:line="271" w:lineRule="auto"/>
        <w:tabs>
          <w:tab w:leader="none" w:pos="95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attributable to Shares forfeited pursuant to Section 2 of this Agreement shall be forfeited to the Company on the date such Shares are forfeited.</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260" w:lineRule="exact"/>
        <w:rPr>
          <w:sz w:val="20"/>
          <w:szCs w:val="20"/>
          <w:color w:val="auto"/>
        </w:rPr>
      </w:pPr>
    </w:p>
    <w:p>
      <w:pPr>
        <w:jc w:val="both"/>
        <w:ind w:firstLine="8"/>
        <w:spacing w:after="0" w:line="246" w:lineRule="auto"/>
        <w:tabs>
          <w:tab w:leader="none" w:pos="96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Article 20 of the Plan, the Committee shall have the power and right to deduct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 or require the Grantee 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jc w:val="both"/>
        <w:ind w:firstLine="8"/>
        <w:spacing w:after="0" w:line="246" w:lineRule="auto"/>
        <w:tabs>
          <w:tab w:leader="none" w:pos="9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Ratification of Actions</w:t>
      </w:r>
      <w:r>
        <w:rPr>
          <w:rFonts w:ascii="Times New Roman" w:cs="Times New Roman" w:eastAsia="Times New Roman" w:hAnsi="Times New Roman"/>
          <w:sz w:val="22"/>
          <w:szCs w:val="22"/>
          <w:color w:val="auto"/>
        </w:rPr>
        <w:t>. By accepting this Agreement, the Grantee and each person claiming under or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be conclusively deemed to have indicated the Grantee’s acceptance and ratification of, and consent to, any action taken under the Plan or this Agreement and Notice of Restricted Stock Grant by the Company, the Board or the Committee.</w:t>
      </w:r>
    </w:p>
    <w:p>
      <w:pPr>
        <w:spacing w:after="0" w:line="220" w:lineRule="exact"/>
        <w:rPr>
          <w:rFonts w:ascii="Times New Roman" w:cs="Times New Roman" w:eastAsia="Times New Roman" w:hAnsi="Times New Roman"/>
          <w:sz w:val="22"/>
          <w:szCs w:val="22"/>
          <w:color w:val="auto"/>
        </w:rPr>
      </w:pPr>
    </w:p>
    <w:p>
      <w:pPr>
        <w:jc w:val="both"/>
        <w:ind w:firstLine="8"/>
        <w:spacing w:after="0" w:line="254" w:lineRule="auto"/>
        <w:tabs>
          <w:tab w:leader="none" w:pos="94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Any notice required by the terms of this Agreement shall be given in writing and shall be deemed effective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212" w:lineRule="exact"/>
        <w:rPr>
          <w:rFonts w:ascii="Times New Roman" w:cs="Times New Roman" w:eastAsia="Times New Roman" w:hAnsi="Times New Roman"/>
          <w:sz w:val="22"/>
          <w:szCs w:val="22"/>
          <w:color w:val="auto"/>
        </w:rPr>
      </w:pPr>
    </w:p>
    <w:p>
      <w:pPr>
        <w:jc w:val="both"/>
        <w:ind w:firstLine="8"/>
        <w:spacing w:after="0" w:line="254" w:lineRule="auto"/>
        <w:tabs>
          <w:tab w:leader="none" w:pos="9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This Agreement and the Notice of Restricted Stock Grant shall be governed by, and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of 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212" w:lineRule="exact"/>
        <w:rPr>
          <w:rFonts w:ascii="Times New Roman" w:cs="Times New Roman" w:eastAsia="Times New Roman" w:hAnsi="Times New Roman"/>
          <w:sz w:val="22"/>
          <w:szCs w:val="22"/>
          <w:color w:val="auto"/>
        </w:rPr>
      </w:pPr>
    </w:p>
    <w:p>
      <w:pPr>
        <w:jc w:val="both"/>
        <w:ind w:firstLine="8"/>
        <w:spacing w:after="0" w:line="263" w:lineRule="auto"/>
        <w:tabs>
          <w:tab w:leader="none" w:pos="94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Subject to, and in accordance with the provisions of Article 3 of the Plan, any dispute or claim arising 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or relating to the Plan, 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ectPr>
          <w:pgSz w:w="11900" w:h="16838" w:orient="portrait"/>
          <w:cols w:equalWidth="0" w:num="1">
            <w:col w:w="11420"/>
          </w:cols>
          <w:pgMar w:left="240" w:top="585" w:right="239" w:bottom="1440" w:gutter="0" w:footer="0" w:header="0"/>
        </w:sectPr>
      </w:pPr>
    </w:p>
    <w:bookmarkStart w:id="118" w:name="page119"/>
    <w:bookmarkEnd w:id="118"/>
    <w:p>
      <w:pPr>
        <w:jc w:val="both"/>
        <w:ind w:firstLine="8"/>
        <w:spacing w:after="0" w:line="259" w:lineRule="auto"/>
        <w:tabs>
          <w:tab w:leader="none" w:pos="9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or Amendment</w:t>
      </w:r>
      <w:r>
        <w:rPr>
          <w:rFonts w:ascii="Times New Roman" w:cs="Times New Roman" w:eastAsia="Times New Roman" w:hAnsi="Times New Roman"/>
          <w:sz w:val="22"/>
          <w:szCs w:val="22"/>
          <w:color w:val="auto"/>
        </w:rPr>
        <w:t>. This Agreement may only be modified or amended by written agreement executed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provided, however, that the adjustments permitted pursuant to Section 4.3 of the Plan may be made without such written agreement.</w:t>
      </w:r>
    </w:p>
    <w:p>
      <w:pPr>
        <w:spacing w:after="0" w:line="207" w:lineRule="exact"/>
        <w:rPr>
          <w:rFonts w:ascii="Times New Roman" w:cs="Times New Roman" w:eastAsia="Times New Roman" w:hAnsi="Times New Roman"/>
          <w:sz w:val="22"/>
          <w:szCs w:val="22"/>
          <w:color w:val="auto"/>
        </w:rPr>
      </w:pPr>
    </w:p>
    <w:p>
      <w:pPr>
        <w:jc w:val="both"/>
        <w:ind w:firstLine="8"/>
        <w:spacing w:after="0" w:line="259" w:lineRule="auto"/>
        <w:tabs>
          <w:tab w:leader="none" w:pos="95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any provision of this Agreement shall be held illegal or invalid for any reason, the illegality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invalidity shall not affect the remaining provisions of this Agreement, and this Agreement shall be construed and enforced as if such illegal or invalid provision had not been included.</w:t>
      </w:r>
    </w:p>
    <w:p>
      <w:pPr>
        <w:spacing w:after="0" w:line="207" w:lineRule="exact"/>
        <w:rPr>
          <w:rFonts w:ascii="Times New Roman" w:cs="Times New Roman" w:eastAsia="Times New Roman" w:hAnsi="Times New Roman"/>
          <w:sz w:val="22"/>
          <w:szCs w:val="22"/>
          <w:color w:val="auto"/>
        </w:rPr>
      </w:pPr>
    </w:p>
    <w:p>
      <w:pPr>
        <w:ind w:left="960" w:hanging="952"/>
        <w:spacing w:after="0"/>
        <w:tabs>
          <w:tab w:leader="none" w:pos="9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References to Plan</w:t>
      </w:r>
      <w:r>
        <w:rPr>
          <w:rFonts w:ascii="Times New Roman" w:cs="Times New Roman" w:eastAsia="Times New Roman" w:hAnsi="Times New Roman"/>
          <w:sz w:val="21"/>
          <w:szCs w:val="21"/>
          <w:color w:val="auto"/>
        </w:rPr>
        <w:t>. All references to the Plan shall be deemed references to the Plan as may be amended from time to</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time.</w:t>
      </w:r>
    </w:p>
    <w:p>
      <w:pPr>
        <w:spacing w:after="0" w:line="232" w:lineRule="exact"/>
        <w:rPr>
          <w:rFonts w:ascii="Times New Roman" w:cs="Times New Roman" w:eastAsia="Times New Roman" w:hAnsi="Times New Roman"/>
          <w:sz w:val="21"/>
          <w:szCs w:val="21"/>
          <w:color w:val="auto"/>
        </w:rPr>
      </w:pPr>
    </w:p>
    <w:p>
      <w:pPr>
        <w:jc w:val="both"/>
        <w:ind w:firstLine="8"/>
        <w:spacing w:after="0" w:line="254"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 To the extent applicable, it is intended that the Plan and this Agreement comply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581"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and Restrictions</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grant is subject to both a Performance Restriction and a Time-Based Restriction, as described below (collectively, the “Period of Restriction”).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Restriction</w:t>
      </w:r>
    </w:p>
    <w:p>
      <w:pPr>
        <w:spacing w:after="0" w:line="26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order for the Restricted Stock to vest, the Compensation Committee of the Board of Directors of the Company (the “Committee”) must determine that the Company has achieved 8.5% or greater Title Operating Margin (as defined below) in at least two calendar quarters of any of the next five calendar quarters starting October 1, 2018 (the “Performance Restriction”). The five calendar quarters starting October 1, 2018 and ending December 31, 2019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Time-Based Restrictions</w:t>
      </w:r>
    </w:p>
    <w:p>
      <w:pPr>
        <w:spacing w:after="0" w:line="393" w:lineRule="exact"/>
        <w:rPr>
          <w:sz w:val="20"/>
          <w:szCs w:val="20"/>
          <w:color w:val="auto"/>
        </w:rPr>
      </w:pPr>
    </w:p>
    <w:tbl>
      <w:tblPr>
        <w:tblLayout w:type="fixed"/>
        <w:tblInd w:w="230" w:type="dxa"/>
        <w:tblCellMar>
          <w:top w:w="0" w:type="dxa"/>
          <w:left w:w="0" w:type="dxa"/>
          <w:bottom w:w="0" w:type="dxa"/>
          <w:right w:w="0" w:type="dxa"/>
        </w:tblCellMar>
      </w:tblPr>
      <w:tr>
        <w:trPr>
          <w:trHeight w:val="305"/>
        </w:trPr>
        <w:tc>
          <w:tcPr>
            <w:tcW w:w="5860" w:type="dxa"/>
            <w:vAlign w:val="bottom"/>
            <w:tcBorders>
              <w:top w:val="single" w:sz="8" w:color="auto"/>
              <w:left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22"/>
                <w:szCs w:val="22"/>
                <w:b w:val="1"/>
                <w:bCs w:val="1"/>
                <w:color w:val="auto"/>
              </w:rPr>
              <w:t>Anniversary Date</w:t>
            </w:r>
          </w:p>
        </w:tc>
        <w:tc>
          <w:tcPr>
            <w:tcW w:w="5180" w:type="dxa"/>
            <w:vAlign w:val="bottom"/>
            <w:tcBorders>
              <w:top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 of Restricted Stock</w:t>
            </w:r>
          </w:p>
        </w:tc>
      </w:tr>
      <w:tr>
        <w:trPr>
          <w:trHeight w:val="296"/>
        </w:trPr>
        <w:tc>
          <w:tcPr>
            <w:tcW w:w="5860" w:type="dxa"/>
            <w:vAlign w:val="bottom"/>
            <w:tcBorders>
              <w:left w:val="single" w:sz="8" w:color="auto"/>
              <w:bottom w:val="single" w:sz="8" w:color="auto"/>
              <w:right w:val="single" w:sz="8" w:color="auto"/>
            </w:tcBorders>
          </w:tcPr>
          <w:p>
            <w:pPr>
              <w:ind w:left="20"/>
              <w:spacing w:after="0" w:line="296" w:lineRule="exact"/>
              <w:rPr>
                <w:sz w:val="20"/>
                <w:szCs w:val="20"/>
                <w:color w:val="auto"/>
              </w:rPr>
            </w:pPr>
            <w:r>
              <w:rPr>
                <w:rFonts w:ascii="Times New Roman" w:cs="Times New Roman" w:eastAsia="Times New Roman" w:hAnsi="Times New Roman"/>
                <w:sz w:val="22"/>
                <w:szCs w:val="22"/>
                <w:color w:val="auto"/>
              </w:rPr>
              <w:t>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Effective Date of Grant</w:t>
            </w:r>
          </w:p>
        </w:tc>
        <w:tc>
          <w:tcPr>
            <w:tcW w:w="5180" w:type="dxa"/>
            <w:vAlign w:val="bottom"/>
            <w:tcBorders>
              <w:bottom w:val="single" w:sz="8" w:color="auto"/>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7"/>
              </w:rPr>
              <w:t>33.33%</w:t>
            </w:r>
          </w:p>
        </w:tc>
      </w:tr>
      <w:tr>
        <w:trPr>
          <w:trHeight w:val="291"/>
        </w:trPr>
        <w:tc>
          <w:tcPr>
            <w:tcW w:w="5860" w:type="dxa"/>
            <w:vAlign w:val="bottom"/>
            <w:tcBorders>
              <w:left w:val="single" w:sz="8" w:color="auto"/>
              <w:bottom w:val="single" w:sz="8" w:color="auto"/>
              <w:right w:val="single" w:sz="8" w:color="auto"/>
            </w:tcBorders>
          </w:tcPr>
          <w:p>
            <w:pPr>
              <w:ind w:left="20"/>
              <w:spacing w:after="0" w:line="290" w:lineRule="exact"/>
              <w:rPr>
                <w:sz w:val="20"/>
                <w:szCs w:val="20"/>
                <w:color w:val="auto"/>
              </w:rPr>
            </w:pPr>
            <w:r>
              <w:rPr>
                <w:rFonts w:ascii="Times New Roman" w:cs="Times New Roman" w:eastAsia="Times New Roman" w:hAnsi="Times New Roman"/>
                <w:sz w:val="22"/>
                <w:szCs w:val="22"/>
                <w:color w:val="auto"/>
              </w:rPr>
              <w:t>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Effective Date of Grant</w:t>
            </w:r>
          </w:p>
        </w:tc>
        <w:tc>
          <w:tcPr>
            <w:tcW w:w="5180" w:type="dxa"/>
            <w:vAlign w:val="bottom"/>
            <w:tcBorders>
              <w:bottom w:val="single" w:sz="8" w:color="auto"/>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7"/>
              </w:rPr>
              <w:t>33.33%</w:t>
            </w:r>
          </w:p>
        </w:tc>
      </w:tr>
      <w:tr>
        <w:trPr>
          <w:trHeight w:val="291"/>
        </w:trPr>
        <w:tc>
          <w:tcPr>
            <w:tcW w:w="5860" w:type="dxa"/>
            <w:vAlign w:val="bottom"/>
            <w:tcBorders>
              <w:left w:val="single" w:sz="8" w:color="auto"/>
              <w:bottom w:val="single" w:sz="8" w:color="auto"/>
              <w:right w:val="single" w:sz="8" w:color="auto"/>
            </w:tcBorders>
          </w:tcPr>
          <w:p>
            <w:pPr>
              <w:ind w:left="20"/>
              <w:spacing w:after="0" w:line="290" w:lineRule="exact"/>
              <w:rPr>
                <w:sz w:val="20"/>
                <w:szCs w:val="20"/>
                <w:color w:val="auto"/>
              </w:rPr>
            </w:pPr>
            <w:r>
              <w:rPr>
                <w:rFonts w:ascii="Times New Roman" w:cs="Times New Roman" w:eastAsia="Times New Roman" w:hAnsi="Times New Roman"/>
                <w:sz w:val="22"/>
                <w:szCs w:val="22"/>
                <w:color w:val="auto"/>
              </w:rPr>
              <w:t>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Effective Date of Grant</w:t>
            </w:r>
          </w:p>
        </w:tc>
        <w:tc>
          <w:tcPr>
            <w:tcW w:w="5180" w:type="dxa"/>
            <w:vAlign w:val="bottom"/>
            <w:tcBorders>
              <w:bottom w:val="single" w:sz="8" w:color="auto"/>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7"/>
              </w:rPr>
              <w:t>33.34%</w:t>
            </w: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1"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640" w:type="dxa"/>
            <w:vAlign w:val="bottom"/>
            <w:gridSpan w:val="3"/>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r>
      <w:tr>
        <w:trPr>
          <w:trHeight w:val="216"/>
        </w:trPr>
        <w:tc>
          <w:tcPr>
            <w:tcW w:w="3720" w:type="dxa"/>
            <w:vAlign w:val="bottom"/>
          </w:tcPr>
          <w:p>
            <w:pPr>
              <w:spacing w:after="0"/>
              <w:rPr>
                <w:sz w:val="18"/>
                <w:szCs w:val="18"/>
                <w:color w:val="auto"/>
              </w:rPr>
            </w:pPr>
          </w:p>
        </w:tc>
        <w:tc>
          <w:tcPr>
            <w:tcW w:w="7640" w:type="dxa"/>
            <w:vAlign w:val="bottom"/>
            <w:gridSpan w:val="3"/>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List of Subsidiaries December 31, 2018</w:t>
            </w:r>
          </w:p>
        </w:tc>
      </w:tr>
      <w:tr>
        <w:trPr>
          <w:trHeight w:val="238"/>
        </w:trPr>
        <w:tc>
          <w:tcPr>
            <w:tcW w:w="3720" w:type="dxa"/>
            <w:vAlign w:val="bottom"/>
          </w:tcPr>
          <w:p>
            <w:pPr>
              <w:spacing w:after="0"/>
              <w:rPr>
                <w:sz w:val="20"/>
                <w:szCs w:val="20"/>
                <w:color w:val="auto"/>
              </w:rPr>
            </w:pPr>
          </w:p>
        </w:tc>
        <w:tc>
          <w:tcPr>
            <w:tcW w:w="7640" w:type="dxa"/>
            <w:vAlign w:val="bottom"/>
            <w:gridSpan w:val="3"/>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r>
      <w:tr>
        <w:trPr>
          <w:trHeight w:val="64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7"/>
        </w:trPr>
        <w:tc>
          <w:tcPr>
            <w:tcW w:w="37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FNTG Holdings, LLC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National Title Group,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ServiceLink Holdings, Inc.</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Commonwealth Land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bl>
    <w:p>
      <w:pPr>
        <w:sectPr>
          <w:pgSz w:w="11900" w:h="16838" w:orient="portrait"/>
          <w:cols w:equalWidth="0" w:num="1">
            <w:col w:w="11380"/>
          </w:cols>
          <w:pgMar w:left="280" w:top="576"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ERNST &amp; YOUNG LLP,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9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333-157123, 333-147391, 333-174650) of Fidelity National Financial, Inc.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S-4 Nos. 333-225287, 333-194938 and 333-190902) of Fidelity National Financial, Inc.</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333-197249, 333-190527, 333-157643, 333-132843, 333-138254, 333-129886, 333-129016, 333-176395, 333-213427) of Fidelity National Financial, Inc.</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19, 2019,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2018.</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Ernst &amp; Young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ectPr>
          <w:pgSz w:w="11900" w:h="16838" w:orient="portrait"/>
          <w:cols w:equalWidth="0" w:num="1">
            <w:col w:w="11420"/>
          </w:cols>
          <w:pgMar w:left="240" w:top="576"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333-197249, 333-190527, 333-157643, 333-132843, 333-138254, 333-129886, 333-129016, 333-176395 and 333-213427) on Form S-8, Registration Statements (Nos. 333-157123, 333-147391, and 333-174650) on Form S-3, and Registration Statements (Nos. 333-194938, 333-190902 and 333-225287) on Form S-4 of Fidelity National Financial, Inc. of our report dated February 27, 2017, except as to Notes A and G, which are as of February 23, 2018 and Note S, as to which is as of May 30, 2018, with respect to the Consolidated Statements of Earnings, Comprehensive Earnings, Equity, and Cash Flows for the year ended December 31, 2016, and the related financial statement schedule, which report appears in the December 31, 2018 annual report on Form 10-K of 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2019</w:t>
      </w:r>
    </w:p>
    <w:p>
      <w:pPr>
        <w:sectPr>
          <w:pgSz w:w="11900" w:h="16838" w:orient="portrait"/>
          <w:cols w:equalWidth="0" w:num="1">
            <w:col w:w="11420"/>
          </w:cols>
          <w:pgMar w:left="240" w:top="576"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right="80" w:hanging="377"/>
        <w:spacing w:after="0" w:line="266" w:lineRule="auto"/>
        <w:tabs>
          <w:tab w:leader="none" w:pos="7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720" w:right="100" w:hanging="377"/>
        <w:spacing w:after="0" w:line="282" w:lineRule="auto"/>
        <w:tabs>
          <w:tab w:leader="none" w:pos="7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35560</wp:posOffset>
            </wp:positionV>
            <wp:extent cx="2298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right="80" w:hanging="377"/>
        <w:spacing w:after="0" w:line="266" w:lineRule="auto"/>
        <w:tabs>
          <w:tab w:leader="none" w:pos="7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720" w:right="100" w:hanging="377"/>
        <w:spacing w:after="0" w:line="282" w:lineRule="auto"/>
        <w:tabs>
          <w:tab w:leader="none" w:pos="7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35560</wp:posOffset>
            </wp:positionV>
            <wp:extent cx="2298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24" w:lineRule="exact"/>
        <w:rPr>
          <w:sz w:val="20"/>
          <w:szCs w:val="20"/>
          <w:color w:val="auto"/>
        </w:rPr>
      </w:pPr>
    </w:p>
    <w:p>
      <w:pPr>
        <w:ind w:left="500" w:right="40" w:hanging="303"/>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69" w:lineRule="exact"/>
        <w:rPr>
          <w:rFonts w:ascii="Times New Roman" w:cs="Times New Roman" w:eastAsia="Times New Roman" w:hAnsi="Times New Roman"/>
          <w:sz w:val="18"/>
          <w:szCs w:val="18"/>
          <w:color w:val="auto"/>
        </w:rPr>
      </w:pPr>
    </w:p>
    <w:p>
      <w:pPr>
        <w:ind w:left="500" w:right="40" w:hanging="303"/>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35560</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500" w:right="40" w:hanging="303"/>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69" w:lineRule="exact"/>
        <w:rPr>
          <w:rFonts w:ascii="Times New Roman" w:cs="Times New Roman" w:eastAsia="Times New Roman" w:hAnsi="Times New Roman"/>
          <w:sz w:val="18"/>
          <w:szCs w:val="18"/>
          <w:color w:val="auto"/>
        </w:rPr>
      </w:pPr>
    </w:p>
    <w:p>
      <w:pPr>
        <w:ind w:left="500" w:right="40" w:hanging="303"/>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2019</w:t>
      </w: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35560</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3"/>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Letter"/>
      <w:start w:val="2"/>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decimal"/>
      <w:start w:val="1"/>
    </w:lvl>
    <w:lvl w:ilvl="1">
      <w:lvlJc w:val="left"/>
      <w:lvlText w:val="%2"/>
      <w:numFmt w:val="decimal"/>
      <w:start w:val="101"/>
    </w:lvl>
  </w:abstractNum>
  <w:abstractNum w:abstractNumId="31">
    <w:nsid w:val="70A64E2A"/>
    <w:multiLevelType w:val="hybridMultilevel"/>
    <w:lvl w:ilvl="0">
      <w:lvlJc w:val="left"/>
      <w:lvlText w:val="(%1)"/>
      <w:numFmt w:val="decimal"/>
      <w:start w:val="1"/>
    </w:lvl>
    <w:lvl w:ilvl="1">
      <w:lvlJc w:val="left"/>
      <w:lvlText w:val="%2"/>
      <w:numFmt w:val="decimal"/>
      <w:start w:val="1"/>
    </w:lvl>
  </w:abstractNum>
  <w:abstractNum w:abstractNumId="32">
    <w:nsid w:val="6A2342EC"/>
    <w:multiLevelType w:val="hybridMultilevel"/>
    <w:lvl w:ilvl="0">
      <w:lvlJc w:val="left"/>
      <w:lvlText w:val="%1."/>
      <w:numFmt w:val="upperLetter"/>
      <w:start w:val="2"/>
    </w:lvl>
  </w:abstractNum>
  <w:abstractNum w:abstractNumId="33">
    <w:nsid w:val="2A487CB0"/>
    <w:multiLevelType w:val="hybridMultilevel"/>
    <w:lvl w:ilvl="0">
      <w:lvlJc w:val="left"/>
      <w:lvlText w:val="%1."/>
      <w:numFmt w:val="upperLetter"/>
      <w:start w:val="3"/>
    </w:lvl>
  </w:abstractNum>
  <w:abstractNum w:abstractNumId="34">
    <w:nsid w:val="1D4ED43B"/>
    <w:multiLevelType w:val="hybridMultilevel"/>
    <w:lvl w:ilvl="0">
      <w:lvlJc w:val="left"/>
      <w:lvlText w:val="%1."/>
      <w:numFmt w:val="upperLetter"/>
      <w:start w:val="4"/>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1"/>
    </w:lvl>
    <w:lvl w:ilvl="1">
      <w:lvlJc w:val="left"/>
      <w:lvlText w:val="%2."/>
      <w:numFmt w:val="lowerRoman"/>
      <w:start w:val="1"/>
    </w:lvl>
  </w:abstractNum>
  <w:abstractNum w:abstractNumId="37">
    <w:nsid w:val="57E4CCAF"/>
    <w:multiLevelType w:val="hybridMultilevel"/>
    <w:lvl w:ilvl="0">
      <w:lvlJc w:val="left"/>
      <w:lvlText w:val="%1."/>
      <w:numFmt w:val="lowerLetter"/>
      <w:start w:val="1"/>
    </w:lvl>
    <w:lvl w:ilvl="1">
      <w:lvlJc w:val="left"/>
      <w:lvlText w:val="%2."/>
      <w:numFmt w:val="lowerRoman"/>
      <w:start w:val="1"/>
    </w:lvl>
  </w:abstractNum>
  <w:abstractNum w:abstractNumId="38">
    <w:nsid w:val="7A6D8D3C"/>
    <w:multiLevelType w:val="hybridMultilevel"/>
    <w:lvl w:ilvl="0">
      <w:lvlJc w:val="left"/>
      <w:lvlText w:val="%1"/>
      <w:numFmt w:val="lowerLetter"/>
      <w:start w:val="1"/>
    </w:lvl>
    <w:lvl w:ilvl="1">
      <w:lvlJc w:val="left"/>
      <w:lvlText w:val="%2."/>
      <w:numFmt w:val="lowerRoman"/>
      <w:start w:val="3"/>
    </w:lvl>
  </w:abstractNum>
  <w:abstractNum w:abstractNumId="39">
    <w:nsid w:val="4B588F54"/>
    <w:multiLevelType w:val="hybridMultilevel"/>
    <w:lvl w:ilvl="0">
      <w:lvlJc w:val="left"/>
      <w:lvlText w:val="%1."/>
      <w:numFmt w:val="lowerLetter"/>
      <w:start w:val="3"/>
    </w:lvl>
    <w:lvl w:ilvl="1">
      <w:lvlJc w:val="left"/>
      <w:lvlText w:val="%2"/>
      <w:numFmt w:val="lowerRoman"/>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lvl w:ilvl="1">
      <w:lvlJc w:val="left"/>
      <w:lvlText w:val="(%2)"/>
      <w:numFmt w:val="lowerRoman"/>
      <w:start w:val="1"/>
    </w:lvl>
  </w:abstractNum>
  <w:abstractNum w:abstractNumId="42">
    <w:nsid w:val="38437FDB"/>
    <w:multiLevelType w:val="hybridMultilevel"/>
    <w:lvl w:ilvl="0">
      <w:lvlJc w:val="left"/>
      <w:lvlText w:val="%1"/>
      <w:numFmt w:val="lowerLetter"/>
      <w:start w:val="1"/>
    </w:lvl>
    <w:lvl w:ilvl="1">
      <w:lvlJc w:val="left"/>
      <w:lvlText w:val="(%2)"/>
      <w:numFmt w:val="lowerRoman"/>
      <w:start w:val="3"/>
    </w:lvl>
  </w:abstractNum>
  <w:abstractNum w:abstractNumId="43">
    <w:nsid w:val="7644A45C"/>
    <w:multiLevelType w:val="hybridMultilevel"/>
    <w:lvl w:ilvl="0">
      <w:lvlJc w:val="left"/>
      <w:lvlText w:val="(%1)"/>
      <w:numFmt w:val="lowerLetter"/>
      <w:start w:val="2"/>
    </w:lvl>
    <w:lvl w:ilvl="1">
      <w:lvlJc w:val="left"/>
      <w:lvlText w:val="%2"/>
      <w:numFmt w:val="lowerRoman"/>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6"/>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84" Type="http://schemas.openxmlformats.org/officeDocument/2006/relationships/image" Target="media/image26.png"/><Relationship Id="rId85" Type="http://schemas.openxmlformats.org/officeDocument/2006/relationships/image" Target="media/image27.png"/><Relationship Id="rId86" Type="http://schemas.openxmlformats.org/officeDocument/2006/relationships/image" Target="media/image28.png"/><Relationship Id="rId87" Type="http://schemas.openxmlformats.org/officeDocument/2006/relationships/image" Target="media/image29.png"/><Relationship Id="rId88" Type="http://schemas.openxmlformats.org/officeDocument/2006/relationships/image" Target="media/image30.png"/><Relationship Id="rId33" Type="http://schemas.openxmlformats.org/officeDocument/2006/relationships/hyperlink" Target="http://www.sec.gov/Archives/edgar/data/1331875/000089256906001101/a22085ddefm14c.htm" TargetMode="External"/><Relationship Id="rId34" Type="http://schemas.openxmlformats.org/officeDocument/2006/relationships/hyperlink" Target="http://www.sec.gov/Archives/edgar/data/1331875/000104746917003921/a2232187zex-2_1.htm" TargetMode="External"/><Relationship Id="rId35" Type="http://schemas.openxmlformats.org/officeDocument/2006/relationships/hyperlink" Target="http://www.sec.gov/Archives/edgar/data/1331875/000104746917003921/a2232187zex-2_2.htm" TargetMode="External"/><Relationship Id="rId36" Type="http://schemas.openxmlformats.org/officeDocument/2006/relationships/hyperlink" Target="http://www.sec.gov/Archives/edgar/data/1331875/000110465917069547/a17-27153_1ex2d1.htm#Exhibit2_1_101925" TargetMode="External"/><Relationship Id="rId37" Type="http://schemas.openxmlformats.org/officeDocument/2006/relationships/hyperlink" Target="http://www.sec.gov/Archives/edgar/data/1331875/000110465918018663/a18-8535_1ex2d1.htm#EXHIBIT2_1_083259" TargetMode="External"/><Relationship Id="rId38" Type="http://schemas.openxmlformats.org/officeDocument/2006/relationships/hyperlink" Target="http://www.sec.gov/Archives/edgar/data/1331875/000133187518000035/fnffifthamendedandrestated.htm" TargetMode="External"/><Relationship Id="rId39" Type="http://schemas.openxmlformats.org/officeDocument/2006/relationships/hyperlink" Target="http://www.sec.gov/Archives/edgar/data/1331875/000133187517000019/exhibit31fourthamendedandr.htm" TargetMode="External"/><Relationship Id="rId40" Type="http://schemas.openxmlformats.org/officeDocument/2006/relationships/hyperlink" Target="http://www.sec.gov/Archives/edgar/data/1331875/000095013406005246/a16815exv4w1.txt" TargetMode="External"/><Relationship Id="rId41" Type="http://schemas.openxmlformats.org/officeDocument/2006/relationships/hyperlink" Target="http://www.sec.gov/Archives/edgar/data/1331875/000089256906000049/a16429exv4w1.htm" TargetMode="External"/><Relationship Id="rId42" Type="http://schemas.openxmlformats.org/officeDocument/2006/relationships/hyperlink" Target="http://www.sec.gov/Archives/edgar/data/1331875/000095012310044230/g23229exv4w1.htm" TargetMode="External"/><Relationship Id="rId43" Type="http://schemas.openxmlformats.org/officeDocument/2006/relationships/hyperlink" Target="http://www.sec.gov/Archives/edgar/data/1331875/000119312514255770/d750947dex41.htm" TargetMode="External"/><Relationship Id="rId44" Type="http://schemas.openxmlformats.org/officeDocument/2006/relationships/hyperlink" Target="http://www.sec.gov/Archives/edgar/data/1331875/000089256907001411/a35688exv4w2xay.htm" TargetMode="External"/><Relationship Id="rId45" Type="http://schemas.openxmlformats.org/officeDocument/2006/relationships/hyperlink" Target="http://www.sec.gov/Archives/edgar/data/1331875/000133187511000040/exhibit45convertible8k.htm" TargetMode="External"/><Relationship Id="rId46" Type="http://schemas.openxmlformats.org/officeDocument/2006/relationships/hyperlink" Target="http://www.sec.gov/Archives/edgar/data/1331875/000133187518000051/exhibit44-fourthsupplement.htm" TargetMode="External"/><Relationship Id="rId47" Type="http://schemas.openxmlformats.org/officeDocument/2006/relationships/hyperlink" Target="http://www.sec.gov/Archives/edgar/data/1331875/000119312514182698/d702315dex41.htm" TargetMode="External"/><Relationship Id="rId48" Type="http://schemas.openxmlformats.org/officeDocument/2006/relationships/hyperlink" Target="http://www.sec.gov/Archives/edgar/data/1331875/000133187517000046/ex102fourthamendedandresta.htm" TargetMode="External"/><Relationship Id="rId49" Type="http://schemas.openxmlformats.org/officeDocument/2006/relationships/hyperlink" Target="http://www.sec.gov/Archives/edgar/data/1331875/000119312516569331/d157551ddef14a.htm#toc157551_18" TargetMode="External"/><Relationship Id="rId50" Type="http://schemas.openxmlformats.org/officeDocument/2006/relationships/hyperlink" Target="http://www.sec.gov/Archives/edgar/data/1331875/000119312516569331/d157551ddef14a.htm#toc157551_19" TargetMode="External"/><Relationship Id="rId51" Type="http://schemas.openxmlformats.org/officeDocument/2006/relationships/hyperlink" Target="http://www.sec.gov/Archives/edgar/data/1331875/000095014409001785/g17782exv10w18.htm" TargetMode="External"/><Relationship Id="rId52" Type="http://schemas.openxmlformats.org/officeDocument/2006/relationships/hyperlink" Target="http://www.sec.gov/Archives/edgar/data/1331875/000133187516000111/exhibit10122015.htm" TargetMode="External"/><Relationship Id="rId53" Type="http://schemas.openxmlformats.org/officeDocument/2006/relationships/hyperlink" Target="http://www.sec.gov/Archives/edgar/data/1331875/000133187514000005/exhibit1012.htm" TargetMode="External"/><Relationship Id="rId54" Type="http://schemas.openxmlformats.org/officeDocument/2006/relationships/hyperlink" Target="http://www.sec.gov/Archives/edgar/data/1331875/000133187513000012/exhibit1010.htm" TargetMode="External"/><Relationship Id="rId55" Type="http://schemas.openxmlformats.org/officeDocument/2006/relationships/hyperlink" Target="http://www.sec.gov/Archives/edgar/data/1331875/000095014409001785/g17782exv10w11.htm" TargetMode="External"/><Relationship Id="rId56" Type="http://schemas.openxmlformats.org/officeDocument/2006/relationships/hyperlink" Target="http://www.sec.gov/Archives/edgar/data/1331875/000095012310019326/g21797exv10w13.htm" TargetMode="External"/><Relationship Id="rId57" Type="http://schemas.openxmlformats.org/officeDocument/2006/relationships/hyperlink" Target="http://www.sec.gov/Archives/edgar/data/1331875/000133187512000047/exhibit101.htm" TargetMode="External"/><Relationship Id="rId58" Type="http://schemas.openxmlformats.org/officeDocument/2006/relationships/hyperlink" Target="http://www.sec.gov/Archives/edgar/data/1331875/000133187512000018/exhibit1016.htm" TargetMode="External"/><Relationship Id="rId59" Type="http://schemas.openxmlformats.org/officeDocument/2006/relationships/hyperlink" Target="http://www.sec.gov/Archives/edgar/data/1331875/000095012310019326/g21797exv10w15.htm" TargetMode="External"/><Relationship Id="rId60" Type="http://schemas.openxmlformats.org/officeDocument/2006/relationships/hyperlink" Target="http://www.sec.gov/Archives/edgar/data/1331875/000133187518000015/exhibit1017bickettfnfempag.htm" TargetMode="External"/><Relationship Id="rId61" Type="http://schemas.openxmlformats.org/officeDocument/2006/relationships/hyperlink" Target="http://www.sec.gov/Archives/edgar/data/1331875/000133187516000111/exhibit10272015.htm" TargetMode="External"/><Relationship Id="rId62" Type="http://schemas.openxmlformats.org/officeDocument/2006/relationships/hyperlink" Target="http://www.sec.gov/Archives/edgar/data/1331875/000095014409001785/g17782exv10w16.htm" TargetMode="External"/><Relationship Id="rId63" Type="http://schemas.openxmlformats.org/officeDocument/2006/relationships/hyperlink" Target="http://www.sec.gov/Archives/edgar/data/1331875/000095012310019326/g21797exv10w21.htm" TargetMode="External"/><Relationship Id="rId64" Type="http://schemas.openxmlformats.org/officeDocument/2006/relationships/hyperlink" Target="http://www.sec.gov/Archives/edgar/data/1331875/000133187513000012/exhibit1022.htm" TargetMode="External"/><Relationship Id="rId65" Type="http://schemas.openxmlformats.org/officeDocument/2006/relationships/hyperlink" Target="http://www.sec.gov/Archives/edgar/data/1331875/000133187515000019/exhibit1021q2015b.htm" TargetMode="External"/><Relationship Id="rId66" Type="http://schemas.openxmlformats.org/officeDocument/2006/relationships/hyperlink" Target="http://www.sec.gov/Archives/edgar/data/1331875/000133187513000012/exhibit1026.htm" TargetMode="External"/><Relationship Id="rId67" Type="http://schemas.openxmlformats.org/officeDocument/2006/relationships/hyperlink" Target="http://www.sec.gov/Archives/edgar/data/1331875/000119312514012055/d657527dex102.htm" TargetMode="External"/><Relationship Id="rId68" Type="http://schemas.openxmlformats.org/officeDocument/2006/relationships/hyperlink" Target="http://www.sec.gov/Archives/edgar/data/1331875/000119312514012055/d657527dex104.htm" TargetMode="External"/><Relationship Id="rId69" Type="http://schemas.openxmlformats.org/officeDocument/2006/relationships/hyperlink" Target="http://www.sec.gov/Archives/edgar/data/1331875/000119312514012055/d657527dex106.htm" TargetMode="External"/><Relationship Id="rId70" Type="http://schemas.openxmlformats.org/officeDocument/2006/relationships/hyperlink" Target="http://www.sec.gov/Archives/edgar/data/1331875/000133187516000144/exhibit101q22016foleyagree.htm" TargetMode="External"/><Relationship Id="rId71" Type="http://schemas.openxmlformats.org/officeDocument/2006/relationships/hyperlink" Target="http://www.sec.gov/Archives/edgar/data/1331875/000133187516000144/exhibit102q22016quirkagree.htm" TargetMode="External"/><Relationship Id="rId72" Type="http://schemas.openxmlformats.org/officeDocument/2006/relationships/hyperlink" Target="http://www.sec.gov/Archives/edgar/data/1331875/000133187516000144/exhibit103q22016bickettagr.htm" TargetMode="External"/><Relationship Id="rId73" Type="http://schemas.openxmlformats.org/officeDocument/2006/relationships/hyperlink" Target="http://www.sec.gov/Archives/edgar/data/1331875/000133187516000144/exhibit104q22016parkagreem.htm" TargetMode="External"/><Relationship Id="rId74" Type="http://schemas.openxmlformats.org/officeDocument/2006/relationships/hyperlink" Target="http://www.sec.gov/Archives/edgar/data/1331875/000133187516000144/exhibit105q22016gravelleag.htm" TargetMode="External"/><Relationship Id="rId75" Type="http://schemas.openxmlformats.org/officeDocument/2006/relationships/hyperlink" Target="http://www.sec.gov/Archives/edgar/data/1331875/000133187516000144/exhibit106q22016sadowskiag.htm" TargetMode="External"/><Relationship Id="rId76" Type="http://schemas.openxmlformats.org/officeDocument/2006/relationships/hyperlink" Target="http://www.sec.gov/Archives/edgar/data/1331875/000133187516000144/exhibit107q22016nolanagree.htm" TargetMode="External"/><Relationship Id="rId77" Type="http://schemas.openxmlformats.org/officeDocument/2006/relationships/hyperlink" Target="http://www.sec.gov/Archives/edgar/data/1331875/000133187516000144/exhibit108q22016nolanamend.htm" TargetMode="External"/><Relationship Id="rId78" Type="http://schemas.openxmlformats.org/officeDocument/2006/relationships/hyperlink" Target="http://www.sec.gov/Archives/edgar/data/1331875/000133187516000144/exhibit109q22016jewkesagre.htm" TargetMode="External"/><Relationship Id="rId79" Type="http://schemas.openxmlformats.org/officeDocument/2006/relationships/hyperlink" Target="http://www.sec.gov/Archives/edgar/data/1331875/000133187516000144/exhibit1010q22016jewkesame.htm" TargetMode="External"/><Relationship Id="rId80" Type="http://schemas.openxmlformats.org/officeDocument/2006/relationships/hyperlink" Target="http://www.sec.gov/Archives/edgar/data/1331875/000133187517000031/exhibit10582016.htm" TargetMode="External"/><Relationship Id="rId81" Type="http://schemas.openxmlformats.org/officeDocument/2006/relationships/hyperlink" Target="http://www.sec.gov/Archives/edgar/data/1331875/000133187517000031/exhibit10592016.htm" TargetMode="External"/><Relationship Id="rId82" Type="http://schemas.openxmlformats.org/officeDocument/2006/relationships/hyperlink" Target="http://www.sec.gov/Archives/edgar/data/1331875/000133187518000015/exhibit1039formofrsgrant-1.htm" TargetMode="External"/><Relationship Id="rId83" Type="http://schemas.openxmlformats.org/officeDocument/2006/relationships/hyperlink" Target="http://www.sec.gov/Archives/edgar/data/1331875/000110465917069547/a17-27153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2019-12-28T16:21:22Z</dcterms:created>
  <dcterms:modified xsi:type="dcterms:W3CDTF">2019-12-28T16:21:22Z</dcterms:modified>
</cp:coreProperties>
</file>