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6" w:lineRule="exact"/>
        <w:rPr>
          <w:sz w:val="24"/>
          <w:szCs w:val="24"/>
          <w:color w:val="auto"/>
        </w:rPr>
      </w:pPr>
    </w:p>
    <w:p>
      <w:pPr>
        <w:ind w:left="2320" w:right="1080" w:hanging="1144"/>
        <w:spacing w:after="0" w:line="282" w:lineRule="auto"/>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2320" w:right="1080" w:hanging="1108"/>
        <w:spacing w:after="0" w:line="282" w:lineRule="auto"/>
        <w:tabs>
          <w:tab w:leader="none" w:pos="23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FIDELITY NATIONAL FINANCIAL, INC.</w:t>
      </w:r>
    </w:p>
    <w:p>
      <w:pPr>
        <w:spacing w:after="0" w:line="45" w:lineRule="exact"/>
        <w:rPr>
          <w:sz w:val="24"/>
          <w:szCs w:val="24"/>
          <w:color w:val="auto"/>
        </w:rPr>
      </w:pPr>
    </w:p>
    <w:p>
      <w:pPr>
        <w:ind w:left="16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______________________________________________________________________________________________________________________________________________________</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89"/>
              </w:rPr>
              <w:t>Delaware</w:t>
            </w:r>
          </w:p>
        </w:tc>
        <w:tc>
          <w:tcPr>
            <w:tcW w:w="3620" w:type="dxa"/>
            <w:vAlign w:val="bottom"/>
          </w:tcPr>
          <w:p>
            <w:pPr>
              <w:jc w:val="right"/>
              <w:ind w:right="2090"/>
              <w:spacing w:after="0"/>
              <w:rPr>
                <w:sz w:val="20"/>
                <w:szCs w:val="20"/>
                <w:color w:val="auto"/>
              </w:rPr>
            </w:pPr>
            <w:r>
              <w:rPr>
                <w:rFonts w:ascii="Arial" w:cs="Arial" w:eastAsia="Arial" w:hAnsi="Arial"/>
                <w:sz w:val="18"/>
                <w:szCs w:val="18"/>
                <w:color w:val="auto"/>
              </w:rPr>
              <w:t>16-1725106</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22"/>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(State or other jurisdiction of</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3"/>
              </w:rPr>
              <w:t>(I.R.S. Employer</w:t>
            </w:r>
          </w:p>
        </w:tc>
      </w:tr>
      <w:tr>
        <w:trPr>
          <w:trHeight w:val="230"/>
        </w:trPr>
        <w:tc>
          <w:tcPr>
            <w:tcW w:w="7800" w:type="dxa"/>
            <w:vAlign w:val="bottom"/>
            <w:gridSpan w:val="3"/>
          </w:tcPr>
          <w:p>
            <w:pPr>
              <w:jc w:val="center"/>
              <w:ind w:right="2520"/>
              <w:spacing w:after="0"/>
              <w:rPr>
                <w:sz w:val="20"/>
                <w:szCs w:val="20"/>
                <w:color w:val="auto"/>
              </w:rPr>
            </w:pPr>
            <w:r>
              <w:rPr>
                <w:rFonts w:ascii="Arial" w:cs="Arial" w:eastAsia="Arial" w:hAnsi="Arial"/>
                <w:sz w:val="18"/>
                <w:szCs w:val="18"/>
                <w:color w:val="auto"/>
                <w:w w:val="92"/>
              </w:rPr>
              <w:t>incorporation or organization)</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5"/>
              </w:rPr>
              <w:t>Identification Number)</w:t>
            </w:r>
          </w:p>
        </w:tc>
      </w:tr>
      <w:tr>
        <w:trPr>
          <w:trHeight w:val="540"/>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1"/>
              </w:rPr>
              <w:t>601 Riverside Avenue, Jacksonville, Florida</w:t>
            </w:r>
          </w:p>
        </w:tc>
        <w:tc>
          <w:tcPr>
            <w:tcW w:w="3620" w:type="dxa"/>
            <w:vAlign w:val="bottom"/>
          </w:tcPr>
          <w:p>
            <w:pPr>
              <w:jc w:val="right"/>
              <w:ind w:right="2310"/>
              <w:spacing w:after="0"/>
              <w:rPr>
                <w:sz w:val="20"/>
                <w:szCs w:val="20"/>
                <w:color w:val="auto"/>
              </w:rPr>
            </w:pPr>
            <w:r>
              <w:rPr>
                <w:rFonts w:ascii="Arial" w:cs="Arial" w:eastAsia="Arial" w:hAnsi="Arial"/>
                <w:sz w:val="18"/>
                <w:szCs w:val="18"/>
                <w:color w:val="auto"/>
              </w:rPr>
              <w:t>32204</w:t>
            </w:r>
          </w:p>
        </w:tc>
      </w:tr>
      <w:tr>
        <w:trPr>
          <w:trHeight w:val="27"/>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7800" w:type="dxa"/>
            <w:vAlign w:val="bottom"/>
            <w:gridSpan w:val="3"/>
          </w:tcPr>
          <w:p>
            <w:pPr>
              <w:jc w:val="center"/>
              <w:ind w:right="2540"/>
              <w:spacing w:after="0"/>
              <w:rPr>
                <w:sz w:val="20"/>
                <w:szCs w:val="20"/>
                <w:color w:val="auto"/>
              </w:rPr>
            </w:pPr>
            <w:r>
              <w:rPr>
                <w:rFonts w:ascii="Arial" w:cs="Arial" w:eastAsia="Arial" w:hAnsi="Arial"/>
                <w:sz w:val="18"/>
                <w:szCs w:val="18"/>
                <w:color w:val="auto"/>
                <w:w w:val="92"/>
              </w:rPr>
              <w:t>(Address of principal executive offices)</w:t>
            </w:r>
          </w:p>
        </w:tc>
        <w:tc>
          <w:tcPr>
            <w:tcW w:w="3620" w:type="dxa"/>
            <w:vAlign w:val="bottom"/>
          </w:tcPr>
          <w:p>
            <w:pPr>
              <w:jc w:val="center"/>
              <w:ind w:right="1530"/>
              <w:spacing w:after="0"/>
              <w:rPr>
                <w:sz w:val="20"/>
                <w:szCs w:val="20"/>
                <w:color w:val="auto"/>
              </w:rPr>
            </w:pPr>
            <w:r>
              <w:rPr>
                <w:rFonts w:ascii="Arial" w:cs="Arial" w:eastAsia="Arial" w:hAnsi="Arial"/>
                <w:sz w:val="18"/>
                <w:szCs w:val="18"/>
                <w:color w:val="auto"/>
                <w:w w:val="94"/>
              </w:rPr>
              <w:t>(Zip Code)</w:t>
            </w:r>
          </w:p>
        </w:tc>
      </w:tr>
      <w:tr>
        <w:trPr>
          <w:trHeight w:val="257"/>
        </w:trPr>
        <w:tc>
          <w:tcPr>
            <w:tcW w:w="7800" w:type="dxa"/>
            <w:vAlign w:val="bottom"/>
            <w:gridSpan w:val="3"/>
          </w:tcPr>
          <w:p>
            <w:pPr>
              <w:jc w:val="right"/>
              <w:ind w:right="1520"/>
              <w:spacing w:after="0"/>
              <w:rPr>
                <w:sz w:val="20"/>
                <w:szCs w:val="20"/>
                <w:color w:val="auto"/>
              </w:rPr>
            </w:pPr>
            <w:r>
              <w:rPr>
                <w:rFonts w:ascii="Arial" w:cs="Arial" w:eastAsia="Arial" w:hAnsi="Arial"/>
                <w:sz w:val="18"/>
                <w:szCs w:val="18"/>
                <w:color w:val="auto"/>
              </w:rPr>
              <w:t>(904) 854-8100</w:t>
            </w:r>
          </w:p>
        </w:tc>
        <w:tc>
          <w:tcPr>
            <w:tcW w:w="3620" w:type="dxa"/>
            <w:vAlign w:val="bottom"/>
          </w:tcPr>
          <w:p>
            <w:pPr>
              <w:spacing w:after="0"/>
              <w:rPr>
                <w:sz w:val="22"/>
                <w:szCs w:val="22"/>
                <w:color w:val="auto"/>
              </w:rPr>
            </w:pPr>
          </w:p>
        </w:tc>
      </w:tr>
      <w:tr>
        <w:trPr>
          <w:trHeight w:val="134"/>
        </w:trPr>
        <w:tc>
          <w:tcPr>
            <w:tcW w:w="7800" w:type="dxa"/>
            <w:vAlign w:val="bottom"/>
            <w:gridSpan w:val="3"/>
          </w:tcPr>
          <w:p>
            <w:pPr>
              <w:jc w:val="right"/>
              <w:ind w:right="280"/>
              <w:spacing w:after="0"/>
              <w:rPr>
                <w:sz w:val="20"/>
                <w:szCs w:val="20"/>
                <w:color w:val="auto"/>
              </w:rPr>
            </w:pPr>
            <w:r>
              <w:rPr>
                <w:rFonts w:ascii="Arial" w:cs="Arial" w:eastAsia="Arial" w:hAnsi="Arial"/>
                <w:sz w:val="11"/>
                <w:szCs w:val="11"/>
                <w:color w:val="auto"/>
              </w:rPr>
              <w:t>___________________________________________________________________</w:t>
            </w:r>
          </w:p>
        </w:tc>
        <w:tc>
          <w:tcPr>
            <w:tcW w:w="3620" w:type="dxa"/>
            <w:vAlign w:val="bottom"/>
          </w:tcPr>
          <w:p>
            <w:pPr>
              <w:spacing w:after="0"/>
              <w:rPr>
                <w:sz w:val="11"/>
                <w:szCs w:val="11"/>
                <w:color w:val="auto"/>
              </w:rPr>
            </w:pPr>
          </w:p>
        </w:tc>
      </w:tr>
      <w:tr>
        <w:trPr>
          <w:trHeight w:val="230"/>
        </w:trPr>
        <w:tc>
          <w:tcPr>
            <w:tcW w:w="7800" w:type="dxa"/>
            <w:vAlign w:val="bottom"/>
            <w:gridSpan w:val="3"/>
          </w:tcPr>
          <w:p>
            <w:pPr>
              <w:ind w:left="3800"/>
              <w:spacing w:after="0"/>
              <w:rPr>
                <w:sz w:val="20"/>
                <w:szCs w:val="20"/>
                <w:color w:val="auto"/>
              </w:rPr>
            </w:pPr>
            <w:r>
              <w:rPr>
                <w:rFonts w:ascii="Arial" w:cs="Arial" w:eastAsia="Arial" w:hAnsi="Arial"/>
                <w:sz w:val="18"/>
                <w:szCs w:val="18"/>
                <w:color w:val="auto"/>
                <w:w w:val="94"/>
              </w:rPr>
              <w:t>(Registrant’s telephone number, including area code)</w:t>
            </w:r>
          </w:p>
        </w:tc>
        <w:tc>
          <w:tcPr>
            <w:tcW w:w="3620" w:type="dxa"/>
            <w:vAlign w:val="bottom"/>
          </w:tcPr>
          <w:p>
            <w:pPr>
              <w:spacing w:after="0"/>
              <w:rPr>
                <w:sz w:val="20"/>
                <w:szCs w:val="20"/>
                <w:color w:val="auto"/>
              </w:rPr>
            </w:pPr>
          </w:p>
        </w:tc>
      </w:tr>
    </w:tbl>
    <w:p>
      <w:pPr>
        <w:spacing w:after="0" w:line="9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820" w:val="left"/>
          <w:tab w:leader="none" w:pos="4960" w:val="left"/>
          <w:tab w:leader="none" w:pos="7000" w:val="left"/>
          <w:tab w:leader="none" w:pos="92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6"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reporting company)</w:t>
      </w:r>
    </w:p>
    <w:p>
      <w:pPr>
        <w:spacing w:after="0" w:line="157" w:lineRule="exact"/>
        <w:rPr>
          <w:sz w:val="24"/>
          <w:szCs w:val="24"/>
          <w:color w:val="auto"/>
        </w:rPr>
      </w:pPr>
    </w:p>
    <w:p>
      <w:pPr>
        <w:jc w:val="both"/>
        <w:ind w:right="20"/>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5220"/>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1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April 16, 2018 were:</w:t>
      </w:r>
    </w:p>
    <w:p>
      <w:pPr>
        <w:spacing w:after="0" w:line="117" w:lineRule="exact"/>
        <w:rPr>
          <w:sz w:val="24"/>
          <w:szCs w:val="24"/>
          <w:color w:val="auto"/>
        </w:rPr>
      </w:pPr>
    </w:p>
    <w:p>
      <w:pPr>
        <w:spacing w:after="0"/>
        <w:tabs>
          <w:tab w:leader="none" w:pos="166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274,588,956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 Ended March 31, 2018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03"/>
        </w:trPr>
        <w:tc>
          <w:tcPr>
            <w:tcW w:w="2740" w:type="dxa"/>
            <w:vAlign w:val="bottom"/>
            <w:tcBorders>
              <w:bottom w:val="single" w:sz="8" w:color="0000FF"/>
            </w:tcBorders>
            <w:gridSpan w:val="8"/>
          </w:tcPr>
          <w:p>
            <w:pPr>
              <w:spacing w:after="0" w:line="202"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Part I: FINANCIAL INFORMATION</w:t>
              </w:r>
            </w:hyperlink>
          </w:p>
        </w:tc>
        <w:tc>
          <w:tcPr>
            <w:tcW w:w="750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 Condensed Consolidated Balance Sheets as of March 31, 2018 and December 31,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 Condensed Consolidated Statements of Earnings for the three-month periods ended March 31, 2018 and 2017</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 Condensed Consolidated Statements of Comprehensive Earnings for the three-month periods ended March 31, 2018 and 2017</w:t>
              </w:r>
            </w:hyperlink>
          </w:p>
        </w:tc>
        <w:tc>
          <w:tcPr>
            <w:tcW w:w="4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9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D. Condensed Consolidated Statements of Equity for the three-month periods ended March 31, 2018 and 2017</w:t>
              </w:r>
            </w:hyperlink>
          </w:p>
        </w:tc>
        <w:tc>
          <w:tcPr>
            <w:tcW w:w="1760" w:type="dxa"/>
            <w:vAlign w:val="bottom"/>
            <w:gridSpan w:val="4"/>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E. Condensed Consolidated Statements of Cash Flows for the three-month periods ended March 31, 2018 and 2017</w:t>
              </w:r>
            </w:hyperlink>
          </w:p>
        </w:tc>
        <w:tc>
          <w:tcPr>
            <w:tcW w:w="14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6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F. Notes to Condensed Consolidated Financial Statements</w:t>
              </w:r>
            </w:hyperlink>
          </w:p>
        </w:tc>
        <w:tc>
          <w:tcPr>
            <w:tcW w:w="5560" w:type="dxa"/>
            <w:vAlign w:val="bottom"/>
            <w:gridSpan w:val="8"/>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720" w:type="dxa"/>
            <w:vAlign w:val="bottom"/>
            <w:gridSpan w:val="17"/>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2"/>
            <w:shd w:val="clear" w:color="auto" w:fill="0000FF"/>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40" w:type="dxa"/>
            <w:vAlign w:val="bottom"/>
            <w:gridSpan w:val="10"/>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Item 3. Quantitative and Qualitative Disclosure About Market Risk</w:t>
              </w:r>
            </w:hyperlink>
          </w:p>
        </w:tc>
        <w:tc>
          <w:tcPr>
            <w:tcW w:w="2160" w:type="dxa"/>
            <w:vAlign w:val="bottom"/>
            <w:gridSpan w:val="2"/>
          </w:tcPr>
          <w:p>
            <w:pPr>
              <w:spacing w:after="0"/>
              <w:rPr>
                <w:sz w:val="21"/>
                <w:szCs w:val="21"/>
                <w:color w:val="auto"/>
              </w:rPr>
            </w:pPr>
          </w:p>
        </w:tc>
        <w:tc>
          <w:tcPr>
            <w:tcW w:w="2720" w:type="dxa"/>
            <w:vAlign w:val="bottom"/>
            <w:gridSpan w:val="5"/>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3">
              <w:r>
                <w:rPr>
                  <w:rFonts w:ascii="Arial" w:cs="Arial" w:eastAsia="Arial" w:hAnsi="Arial"/>
                  <w:sz w:val="18"/>
                  <w:szCs w:val="18"/>
                  <w:color w:val="0000FF"/>
                  <w:w w:val="90"/>
                </w:rPr>
                <w:t>Item 4.</w:t>
              </w:r>
            </w:hyperlink>
          </w:p>
        </w:tc>
        <w:tc>
          <w:tcPr>
            <w:tcW w:w="4320" w:type="dxa"/>
            <w:vAlign w:val="bottom"/>
            <w:gridSpan w:val="9"/>
          </w:tcPr>
          <w:p>
            <w:pPr>
              <w:ind w:left="20"/>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240" w:type="dxa"/>
            <w:vAlign w:val="bottom"/>
            <w:gridSpan w:val="19"/>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Part II: OTHER INFORMATION</w:t>
              </w:r>
            </w:hyperlink>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4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520" w:type="dxa"/>
            <w:vAlign w:val="bottom"/>
            <w:tcBorders>
              <w:top w:val="single" w:sz="8" w:color="0000FF"/>
            </w:tcBorders>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1.</w:t>
              </w:r>
            </w:hyperlink>
          </w:p>
        </w:tc>
        <w:tc>
          <w:tcPr>
            <w:tcW w:w="1360" w:type="dxa"/>
            <w:vAlign w:val="bottom"/>
            <w:tcBorders>
              <w:top w:val="single" w:sz="8" w:color="0000FF"/>
            </w:tcBorders>
            <w:gridSpan w:val="3"/>
          </w:tcPr>
          <w:p>
            <w:pPr>
              <w:ind w:left="20"/>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Legal Proceedings</w:t>
              </w:r>
            </w:hyperlink>
          </w:p>
        </w:tc>
        <w:tc>
          <w:tcPr>
            <w:tcW w:w="20" w:type="dxa"/>
            <w:vAlign w:val="bottom"/>
            <w:tcBorders>
              <w:top w:val="single" w:sz="8" w:color="0000FF"/>
            </w:tcBorders>
          </w:tcPr>
          <w:p>
            <w:pPr>
              <w:spacing w:after="0"/>
              <w:rPr>
                <w:sz w:val="21"/>
                <w:szCs w:val="21"/>
                <w:color w:val="auto"/>
              </w:rPr>
            </w:pPr>
          </w:p>
        </w:tc>
        <w:tc>
          <w:tcPr>
            <w:tcW w:w="7820" w:type="dxa"/>
            <w:vAlign w:val="bottom"/>
            <w:gridSpan w:val="12"/>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0000" w:type="dxa"/>
            <w:vAlign w:val="bottom"/>
            <w:gridSpan w:val="18"/>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1A. Risk Factors</w:t>
              </w:r>
            </w:hyperlink>
          </w:p>
        </w:tc>
        <w:tc>
          <w:tcPr>
            <w:tcW w:w="1140" w:type="dxa"/>
            <w:vAlign w:val="bottom"/>
            <w:gridSpan w:val="4"/>
          </w:tcPr>
          <w:p>
            <w:pPr>
              <w:jc w:val="right"/>
              <w:ind w:right="20"/>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540" w:type="dxa"/>
            <w:vAlign w:val="bottom"/>
            <w:gridSpan w:val="7"/>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4">
              <w:r>
                <w:rPr>
                  <w:rFonts w:ascii="Arial" w:cs="Arial" w:eastAsia="Arial" w:hAnsi="Arial"/>
                  <w:sz w:val="18"/>
                  <w:szCs w:val="18"/>
                  <w:color w:val="0000FF"/>
                  <w:w w:val="90"/>
                </w:rPr>
                <w:t>Item 2.</w:t>
              </w:r>
            </w:hyperlink>
          </w:p>
        </w:tc>
        <w:tc>
          <w:tcPr>
            <w:tcW w:w="4320" w:type="dxa"/>
            <w:vAlign w:val="bottom"/>
            <w:gridSpan w:val="9"/>
          </w:tcPr>
          <w:p>
            <w:pPr>
              <w:ind w:left="20"/>
              <w:spacing w:after="0"/>
              <w:rPr>
                <w:rFonts w:ascii="Arial" w:cs="Arial" w:eastAsia="Arial" w:hAnsi="Arial"/>
                <w:sz w:val="18"/>
                <w:szCs w:val="18"/>
                <w:color w:val="0000FF"/>
                <w:w w:val="87"/>
              </w:rPr>
            </w:pPr>
            <w:hyperlink w:anchor="page34">
              <w:r>
                <w:rPr>
                  <w:rFonts w:ascii="Arial" w:cs="Arial" w:eastAsia="Arial" w:hAnsi="Arial"/>
                  <w:sz w:val="18"/>
                  <w:szCs w:val="18"/>
                  <w:color w:val="0000FF"/>
                  <w:w w:val="87"/>
                </w:rPr>
                <w:t>Unregistered Sales of Equity Securities and Use of Proceeds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4">
              <w:r>
                <w:rPr>
                  <w:rFonts w:ascii="Arial" w:cs="Arial" w:eastAsia="Arial" w:hAnsi="Arial"/>
                  <w:sz w:val="18"/>
                  <w:szCs w:val="18"/>
                  <w:color w:val="0000FF"/>
                </w:rPr>
                <w:t>31</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Item 6.</w:t>
              </w:r>
            </w:hyperlink>
          </w:p>
        </w:tc>
        <w:tc>
          <w:tcPr>
            <w:tcW w:w="4320" w:type="dxa"/>
            <w:vAlign w:val="bottom"/>
            <w:gridSpan w:val="9"/>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4880" w:type="dxa"/>
            <w:vAlign w:val="bottom"/>
            <w:gridSpan w:val="7"/>
          </w:tcPr>
          <w:p>
            <w:pPr>
              <w:spacing w:after="0"/>
              <w:rPr>
                <w:sz w:val="21"/>
                <w:szCs w:val="21"/>
                <w:color w:val="auto"/>
              </w:rPr>
            </w:pPr>
          </w:p>
        </w:tc>
        <w:tc>
          <w:tcPr>
            <w:tcW w:w="1140" w:type="dxa"/>
            <w:vAlign w:val="bottom"/>
            <w:gridSpan w:val="4"/>
          </w:tcPr>
          <w:p>
            <w:pPr>
              <w:jc w:val="right"/>
              <w:ind w:right="20"/>
              <w:spacing w:after="0"/>
              <w:rPr>
                <w:rFonts w:ascii="Arial" w:cs="Arial" w:eastAsia="Arial" w:hAnsi="Arial"/>
                <w:sz w:val="18"/>
                <w:szCs w:val="18"/>
                <w:color w:val="0000FF"/>
              </w:rPr>
            </w:pPr>
            <w:hyperlink w:anchor="page35">
              <w:r>
                <w:rPr>
                  <w:rFonts w:ascii="Arial" w:cs="Arial" w:eastAsia="Arial" w:hAnsi="Arial"/>
                  <w:sz w:val="18"/>
                  <w:szCs w:val="18"/>
                  <w:color w:val="0000FF"/>
                </w:rPr>
                <w:t>32</w:t>
              </w:r>
            </w:hyperlink>
          </w:p>
        </w:tc>
      </w:tr>
      <w:tr>
        <w:trPr>
          <w:trHeight w:val="20"/>
        </w:trPr>
        <w:tc>
          <w:tcPr>
            <w:tcW w:w="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902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480" w:type="dxa"/>
            <w:vAlign w:val="bottom"/>
            <w:gridSpan w:val="2"/>
          </w:tcPr>
          <w:p>
            <w:pPr>
              <w:ind w:left="440"/>
              <w:spacing w:after="0"/>
              <w:rPr>
                <w:sz w:val="20"/>
                <w:szCs w:val="20"/>
                <w:color w:val="auto"/>
              </w:rPr>
            </w:pPr>
            <w:r>
              <w:rPr>
                <w:rFonts w:ascii="Arial" w:cs="Arial" w:eastAsia="Arial" w:hAnsi="Arial"/>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jc w:val="center"/>
              <w:ind w:left="98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jc w:val="center"/>
              <w:ind w:left="96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jc w:val="center"/>
              <w:ind w:left="980"/>
              <w:spacing w:after="0"/>
              <w:rPr>
                <w:sz w:val="20"/>
                <w:szCs w:val="20"/>
                <w:color w:val="auto"/>
              </w:rPr>
            </w:pPr>
            <w:r>
              <w:rPr>
                <w:rFonts w:ascii="Arial" w:cs="Arial" w:eastAsia="Arial" w:hAnsi="Arial"/>
                <w:sz w:val="14"/>
                <w:szCs w:val="14"/>
                <w:color w:val="auto"/>
                <w:w w:val="94"/>
              </w:rPr>
              <w:t>(Dollars in millions, except share data)</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3"/>
                <w:szCs w:val="13"/>
                <w:b w:val="1"/>
                <w:bCs w:val="1"/>
                <w:color w:val="auto"/>
              </w:rPr>
              <w:t>(Unaudited)</w:t>
            </w:r>
          </w:p>
        </w:tc>
        <w:tc>
          <w:tcPr>
            <w:tcW w:w="0" w:type="dxa"/>
            <w:vAlign w:val="bottom"/>
          </w:tcPr>
          <w:p>
            <w:pPr>
              <w:spacing w:after="0"/>
              <w:rPr>
                <w:sz w:val="1"/>
                <w:szCs w:val="1"/>
                <w:color w:val="auto"/>
              </w:rPr>
            </w:pPr>
          </w:p>
        </w:tc>
      </w:tr>
      <w:tr>
        <w:trPr>
          <w:trHeight w:val="211"/>
        </w:trPr>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960"/>
              <w:spacing w:after="0"/>
              <w:rPr>
                <w:sz w:val="20"/>
                <w:szCs w:val="20"/>
                <w:color w:val="auto"/>
              </w:rPr>
            </w:pPr>
            <w:r>
              <w:rPr>
                <w:rFonts w:ascii="Arial" w:cs="Arial" w:eastAsia="Arial" w:hAnsi="Arial"/>
                <w:sz w:val="14"/>
                <w:szCs w:val="14"/>
                <w:b w:val="1"/>
                <w:bCs w:val="1"/>
                <w:color w:val="auto"/>
                <w:w w:val="96"/>
              </w:rPr>
              <w:t>ASSETS</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Investments:</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w w:val="94"/>
              </w:rPr>
              <w:t>Fixed maturity securities available for sale, at fair value, at March 31, 2018 and December 31, 2017 includes pledged fixed maturity</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securities of $414 and $364, respectively, related to secured trust deposits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Preferred securities, at fair value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Equity securities, at fair value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Investments in unconsolidated affiliates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Other 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3"/>
              </w:rPr>
              <w:t>Short-term investments, at March 31, 2018 and December 31, 2017 includes short-term investments of $2 and $3 related to secured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trust deposits, respectively</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40" w:type="dxa"/>
            <w:vAlign w:val="bottom"/>
            <w:tcBorders>
              <w:bottom w:val="single" w:sz="8" w:color="CCEEFF"/>
            </w:tcBorders>
            <w:shd w:val="clear" w:color="auto" w:fill="CCEEFF"/>
          </w:tcPr>
          <w:p>
            <w:pPr>
              <w:spacing w:after="0"/>
              <w:rPr>
                <w:sz w:val="20"/>
                <w:szCs w:val="20"/>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3,411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3,371</w:t>
            </w:r>
          </w:p>
        </w:tc>
        <w:tc>
          <w:tcPr>
            <w:tcW w:w="0" w:type="dxa"/>
            <w:vAlign w:val="bottom"/>
          </w:tcPr>
          <w:p>
            <w:pPr>
              <w:spacing w:after="0"/>
              <w:rPr>
                <w:sz w:val="1"/>
                <w:szCs w:val="1"/>
                <w:color w:val="auto"/>
              </w:rPr>
            </w:pPr>
          </w:p>
        </w:tc>
      </w:tr>
      <w:tr>
        <w:trPr>
          <w:trHeight w:val="220"/>
        </w:trPr>
        <w:tc>
          <w:tcPr>
            <w:tcW w:w="9020" w:type="dxa"/>
            <w:vAlign w:val="bottom"/>
            <w:gridSpan w:val="3"/>
          </w:tcPr>
          <w:p>
            <w:pPr>
              <w:ind w:left="40"/>
              <w:spacing w:after="0"/>
              <w:rPr>
                <w:sz w:val="20"/>
                <w:szCs w:val="20"/>
                <w:color w:val="auto"/>
              </w:rPr>
            </w:pPr>
            <w:r>
              <w:rPr>
                <w:rFonts w:ascii="Arial" w:cs="Arial" w:eastAsia="Arial" w:hAnsi="Arial"/>
                <w:sz w:val="16"/>
                <w:szCs w:val="16"/>
                <w:color w:val="auto"/>
                <w:w w:val="92"/>
              </w:rPr>
              <w:t>Cash and cash equivalents, at March 31, 2018 and December 31, 2017 includes $420 and $475, respectively, of pledged cash related to</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secured trust deposits</w:t>
            </w:r>
          </w:p>
        </w:tc>
        <w:tc>
          <w:tcPr>
            <w:tcW w:w="18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Trade and notes receivables, net of allowance of $18, at March 31, 2018 and December 31, 2017,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2,747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2,746</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Title plants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7"/>
        </w:trPr>
        <w:tc>
          <w:tcPr>
            <w:tcW w:w="9020" w:type="dxa"/>
            <w:vAlign w:val="bottom"/>
            <w:gridSpan w:val="3"/>
          </w:tcPr>
          <w:p>
            <w:pPr>
              <w:ind w:left="4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7660" w:type="dxa"/>
            <w:vAlign w:val="bottom"/>
            <w:vMerge w:val="restart"/>
          </w:tcPr>
          <w:p>
            <w:pPr>
              <w:jc w:val="center"/>
              <w:ind w:left="98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6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Reserve for title claim losses</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Secured trust deposits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Deferred tax liability</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4,195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4,340</w:t>
            </w:r>
          </w:p>
        </w:tc>
        <w:tc>
          <w:tcPr>
            <w:tcW w:w="0" w:type="dxa"/>
            <w:vAlign w:val="bottom"/>
          </w:tcPr>
          <w:p>
            <w:pPr>
              <w:spacing w:after="0"/>
              <w:rPr>
                <w:sz w:val="1"/>
                <w:szCs w:val="1"/>
                <w:color w:val="auto"/>
              </w:rPr>
            </w:pPr>
          </w:p>
        </w:tc>
      </w:tr>
      <w:tr>
        <w:trPr>
          <w:trHeight w:val="33"/>
        </w:trPr>
        <w:tc>
          <w:tcPr>
            <w:tcW w:w="1360" w:type="dxa"/>
            <w:vAlign w:val="bottom"/>
            <w:tcBorders>
              <w:bottom w:val="single" w:sz="8" w:color="CCEEFF"/>
            </w:tcBorders>
            <w:gridSpan w:val="2"/>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Redeemable non-controlling interest by 21% minority holder of ServiceLink Holdings, LLC</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8"/>
              </w:rPr>
              <w:t>Equity:</w:t>
            </w:r>
          </w:p>
        </w:tc>
        <w:tc>
          <w:tcPr>
            <w:tcW w:w="8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8"/>
              </w:rPr>
              <w:t>FNF Group common stock, $0.0001 par value; authorized 487,000,000 shares as of March 31, 2018 and December 31, 2017;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9020" w:type="dxa"/>
            <w:vAlign w:val="bottom"/>
            <w:gridSpan w:val="3"/>
          </w:tcPr>
          <w:p>
            <w:pPr>
              <w:ind w:left="280"/>
              <w:spacing w:after="0"/>
              <w:rPr>
                <w:sz w:val="20"/>
                <w:szCs w:val="20"/>
                <w:color w:val="auto"/>
              </w:rPr>
            </w:pPr>
            <w:r>
              <w:rPr>
                <w:rFonts w:ascii="Arial" w:cs="Arial" w:eastAsia="Arial" w:hAnsi="Arial"/>
                <w:sz w:val="16"/>
                <w:szCs w:val="16"/>
                <w:color w:val="auto"/>
                <w:w w:val="92"/>
              </w:rPr>
              <w:t>outstanding of 274,576,896 and 274,431,737 as of March 31, 2018 and December 31, 2017, respectively, and issued of 287,866,398</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and 287,718,304 as of March 31, 2018 and December 31, 2017, respectively</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4,573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37"/>
        </w:trPr>
        <w:tc>
          <w:tcPr>
            <w:tcW w:w="9020" w:type="dxa"/>
            <w:vAlign w:val="bottom"/>
            <w:gridSpan w:val="3"/>
          </w:tcPr>
          <w:p>
            <w:pPr>
              <w:ind w:left="280"/>
              <w:spacing w:after="0"/>
              <w:rPr>
                <w:sz w:val="20"/>
                <w:szCs w:val="20"/>
                <w:color w:val="auto"/>
              </w:rPr>
            </w:pPr>
            <w:r>
              <w:rPr>
                <w:rFonts w:ascii="Arial" w:cs="Arial" w:eastAsia="Arial" w:hAnsi="Arial"/>
                <w:sz w:val="16"/>
                <w:szCs w:val="16"/>
                <w:color w:val="auto"/>
              </w:rPr>
              <w:t>Accumulated other comprehensive (loss) earnings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w w:val="93"/>
              </w:rPr>
              <w:t>Less: Treasury stock, 13,289,502 shares and 13,286,567 shares as of March 31, 2018 and December 31, 2017, respectively, at cost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Fidelity National Financial, Inc. shareholders’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4,458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4,447</w:t>
            </w:r>
          </w:p>
        </w:tc>
        <w:tc>
          <w:tcPr>
            <w:tcW w:w="0" w:type="dxa"/>
            <w:vAlign w:val="bottom"/>
          </w:tcPr>
          <w:p>
            <w:pPr>
              <w:spacing w:after="0"/>
              <w:rPr>
                <w:sz w:val="1"/>
                <w:szCs w:val="1"/>
                <w:color w:val="auto"/>
              </w:rPr>
            </w:pPr>
          </w:p>
        </w:tc>
      </w:tr>
      <w:tr>
        <w:trPr>
          <w:trHeight w:val="33"/>
        </w:trPr>
        <w:tc>
          <w:tcPr>
            <w:tcW w:w="1360" w:type="dxa"/>
            <w:vAlign w:val="bottom"/>
            <w:gridSpan w:val="2"/>
          </w:tcPr>
          <w:p>
            <w:pPr>
              <w:spacing w:after="0"/>
              <w:rPr>
                <w:sz w:val="2"/>
                <w:szCs w:val="2"/>
                <w:color w:val="auto"/>
              </w:rPr>
            </w:pPr>
          </w:p>
        </w:tc>
        <w:tc>
          <w:tcPr>
            <w:tcW w:w="7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2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54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4,479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4,467</w:t>
            </w:r>
          </w:p>
        </w:tc>
        <w:tc>
          <w:tcPr>
            <w:tcW w:w="0" w:type="dxa"/>
            <w:vAlign w:val="bottom"/>
          </w:tcPr>
          <w:p>
            <w:pPr>
              <w:spacing w:after="0"/>
              <w:rPr>
                <w:sz w:val="1"/>
                <w:szCs w:val="1"/>
                <w:color w:val="auto"/>
              </w:rPr>
            </w:pPr>
          </w:p>
        </w:tc>
      </w:tr>
      <w:tr>
        <w:trPr>
          <w:trHeight w:val="33"/>
        </w:trPr>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7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8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Total liabilities, redeemable non-controlling interest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9,018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9,151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60" w:type="dxa"/>
            <w:vAlign w:val="bottom"/>
            <w:vMerge w:val="restart"/>
          </w:tcPr>
          <w:p>
            <w:pPr>
              <w:jc w:val="center"/>
              <w:ind w:left="960"/>
              <w:spacing w:after="0"/>
              <w:rPr>
                <w:sz w:val="20"/>
                <w:szCs w:val="20"/>
                <w:color w:val="auto"/>
              </w:rPr>
            </w:pPr>
            <w:r>
              <w:rPr>
                <w:rFonts w:ascii="Arial" w:cs="Arial" w:eastAsia="Arial" w:hAnsi="Arial"/>
                <w:sz w:val="16"/>
                <w:szCs w:val="16"/>
                <w:color w:val="auto"/>
                <w:w w:val="89"/>
              </w:rPr>
              <w:t>See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043"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08" w:right="239" w:bottom="1043"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pacing w:after="0" w:line="186"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7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13335</wp:posOffset>
            </wp:positionV>
            <wp:extent cx="1080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right"/>
              <w:ind w:right="379"/>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Direct title insurance premiums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Agency title 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Escrow, title-related and other fees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w:t>
            </w: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Agent commissions</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Provision for title claim losses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37"/>
        </w:trPr>
        <w:tc>
          <w:tcPr>
            <w:tcW w:w="97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continuing operations before equity in earnings of unconsolidated affiliates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continuing operations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Amounts attributable to Fidelity National Financial, Inc.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FNF Group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FNFV Group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Earnings per share</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0.36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from discontinued operations attributable to FNFV Group common shareholders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Diluted</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7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from continuing operations attributable to FNF Group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 attributable to FNF Group common shareholders</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9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per share from discontinued operations attributable to FNFV Group common shareholders</w:t>
            </w: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 per share FNF Group common stock</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18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9720" w:type="dxa"/>
            <w:vAlign w:val="bottom"/>
            <w:vMerge w:val="restart"/>
          </w:tcPr>
          <w:p>
            <w:pPr>
              <w:ind w:left="3780"/>
              <w:spacing w:after="0"/>
              <w:rPr>
                <w:sz w:val="20"/>
                <w:szCs w:val="20"/>
                <w:color w:val="auto"/>
              </w:rPr>
            </w:pPr>
            <w:r>
              <w:rPr>
                <w:rFonts w:ascii="Arial" w:cs="Arial" w:eastAsia="Arial" w:hAnsi="Arial"/>
                <w:sz w:val="16"/>
                <w:szCs w:val="16"/>
                <w:color w:val="auto"/>
              </w:rPr>
              <w:t>See Notes to Condensed Consolidated Financial Statements</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24"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62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38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13335</wp:posOffset>
            </wp:positionV>
            <wp:extent cx="1226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9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2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w w:val="92"/>
              </w:rPr>
              <w:t>(Unaudited)</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62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comprehensive (loss) earnings: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Unrealized (loss) gain on investments and other financial instruments, net (excluding investments in unconsolidated affiliates)</w:t>
            </w: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w:t>
            </w:r>
          </w:p>
        </w:tc>
        <w:tc>
          <w:tcPr>
            <w:tcW w:w="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Unrealized gain on investments in unconsolidated affiliates (2)</w:t>
            </w:r>
          </w:p>
        </w:tc>
        <w:tc>
          <w:tcPr>
            <w:tcW w:w="620" w:type="dxa"/>
            <w:vAlign w:val="bottom"/>
          </w:tcPr>
          <w:p>
            <w:pPr>
              <w:spacing w:after="0"/>
              <w:rPr>
                <w:sz w:val="21"/>
                <w:szCs w:val="21"/>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Unrealized (loss) gain on foreign currency translation (3)</w:t>
            </w:r>
          </w:p>
        </w:tc>
        <w:tc>
          <w:tcPr>
            <w:tcW w:w="6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480" w:type="dxa"/>
            <w:vAlign w:val="bottom"/>
          </w:tcPr>
          <w:p>
            <w:pPr>
              <w:ind w:left="280"/>
              <w:spacing w:after="0"/>
              <w:rPr>
                <w:sz w:val="20"/>
                <w:szCs w:val="20"/>
                <w:color w:val="auto"/>
              </w:rPr>
            </w:pPr>
            <w:r>
              <w:rPr>
                <w:rFonts w:ascii="Arial" w:cs="Arial" w:eastAsia="Arial" w:hAnsi="Arial"/>
                <w:sz w:val="18"/>
                <w:szCs w:val="18"/>
                <w:color w:val="auto"/>
              </w:rPr>
              <w:t>Reclassification adjustments for change in unrealized gains and losses included in net earnings (4)</w:t>
            </w:r>
          </w:p>
        </w:tc>
        <w:tc>
          <w:tcPr>
            <w:tcW w:w="6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earnings</w:t>
            </w:r>
          </w:p>
        </w:tc>
        <w:tc>
          <w:tcPr>
            <w:tcW w:w="6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9"/>
              </w:rPr>
              <w:t>89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6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97"/>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Comprehensive earnings attributable to Fidelity National Financial, Inc. common shareholders</w:t>
            </w:r>
          </w:p>
        </w:tc>
        <w:tc>
          <w:tcPr>
            <w:tcW w:w="6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9"/>
              </w:rPr>
              <w:t>88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1"/>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earnings attributable to FNF Group common shareholders</w:t>
            </w:r>
          </w:p>
        </w:tc>
        <w:tc>
          <w:tcPr>
            <w:tcW w:w="6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9"/>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9480" w:type="dxa"/>
            <w:vAlign w:val="bottom"/>
          </w:tcPr>
          <w:p>
            <w:pPr>
              <w:ind w:left="40"/>
              <w:spacing w:after="0"/>
              <w:rPr>
                <w:sz w:val="20"/>
                <w:szCs w:val="20"/>
                <w:color w:val="auto"/>
              </w:rPr>
            </w:pPr>
            <w:r>
              <w:rPr>
                <w:rFonts w:ascii="Arial" w:cs="Arial" w:eastAsia="Arial" w:hAnsi="Arial"/>
                <w:sz w:val="18"/>
                <w:szCs w:val="18"/>
                <w:color w:val="auto"/>
              </w:rPr>
              <w:t>Comprehensive earnings attributable to FNFV Group common shareholders</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80" w:hanging="97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Net of income tax (benefit) expense of $(3) million and $8 million for the three-month periods ended March 31, 2018 and 2017, respectively.</w:t>
      </w:r>
    </w:p>
    <w:p>
      <w:pPr>
        <w:spacing w:after="0" w:line="194" w:lineRule="exact"/>
        <w:rPr>
          <w:rFonts w:ascii="Arial" w:cs="Arial" w:eastAsia="Arial" w:hAnsi="Arial"/>
          <w:sz w:val="16"/>
          <w:szCs w:val="16"/>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 million and $4 million for the three-month periods ended March 31, 2018 and 2017, respectively.</w:t>
      </w:r>
    </w:p>
    <w:p>
      <w:pPr>
        <w:spacing w:after="0" w:line="171" w:lineRule="exact"/>
        <w:rPr>
          <w:rFonts w:ascii="Arial" w:cs="Arial" w:eastAsia="Arial" w:hAnsi="Arial"/>
          <w:sz w:val="18"/>
          <w:szCs w:val="18"/>
          <w:color w:val="auto"/>
        </w:rPr>
      </w:pPr>
    </w:p>
    <w:p>
      <w:pPr>
        <w:ind w:left="980" w:hanging="972"/>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less than $(1) million and $1 million for the three-month periods ended March 31, 2018 and 2017, respectively.</w:t>
      </w:r>
    </w:p>
    <w:p>
      <w:pPr>
        <w:spacing w:after="0" w:line="116"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 million and $2 million for the three-month periods ended March 31, 2018 and 2017,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14"/>
          </w:tcPr>
          <w:p>
            <w:pPr>
              <w:ind w:left="560"/>
              <w:spacing w:after="0"/>
              <w:rPr>
                <w:sz w:val="20"/>
                <w:szCs w:val="20"/>
                <w:color w:val="auto"/>
              </w:rPr>
            </w:pPr>
            <w:r>
              <w:rPr>
                <w:rFonts w:ascii="Arial" w:cs="Arial" w:eastAsia="Arial" w:hAnsi="Arial"/>
                <w:sz w:val="13"/>
                <w:szCs w:val="13"/>
                <w:b w:val="1"/>
                <w:bCs w:val="1"/>
                <w:color w:val="auto"/>
              </w:rPr>
              <w:t>Fidelity National Financial, Inc. Common Shareholders</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5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4"/>
              </w:rPr>
              <w:t>FNF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3"/>
          </w:tcPr>
          <w:p>
            <w:pPr>
              <w:ind w:left="380"/>
              <w:spacing w:after="0"/>
              <w:rPr>
                <w:sz w:val="20"/>
                <w:szCs w:val="20"/>
                <w:color w:val="auto"/>
              </w:rPr>
            </w:pPr>
            <w:r>
              <w:rPr>
                <w:rFonts w:ascii="Arial" w:cs="Arial" w:eastAsia="Arial" w:hAnsi="Arial"/>
                <w:sz w:val="13"/>
                <w:szCs w:val="13"/>
                <w:b w:val="1"/>
                <w:bCs w:val="1"/>
                <w:color w:val="auto"/>
                <w:w w:val="94"/>
              </w:rPr>
              <w:t>FNFV</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57"/>
              <w:spacing w:after="0"/>
              <w:rPr>
                <w:sz w:val="20"/>
                <w:szCs w:val="20"/>
                <w:color w:val="auto"/>
              </w:rPr>
            </w:pPr>
            <w:r>
              <w:rPr>
                <w:rFonts w:ascii="Arial" w:cs="Arial" w:eastAsia="Arial" w:hAnsi="Arial"/>
                <w:sz w:val="13"/>
                <w:szCs w:val="13"/>
                <w:b w:val="1"/>
                <w:bCs w:val="1"/>
                <w:color w:val="auto"/>
                <w:w w:val="92"/>
              </w:rPr>
              <w:t>Group</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80"/>
              <w:spacing w:after="0"/>
              <w:rPr>
                <w:sz w:val="20"/>
                <w:szCs w:val="20"/>
                <w:color w:val="auto"/>
              </w:rPr>
            </w:pPr>
            <w:r>
              <w:rPr>
                <w:rFonts w:ascii="Arial" w:cs="Arial" w:eastAsia="Arial" w:hAnsi="Arial"/>
                <w:sz w:val="13"/>
                <w:szCs w:val="13"/>
                <w:b w:val="1"/>
                <w:bCs w:val="1"/>
                <w:color w:val="auto"/>
              </w:rPr>
              <w:t>Group</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Redeemable</w:t>
            </w: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w:t>
            </w:r>
          </w:p>
        </w:tc>
        <w:tc>
          <w:tcPr>
            <w:tcW w:w="120" w:type="dxa"/>
            <w:vAlign w:val="bottom"/>
          </w:tcPr>
          <w:p>
            <w:pPr>
              <w:spacing w:after="0"/>
              <w:rPr>
                <w:sz w:val="23"/>
                <w:szCs w:val="2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Comprehensive</w:t>
            </w:r>
          </w:p>
        </w:tc>
        <w:tc>
          <w:tcPr>
            <w:tcW w:w="1220" w:type="dxa"/>
            <w:vAlign w:val="bottom"/>
            <w:gridSpan w:val="4"/>
          </w:tcPr>
          <w:p>
            <w:pPr>
              <w:ind w:left="320"/>
              <w:spacing w:after="0"/>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23"/>
                <w:szCs w:val="23"/>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Non-</w:t>
            </w:r>
          </w:p>
        </w:tc>
      </w:tr>
      <w:tr>
        <w:trPr>
          <w:trHeight w:val="28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4"/>
          </w:tcPr>
          <w:p>
            <w:pPr>
              <w:jc w:val="center"/>
              <w:ind w:left="237"/>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3"/>
          </w:tcPr>
          <w:p>
            <w:pPr>
              <w:ind w:left="400"/>
              <w:spacing w:after="0"/>
              <w:rPr>
                <w:sz w:val="20"/>
                <w:szCs w:val="20"/>
                <w:color w:val="auto"/>
              </w:rPr>
            </w:pPr>
            <w:r>
              <w:rPr>
                <w:rFonts w:ascii="Arial" w:cs="Arial" w:eastAsia="Arial" w:hAnsi="Arial"/>
                <w:sz w:val="13"/>
                <w:szCs w:val="13"/>
                <w:b w:val="1"/>
                <w:bCs w:val="1"/>
                <w:color w:val="auto"/>
                <w:w w:val="84"/>
              </w:rPr>
              <w:t>Stock</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Earnings</w:t>
            </w:r>
          </w:p>
        </w:tc>
        <w:tc>
          <w:tcPr>
            <w:tcW w:w="1220" w:type="dxa"/>
            <w:vAlign w:val="bottom"/>
            <w:gridSpan w:val="4"/>
          </w:tcPr>
          <w:p>
            <w:pPr>
              <w:ind w:left="420"/>
              <w:spacing w:after="0"/>
              <w:rPr>
                <w:sz w:val="20"/>
                <w:szCs w:val="20"/>
                <w:color w:val="auto"/>
              </w:rPr>
            </w:pPr>
            <w:r>
              <w:rPr>
                <w:rFonts w:ascii="Arial" w:cs="Arial" w:eastAsia="Arial" w:hAnsi="Arial"/>
                <w:sz w:val="13"/>
                <w:szCs w:val="13"/>
                <w:b w:val="1"/>
                <w:bCs w:val="1"/>
                <w:color w:val="auto"/>
              </w:rPr>
              <w:t>Stock</w:t>
            </w:r>
          </w:p>
        </w:tc>
        <w:tc>
          <w:tcPr>
            <w:tcW w:w="100" w:type="dxa"/>
            <w:vAlign w:val="bottom"/>
          </w:tcPr>
          <w:p>
            <w:pPr>
              <w:spacing w:after="0"/>
              <w:rPr>
                <w:sz w:val="24"/>
                <w:szCs w:val="2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24"/>
                <w:szCs w:val="24"/>
                <w:color w:val="auto"/>
              </w:rPr>
            </w:pP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controlling</w:t>
            </w:r>
          </w:p>
        </w:tc>
      </w:tr>
      <w:tr>
        <w:trPr>
          <w:trHeight w:val="264"/>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Interests</w:t>
            </w:r>
          </w:p>
        </w:tc>
      </w:tr>
      <w:tr>
        <w:trPr>
          <w:trHeight w:val="249"/>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2016</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1"/>
                <w:szCs w:val="21"/>
                <w:color w:val="auto"/>
              </w:rPr>
            </w:pPr>
          </w:p>
        </w:tc>
        <w:tc>
          <w:tcPr>
            <w:tcW w:w="560" w:type="dxa"/>
            <w:vAlign w:val="bottom"/>
          </w:tcPr>
          <w:p>
            <w:pPr>
              <w:ind w:left="32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902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4"/>
              </w:rPr>
              <w:t>unrealized gain (loss) on investments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and other financial instruments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9"/>
              </w:rPr>
              <w:t>unrealized gain on foreign currency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Reclassification adjustments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Subsidiary dividends declared to</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8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March 31, 2017</w:t>
            </w:r>
          </w:p>
        </w:tc>
        <w:tc>
          <w:tcPr>
            <w:tcW w:w="460" w:type="dxa"/>
            <w:vAlign w:val="bottom"/>
          </w:tcPr>
          <w:p>
            <w:pPr>
              <w:jc w:val="right"/>
              <w:spacing w:after="0"/>
              <w:rPr>
                <w:sz w:val="20"/>
                <w:szCs w:val="20"/>
                <w:color w:val="auto"/>
              </w:rPr>
            </w:pPr>
            <w:r>
              <w:rPr>
                <w:rFonts w:ascii="Arial" w:cs="Arial" w:eastAsia="Arial" w:hAnsi="Arial"/>
                <w:sz w:val="13"/>
                <w:szCs w:val="13"/>
                <w:color w:val="auto"/>
              </w:rPr>
              <w:t>285</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580" w:type="dxa"/>
            <w:vAlign w:val="bottom"/>
          </w:tcPr>
          <w:p>
            <w:pPr>
              <w:ind w:left="320"/>
              <w:spacing w:after="0"/>
              <w:rPr>
                <w:sz w:val="20"/>
                <w:szCs w:val="20"/>
                <w:color w:val="auto"/>
              </w:rPr>
            </w:pPr>
            <w:r>
              <w:rPr>
                <w:rFonts w:ascii="Arial" w:cs="Arial" w:eastAsia="Arial" w:hAnsi="Arial"/>
                <w:sz w:val="13"/>
                <w:szCs w:val="13"/>
                <w:color w:val="auto"/>
              </w:rPr>
              <w:t>81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4,803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4"/>
                <w:szCs w:val="24"/>
                <w:color w:val="auto"/>
              </w:rPr>
            </w:pPr>
          </w:p>
        </w:tc>
        <w:tc>
          <w:tcPr>
            <w:tcW w:w="560" w:type="dxa"/>
            <w:vAlign w:val="bottom"/>
          </w:tcPr>
          <w:p>
            <w:pPr>
              <w:ind w:left="320"/>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(623)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6,890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265"/>
        </w:trPr>
        <w:tc>
          <w:tcPr>
            <w:tcW w:w="19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Balance, December 31, 2017</w:t>
            </w:r>
          </w:p>
        </w:tc>
        <w:tc>
          <w:tcPr>
            <w:tcW w:w="460" w:type="dxa"/>
            <w:vAlign w:val="bottom"/>
          </w:tcPr>
          <w:p>
            <w:pPr>
              <w:jc w:val="right"/>
              <w:spacing w:after="0"/>
              <w:rPr>
                <w:sz w:val="20"/>
                <w:szCs w:val="20"/>
                <w:color w:val="auto"/>
              </w:rPr>
            </w:pPr>
            <w:r>
              <w:rPr>
                <w:rFonts w:ascii="Arial" w:cs="Arial" w:eastAsia="Arial" w:hAnsi="Arial"/>
                <w:sz w:val="13"/>
                <w:szCs w:val="13"/>
                <w:color w:val="auto"/>
              </w:rPr>
              <w:t>288</w:t>
            </w:r>
          </w:p>
        </w:tc>
        <w:tc>
          <w:tcPr>
            <w:tcW w:w="4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4,587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tcPr>
          <w:p>
            <w:pPr>
              <w:spacing w:after="0"/>
              <w:rPr>
                <w:sz w:val="22"/>
                <w:szCs w:val="22"/>
                <w:color w:val="auto"/>
              </w:rPr>
            </w:pPr>
          </w:p>
        </w:tc>
        <w:tc>
          <w:tcPr>
            <w:tcW w:w="560" w:type="dxa"/>
            <w:vAlign w:val="bottom"/>
          </w:tcPr>
          <w:p>
            <w:pPr>
              <w:ind w:left="32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2"/>
              </w:rPr>
              <w:t>$ (468)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4,467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344</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9"/>
              </w:rPr>
              <w:t>Adjustment for cumulative effect for</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adoption of ASU 2016-01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Exercise of stock options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unrealized losses on investments and</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financial instruments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Other comprehensive earnings —</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unrealized gain on investments in</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unconsolidated affiliates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earnings —</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35"/>
        </w:trPr>
        <w:tc>
          <w:tcPr>
            <w:tcW w:w="208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3"/>
              </w:rPr>
              <w:t>unrealized losses on foreign currency</w:t>
            </w: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translation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Reclassification adjustments for</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5"/>
        </w:trPr>
        <w:tc>
          <w:tcPr>
            <w:tcW w:w="208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1"/>
              </w:rPr>
              <w:t>change in unrealized gains and losses</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included in net earnings</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Dividends declared</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Acquisitions of noncontrolling</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208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Equity portion of debt conversions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2080" w:type="dxa"/>
            <w:vAlign w:val="bottom"/>
            <w:gridSpan w:val="2"/>
          </w:tcPr>
          <w:p>
            <w:pPr>
              <w:ind w:left="40"/>
              <w:spacing w:after="0"/>
              <w:rPr>
                <w:sz w:val="20"/>
                <w:szCs w:val="20"/>
                <w:color w:val="auto"/>
              </w:rPr>
            </w:pPr>
            <w:r>
              <w:rPr>
                <w:rFonts w:ascii="Arial" w:cs="Arial" w:eastAsia="Arial" w:hAnsi="Arial"/>
                <w:sz w:val="13"/>
                <w:szCs w:val="13"/>
                <w:color w:val="auto"/>
              </w:rPr>
              <w:t>settled in cash</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Subsidiary dividends declared to</w:t>
            </w: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176"/>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non-controlling interests</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4"/>
        </w:trPr>
        <w:tc>
          <w:tcPr>
            <w:tcW w:w="20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Net earnings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March 31, 2018</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4,573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 (468)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4,479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92"/>
        </w:trPr>
        <w:tc>
          <w:tcPr>
            <w:tcW w:w="9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28"/>
              <w:spacing w:after="0"/>
              <w:rPr>
                <w:sz w:val="20"/>
                <w:szCs w:val="20"/>
                <w:color w:val="auto"/>
              </w:rPr>
            </w:pPr>
            <w:r>
              <w:rPr>
                <w:rFonts w:ascii="Arial" w:cs="Arial" w:eastAsia="Arial" w:hAnsi="Arial"/>
                <w:sz w:val="14"/>
                <w:szCs w:val="14"/>
                <w:b w:val="1"/>
                <w:bCs w:val="1"/>
                <w:color w:val="auto"/>
                <w:w w:val="95"/>
              </w:rPr>
              <w:t>March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90"/>
        </w:trPr>
        <w:tc>
          <w:tcPr>
            <w:tcW w:w="9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3"/>
          </w:tcPr>
          <w:p>
            <w:pPr>
              <w:jc w:val="center"/>
              <w:ind w:left="428"/>
              <w:spacing w:after="0"/>
              <w:rPr>
                <w:sz w:val="20"/>
                <w:szCs w:val="20"/>
                <w:color w:val="auto"/>
              </w:rPr>
            </w:pPr>
            <w:r>
              <w:rPr>
                <w:rFonts w:ascii="Arial" w:cs="Arial" w:eastAsia="Arial" w:hAnsi="Arial"/>
                <w:sz w:val="14"/>
                <w:szCs w:val="14"/>
                <w:b w:val="1"/>
                <w:bCs w:val="1"/>
                <w:color w:val="auto"/>
                <w:w w:val="95"/>
              </w:rPr>
              <w:t>(Unaudited)</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36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Equity in (earnings) losses of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sales of investments and other assets,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Impairment of assets</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valuation of equity and preferred securities available for sale, net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trade receivables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increase in prepaid expenses and other assets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decrease in accounts payable, accrued liabilities, deferred revenue and other</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64"/>
        </w:trPr>
        <w:tc>
          <w:tcPr>
            <w:tcW w:w="9360" w:type="dxa"/>
            <w:vAlign w:val="bottom"/>
          </w:tcPr>
          <w:p>
            <w:pPr>
              <w:ind w:left="540"/>
              <w:spacing w:after="0"/>
              <w:rPr>
                <w:sz w:val="20"/>
                <w:szCs w:val="20"/>
                <w:color w:val="auto"/>
              </w:rPr>
            </w:pPr>
            <w:r>
              <w:rPr>
                <w:rFonts w:ascii="Arial" w:cs="Arial" w:eastAsia="Arial" w:hAnsi="Arial"/>
                <w:sz w:val="14"/>
                <w:szCs w:val="14"/>
                <w:color w:val="auto"/>
              </w:rPr>
              <w:t>Net decrease in reserve for title claim losses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Net change in income taxes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investment securities</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calls and maturities of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Proceeds from sales of property and equipment</w:t>
            </w: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Additions to property and equipment and capitalized software</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Purchases of investment securities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(purchases of) proceeds from short-term investment securities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Additional investments in unconsolidated affiliates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other investing activities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acquisitions/disposals of businesses, net of cash acquired</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provided by investing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Debt service payments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1"/>
        </w:trPr>
        <w:tc>
          <w:tcPr>
            <w:tcW w:w="9360" w:type="dxa"/>
            <w:vAlign w:val="bottom"/>
          </w:tcPr>
          <w:p>
            <w:pPr>
              <w:ind w:left="280"/>
              <w:spacing w:after="0"/>
              <w:rPr>
                <w:sz w:val="20"/>
                <w:szCs w:val="20"/>
                <w:color w:val="auto"/>
              </w:rPr>
            </w:pPr>
            <w:r>
              <w:rPr>
                <w:rFonts w:ascii="Arial" w:cs="Arial" w:eastAsia="Arial" w:hAnsi="Arial"/>
                <w:sz w:val="14"/>
                <w:szCs w:val="14"/>
                <w:color w:val="auto"/>
              </w:rPr>
              <w:t>Equity portion of debt conversions paid in cash</w:t>
            </w:r>
          </w:p>
        </w:tc>
        <w:tc>
          <w:tcPr>
            <w:tcW w:w="160" w:type="dxa"/>
            <w:vAlign w:val="bottom"/>
          </w:tcPr>
          <w:p>
            <w:pPr>
              <w:spacing w:after="0"/>
              <w:rPr>
                <w:sz w:val="16"/>
                <w:szCs w:val="16"/>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55"/>
        </w:trPr>
        <w:tc>
          <w:tcPr>
            <w:tcW w:w="9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Dividends paid</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9360" w:type="dxa"/>
            <w:vAlign w:val="bottom"/>
          </w:tcPr>
          <w:p>
            <w:pPr>
              <w:ind w:left="280"/>
              <w:spacing w:after="0"/>
              <w:rPr>
                <w:sz w:val="20"/>
                <w:szCs w:val="20"/>
                <w:color w:val="auto"/>
              </w:rPr>
            </w:pPr>
            <w:r>
              <w:rPr>
                <w:rFonts w:ascii="Arial" w:cs="Arial" w:eastAsia="Arial" w:hAnsi="Arial"/>
                <w:sz w:val="14"/>
                <w:szCs w:val="14"/>
                <w:color w:val="auto"/>
              </w:rPr>
              <w:t>Net change in secured trust deposits</w:t>
            </w:r>
          </w:p>
        </w:tc>
        <w:tc>
          <w:tcPr>
            <w:tcW w:w="1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0"/>
        </w:trPr>
        <w:tc>
          <w:tcPr>
            <w:tcW w:w="9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financing activities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256"/>
        </w:trPr>
        <w:tc>
          <w:tcPr>
            <w:tcW w:w="9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43"/>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20"/>
        </w:trPr>
        <w:tc>
          <w:tcPr>
            <w:tcW w:w="9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unaudited financial information in this report includes the accounts of Fidelity National Financial, Inc. and its subsidiaries (collectively, “we,” “us,” “our,” or “FNF”) prepared in accordance with U.S. generally accepted accounting principles ("GAAP") and the instructions to Form 10-Q and Article 10 of Regulation S-X. All adjustments considered necessary for a fair presentation have been included. All adjustments made were of a normal, recurring nature. This report should be read in conjunction with our Annual Report on Form 10-K (our "Annual Report") for the year ended December 31, 2017.</w:t>
      </w:r>
    </w:p>
    <w:p>
      <w:pPr>
        <w:spacing w:after="0" w:line="46" w:lineRule="exact"/>
        <w:rPr>
          <w:sz w:val="20"/>
          <w:szCs w:val="20"/>
          <w:color w:val="auto"/>
        </w:rPr>
      </w:pPr>
    </w:p>
    <w:p>
      <w:pPr>
        <w:ind w:right="800" w:firstLine="324"/>
        <w:spacing w:after="0" w:line="402" w:lineRule="auto"/>
        <w:rPr>
          <w:sz w:val="20"/>
          <w:szCs w:val="20"/>
          <w:color w:val="auto"/>
        </w:rPr>
      </w:pPr>
      <w:r>
        <w:rPr>
          <w:rFonts w:ascii="Arial" w:cs="Arial" w:eastAsia="Arial" w:hAnsi="Arial"/>
          <w:sz w:val="18"/>
          <w:szCs w:val="18"/>
          <w:color w:val="auto"/>
        </w:rPr>
        <w:t xml:space="preserve">Certain reclassifications have been made in the 2017 Condensed Consolidated Financial Statements to conform to classifications used in 2018. </w:t>
      </w:r>
      <w:r>
        <w:rPr>
          <w:rFonts w:ascii="Arial" w:cs="Arial" w:eastAsia="Arial" w:hAnsi="Arial"/>
          <w:sz w:val="18"/>
          <w:szCs w:val="18"/>
          <w:b w:val="1"/>
          <w:bCs w:val="1"/>
          <w:i w:val="1"/>
          <w:iCs w:val="1"/>
          <w:color w:val="auto"/>
        </w:rPr>
        <w:t>Description of the Business</w:t>
      </w:r>
    </w:p>
    <w:p>
      <w:pPr>
        <w:spacing w:after="0" w:line="3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a leading provider of (i) title insurance, escrow and other title-related services, including trust activities, trustee sales guarantees and home warranty products and (ii) technology and transaction services to the real estate and mortgage industries. FNF is the nation’s largest title insurance company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H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18, 2018, we signed a merger agreement (the "Merger Agreement") to acquire Stewart Information Services Corporation ("Stewart") (NYSE: STC) (the "Stewart Merger"), pursuant to which each share of Stewart common stock issued and outstanding immediately prior to the effective time of the Stewart Merger (other than shares owned by Stewart, its subsidiaries, FNF or the wholly-owned subsidiaries of FNF party to the Merger Agreement and shares in respect of which appraisal rights have been properly exercised and perfected under Delaware law), will be converted into the right to receive, at the election of the holder of such share, (i) $50.00 in cash, (ii) 1.2850 shares of FNF Group common stock, or (iii) $25.00 in cash and 0.6425 shares of FNF Group common stock, subject to potential adjustment (as described below) and proration to the extent the option to receive cash or the option to receive stock is oversubscribed.</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terms of the Merger Agreement, if the combined company is required to divest assets or businesses for which 2017 annual revenues exceed $75 million, up to a cap of $225 million, in order to receive required regulatory approvals, the purchase price will be adjusted down on a pro-rata basis to a minimum purchase price of $45.50 per share of common stock of Stewart. If the Stewart Merger is not completed for failure to obtain the required regulatory approvals, we are required to pay a reverse break-up fee of $50 million to Stewart.</w:t>
      </w:r>
    </w:p>
    <w:p>
      <w:pPr>
        <w:spacing w:after="0" w:line="1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 currently intends to fund the $1.2 billion purchase price through a combination of cash on hand at FNF, debt financing and the issuance of FNF common stock to Stewart stockholders. Including the assumption of $109 million of Stewart debt, pro forma debt to total capital is expected to be no more than approximately 20% at the close of the transaction.</w:t>
      </w:r>
    </w:p>
    <w:p>
      <w:pPr>
        <w:spacing w:after="0" w:line="15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closing of the Stewart Merger is subject to certain closing conditions, including Stewart stockholder approval, federal and state regulatory approvals and the satisfaction of other customary closing conditions. Closing of the Stewart Merger is expected in the first or second quarter of 2019.</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which have been treated as common share equivalents for purposes of calculating diluted earnings per share for periods in which positive earnings have been reported.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There were no antidilutive options outstanding during the three-month period ended March 31, 2018. There were 2 million antidilutive options outstanding during the three-month period ended March 31,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Our effective tax rate was 24.4% and 54.4% in the three months ended March 31, 2018 and 2017, respectively. The decrease was primarily attributable to the Tax Reform Act and increased tax expense of $21 million in the 2017 period resulting from a change in judgment of the tax deductibility of legal settlements finalized in the period.</w:t>
      </w:r>
    </w:p>
    <w:p>
      <w:pPr>
        <w:spacing w:after="0" w:line="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SEC Staff Accounting Bulletin No. 118 ("SAB 118"), has provided guidance for companies that have not completed their accounting for the income tax effects of the Tax Reform Act in the period of enactment, allowing for a measurement period of up to one year after the enactment date to finalize the recording of the related tax impacts. As of March 31, 2018, we have not completed our accounting for the tax effects of the enactment of the Tax Reform Act, however, we have made a reasonable estimate of the effects on our deferred tax balances. In other cases, we have not been able to make a reasonable estimate and will continue to analyze the Tax Reform Act in order to finalize any related impacts within the measurement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17, 2017, we completed our previously announced split-off (the “FNFV Split-Off”) of our former wholly-owned subsidiary Cannae Holdings, Inc. (“Cannae”) which consisted of the businesses, assets and liabilities formerly attributed to our FNF Ventures ("FNFV") Group including Ceridian Holding, LLC, American Blue Ribbon Holdings, LLC and T-System Holding LLC. The FNFV Split-Off was accomplished by the Company's redemption (the “Redemption”) of all of the outstanding shares of FNFV Group common stock, par value $0.0001 per share (“FNFV common stock”) for outstanding shares of common stock of Cannae, par value $0.0001 per share (“Cannae common stock”), amounting to a redemption of each outstanding share of FNFV common stock for one share of Cannae common stock, as of November 17, 2017. As a result of the FNFV Split-Off, Cannae is a separate, publicly traded company (NYSE: CNNE) as of November 20, 2017. All of the Company’s core title insurance, real estate, technology and mortgage related businesses, assets and liabilities currently attributed to the Company’s FNF Group common stock that are not held by Cannae remain with the Company. As a result of the FNFV Split-Off, the financial results of FNFV Group have been reclassified to discontinued operations for the three months ended March 31, 2017.</w:t>
      </w:r>
    </w:p>
    <w:p>
      <w:pPr>
        <w:spacing w:after="0" w:line="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September 29, 2017 we completed our tax-free distribution, to FNF Group shareholders, of all 83.3 million shares of New BKH Corp. ("New BKH") common stock that we previously owned (the “BK Distribution”). Immediately following the BK Distribution, New BKH and Black Knight Financial Services, Inc. ("Black Knight") engaged in a series of transactions resulting in the formation of a new publicly traded holding company, Black Knight, Inc. ("New Black Knight"). Holders of FNF Group common stock received approximately 0.30663 shares of New Black Knight common stock for every one share of FNF Group common stock held at the close of business on September 20, 2017, the record date for the BK Distribution. New Black Knight's common stock is now listed under the symbol “BKI” on the New York Stock Exchange. The BK Distribution is expected to generally be tax-free to FNF Group shareholders for U.S. federal income tax purposes, except to the extent of any cash received in lieu of New Black Knight's fractional shares. As a result of the BK Distribution, the financial results of Black Knight have been reclassified to discontinued operations for the three months ended March 31, 2017.</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further details of the results of FNFV and Black Knight.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606)</w:t>
      </w:r>
      <w:r>
        <w:rPr>
          <w:rFonts w:ascii="Arial" w:cs="Arial" w:eastAsia="Arial" w:hAnsi="Arial"/>
          <w:sz w:val="17"/>
          <w:szCs w:val="17"/>
          <w:color w:val="auto"/>
        </w:rPr>
        <w:t>. This ASU provides a new comprehensive revenue recognition model that requires companies to recognize revenue to depict the transfer of goods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ASU No. 2016-08, </w:t>
      </w:r>
      <w:r>
        <w:rPr>
          <w:rFonts w:ascii="Arial" w:cs="Arial" w:eastAsia="Arial" w:hAnsi="Arial"/>
          <w:sz w:val="17"/>
          <w:szCs w:val="17"/>
          <w:i w:val="1"/>
          <w:iCs w:val="1"/>
          <w:color w:val="auto"/>
        </w:rPr>
        <w:t>Revenue from Contracts with Customers (Topic 606): Principal versus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Agent Considerations </w:t>
      </w:r>
      <w:r>
        <w:rPr>
          <w:rFonts w:ascii="Arial" w:cs="Arial" w:eastAsia="Arial" w:hAnsi="Arial"/>
          <w:sz w:val="17"/>
          <w:szCs w:val="17"/>
          <w:color w:val="auto"/>
        </w:rPr>
        <w:t>was issued by FASB in March 2016 to clarify the principal versus agent considerations within ASU 2014-09. ASU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was issued by the FASB in April 2016 to clarify how to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goods and services are separately identifiable and thus accounted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for as separate performance obligations. ASU 2016-12 </w:t>
      </w:r>
      <w:r>
        <w:rPr>
          <w:rFonts w:ascii="Arial" w:cs="Arial" w:eastAsia="Arial" w:hAnsi="Arial"/>
          <w:sz w:val="18"/>
          <w:szCs w:val="18"/>
          <w:i w:val="1"/>
          <w:iCs w:val="1"/>
          <w:color w:val="auto"/>
        </w:rPr>
        <w:t>Revenue from Contracts with Customers (Topic 606): Narrow-Scope Improvements and Practical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Expedients </w:t>
      </w:r>
      <w:r>
        <w:rPr>
          <w:rFonts w:ascii="Arial" w:cs="Arial" w:eastAsia="Arial" w:hAnsi="Arial"/>
          <w:sz w:val="18"/>
          <w:szCs w:val="18"/>
          <w:color w:val="auto"/>
        </w:rPr>
        <w:t>was issued by the FASB in May 2016 to clarify certain terms from the aforementioned updates and to add practical expedients for contracts at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various stages of completion. ASU 2016-20, </w:t>
      </w:r>
      <w:r>
        <w:rPr>
          <w:rFonts w:ascii="Arial" w:cs="Arial" w:eastAsia="Arial" w:hAnsi="Arial"/>
          <w:sz w:val="18"/>
          <w:szCs w:val="18"/>
          <w:i w:val="1"/>
          <w:iCs w:val="1"/>
          <w:color w:val="auto"/>
        </w:rPr>
        <w:t>Technical Corrections and Improvements to Topic 606, Revenue from Contracts with Customers</w:t>
      </w:r>
      <w:r>
        <w:rPr>
          <w:rFonts w:ascii="Arial" w:cs="Arial" w:eastAsia="Arial" w:hAnsi="Arial"/>
          <w:sz w:val="18"/>
          <w:szCs w:val="18"/>
          <w:color w:val="auto"/>
        </w:rPr>
        <w:t>, was issued by the FASB in December 2016 which includes thirteen technical corrections and improvements affecting narrow aspects of the guidance issued in ASU 2014-09.</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We adopted these revenue standards on January 1, 2018 using the modified retrospective approach. As there was no impact to our historical revenue recognition, we did not record a cumulative-effect adjustment to the opening balance of retained earnings in the current year. See Note J.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for further discussion of our revenue.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Adopted Pronouncements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The primary amendments required by the ASU include: requiring equity investments with readily determinable fair values to</w:t>
      </w:r>
      <w:r>
        <w:rPr>
          <w:rFonts w:ascii="Arial" w:cs="Arial" w:eastAsia="Arial" w:hAnsi="Arial"/>
          <w:sz w:val="16"/>
          <w:szCs w:val="16"/>
          <w:i w:val="1"/>
          <w:iCs w:val="1"/>
          <w:color w:val="auto"/>
        </w:rPr>
        <w:t xml:space="preserve"> </w:t>
      </w:r>
      <w:r>
        <w:rPr>
          <w:rFonts w:ascii="Arial" w:cs="Arial" w:eastAsia="Arial" w:hAnsi="Arial"/>
          <w:sz w:val="16"/>
          <w:szCs w:val="16"/>
          <w:color w:val="auto"/>
        </w:rPr>
        <w:t>be measured at fair value through net income rather than through other comprehensive income; allowing entities with equity investments without readily determinable fair values to report the investments at cost, adjusted for changes in observable prices, less impairment; requiring entities that elect the fair value option for financial liabilities to report the change in fair value attributable to instrument-specific credit risk in other comprehensive income; and clarifying that entities should assess the need for a valuation allowance on a deferred tax asset related to available-for-sale debt securities in combination with other deferred tax assets. The amendments in this ASU are effective for fiscal years beginning after December 15, 2017, including interim periods within those fiscal years. The ASU requires a cumulative-effect adjustment of the balance sheet as of the beginning of the year of adoption. Early adoption of the ASU is not permitted, except for the provision related to financial liabilities for which the fair value option has been elected.</w:t>
      </w:r>
    </w:p>
    <w:p>
      <w:pPr>
        <w:spacing w:after="0" w:line="5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adopted this new guidance on January 1, 2018, which resulted in the reclassification of our unrealized gains and losses on our equity and preferred securities available for sale previously included in accumulated other comprehensive income to beginning retained earnings. Changes in the fair value of our investments in equity and preferred securities subsequent to January 1, 2018 are now included in our earnings from continuing operations. We reclassified a total of $109 million from Accumulated other comprehensive income to beginning Retained earnings as of January 1, 2018. The total cumulative effect on opening equity, including an increase in Retained earnings of $19 million attributable to an increase in value of certain Other long term investments resulting from recording at fair value, was an increase in Retained earnings of $128 million and decrease in Accumulated other comprehensive income of $109 million.</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The amendments in this ASU require that a statement of cash flows explain the change during the period in the total of cash, cash equivalents, and amounts generally described as restricted cash or restricted cash equivalents. GAAP currently does not include specific guidance on the cash flow classification and presentation of changes in restricted cash. The Company previously excluded cash pledged related to secured trust deposits, which generally meets the definition of restricted cash, from the reconciliation of beginning-of-period to end-of-period total amounts shown on the statement of cash flows. This update is effective for annual periods beginning after December 15, 2017, including interim periods within those fiscal years. The ASU requires retrospective application to all prior periods presented upon adoption.</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adopted this ASU on January 1, 2018. The adoption of this ASU resulted in the following retrospective changes to our Statement of Cash Flows for the three months ended March 31, 2017: an increase in the net change in cash and cash equivalents of $67 million due to the inclusion of the change in our cash pledged against secured trust deposits, an increase in investing cash inflow of $179 million related to the movement of cash paid for investments pledged against secured trust deposits from operating to investing activities, and an increase in financing cash outflow of $112 million related to the movement of the change in secured trust deposits from operating to financing activities.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Pronouncements Not Yet Adopted</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amendments in this ASU introduce broad changes to the accounting and reporting for leases by lessees. The main provisions of the new standard include: clarifications to the definitions of a lease, components of leases, and criteria for determining lease classification; requiring virtually all leased assets, including operating leases and related liabilities resulting from applying the fair value measurement, to be reflected on the lessee's balance sheet; and expanding and adding to the required disclosures for lessees. This update is effective for annual and interim periods beginning after December 15, 2018, including interim periods within those fiscal years. Early application of the standard is permitted. The ASU requires a modified retrospective approach to transitioning which allows for the use of practical expedients to effectively account for leases commenced prior to the effective date in accordance with previous GAAP, except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lessees are required to recognize a right-of-use asset and a lease liability for all operating leases at each reporting date based on the present value of the remaining minimum rental payments that were tracked and disclosed under previous GAAP. We are still evaluating the totality of the effects this new guidance will have on our business process and systems, consolidated financial statements, and related disclosures. We have identified a vendor with software suited to track and account for leases under the new standard. We have not concluded on the anticipated financial statement effects of adoption. We plan to adopt this standard on January 1, 2019.</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This update is effective for annual periods beginning after December 15, 2019, including interim periods within those fiscal years. Early adoption is permitted for annual periods beginning after December 15, 2018, including interim periods within those fiscal years. We are currently evaluating the effect this new guidance will have on our consolidated financial statements and related disclosures and have not yet concluded on its effects. We do not plan to early adopt the standard.</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xml:space="preserve">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The amendments should be applied on a prospective basis. The new standard is effective for fiscal years beginning after December 15, 2019 with early adoption permitted for interim or annual goodwill impairment tests performed after January 1, 2017. We are currently evaluating the effect this new guidance will have on our consolidated financial statements and related disclosures and have not yet concluded on its effects.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r>
      <w:tr>
        <w:trPr>
          <w:trHeight w:val="196"/>
        </w:trPr>
        <w:tc>
          <w:tcPr>
            <w:tcW w:w="8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6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auto"/>
                <w:w w:val="98"/>
              </w:rPr>
              <w:t>(Dollars in millions)</w:t>
            </w:r>
          </w:p>
        </w:tc>
        <w:tc>
          <w:tcPr>
            <w:tcW w:w="620" w:type="dxa"/>
            <w:vAlign w:val="bottom"/>
          </w:tcPr>
          <w:p>
            <w:pPr>
              <w:spacing w:after="0"/>
              <w:rPr>
                <w:sz w:val="17"/>
                <w:szCs w:val="17"/>
                <w:color w:val="auto"/>
              </w:rPr>
            </w:pPr>
          </w:p>
        </w:tc>
      </w:tr>
      <w:tr>
        <w:trPr>
          <w:trHeight w:val="256"/>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1,490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1,487</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Change in reinsurance recoverable</w:t>
            </w:r>
          </w:p>
        </w:tc>
        <w:tc>
          <w:tcPr>
            <w:tcW w:w="940" w:type="dxa"/>
            <w:vAlign w:val="bottom"/>
          </w:tcPr>
          <w:p>
            <w:pPr>
              <w:spacing w:after="0"/>
              <w:rPr>
                <w:sz w:val="21"/>
                <w:szCs w:val="21"/>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loss provision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51</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 loss provision</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Current year</w:t>
            </w:r>
          </w:p>
        </w:tc>
        <w:tc>
          <w:tcPr>
            <w:tcW w:w="940" w:type="dxa"/>
            <w:vAlign w:val="bottom"/>
          </w:tcPr>
          <w:p>
            <w:pPr>
              <w:spacing w:after="0"/>
              <w:rPr>
                <w:sz w:val="21"/>
                <w:szCs w:val="21"/>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r>
      <w:tr>
        <w:trPr>
          <w:trHeight w:val="237"/>
        </w:trPr>
        <w:tc>
          <w:tcPr>
            <w:tcW w:w="8200" w:type="dxa"/>
            <w:vAlign w:val="bottom"/>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7"/>
        </w:trPr>
        <w:tc>
          <w:tcPr>
            <w:tcW w:w="82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88"/>
              </w:rPr>
              <w:t>1,486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3"/>
              </w:rPr>
              <w:t>1,484</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1"/>
        </w:trPr>
        <w:tc>
          <w:tcPr>
            <w:tcW w:w="8200" w:type="dxa"/>
            <w:vAlign w:val="bottom"/>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8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factors, it is possible that our recorded reserves may fall outside a reasonable range of our actuary's central estimate, which may require additional reserve adjustments in future periods.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hierarchy for those assets and liabilities measured at fair value on a recurring basis as of March 31,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4"/>
                <w:szCs w:val="14"/>
                <w:b w:val="1"/>
                <w:bCs w:val="1"/>
                <w:color w:val="auto"/>
                <w:w w:val="94"/>
              </w:rPr>
              <w:t>March 31, 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1,196</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58</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677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w:t>
            </w:r>
          </w:p>
        </w:tc>
      </w:tr>
      <w:tr>
        <w:trPr>
          <w:trHeight w:val="257"/>
        </w:trPr>
        <w:tc>
          <w:tcPr>
            <w:tcW w:w="60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700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114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2,876</w:t>
            </w:r>
          </w:p>
        </w:tc>
      </w:tr>
      <w:tr>
        <w:trPr>
          <w:trHeight w:val="20"/>
        </w:trPr>
        <w:tc>
          <w:tcPr>
            <w:tcW w:w="6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9"/>
        </w:trPr>
        <w:tc>
          <w:tcPr>
            <w:tcW w:w="60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91"/>
              </w:rPr>
              <w:t>December 31, 2017</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6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6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195</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1,117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6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8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681</w:t>
            </w:r>
          </w:p>
        </w:tc>
      </w:tr>
      <w:tr>
        <w:trPr>
          <w:trHeight w:val="27"/>
        </w:trPr>
        <w:tc>
          <w:tcPr>
            <w:tcW w:w="60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704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2,112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2,816</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2 fair value measures for preferred securities and fixed-maturity securities available for sale are provided by a third-party pricing service. We utilize one firm for our preferred stock and our bond portfolios. The pricing service is a leading global provider of financial market data, analytics and related services to financial institutions.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 as follows:</w:t>
      </w:r>
    </w:p>
    <w:p>
      <w:pPr>
        <w:spacing w:after="0" w:line="70" w:lineRule="exact"/>
        <w:rPr>
          <w:sz w:val="20"/>
          <w:szCs w:val="20"/>
          <w:color w:val="auto"/>
        </w:rPr>
      </w:pPr>
    </w:p>
    <w:p>
      <w:pPr>
        <w:ind w:left="660" w:right="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collateralized mortgage obligations, and asset-backed securities. They are valued</w:t>
      </w:r>
    </w:p>
    <w:p>
      <w:pPr>
        <w:sectPr>
          <w:pgSz w:w="11900" w:h="16838" w:orient="portrait"/>
          <w:cols w:equalWidth="0" w:num="1">
            <w:col w:w="11420"/>
          </w:cols>
          <w:pgMar w:left="240" w:top="12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available trade information, dealer quotes, cash flows, relevant indices and market data for similar assets in active markets.</w:t>
      </w:r>
    </w:p>
    <w:p>
      <w:pPr>
        <w:spacing w:after="0" w:line="23" w:lineRule="exact"/>
        <w:rPr>
          <w:sz w:val="20"/>
          <w:szCs w:val="20"/>
          <w:color w:val="auto"/>
        </w:rPr>
      </w:pPr>
    </w:p>
    <w:p>
      <w:pPr>
        <w:ind w:left="660" w:hanging="328"/>
        <w:spacing w:after="0" w:line="27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Preferred securities: Preferred securities are valued by calculating the appropriate spread over a comparable U.S. Treasury security. Inputs include benchmark quotes and other relevant market data.</w:t>
      </w:r>
    </w:p>
    <w:p>
      <w:pPr>
        <w:spacing w:after="0" w:line="3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conjunction with our adoption of ASU No. 2016-01, beginning January 1, 2018, we began recording certain equity investments included in other long term investments at fair value which were previously accounted for as cost method investments. See discussion of Recent Accounting Pronouncements in Note A. </w:t>
      </w:r>
      <w:r>
        <w:rPr>
          <w:rFonts w:ascii="Arial" w:cs="Arial" w:eastAsia="Arial" w:hAnsi="Arial"/>
          <w:sz w:val="18"/>
          <w:szCs w:val="18"/>
          <w:i w:val="1"/>
          <w:iCs w:val="1"/>
          <w:color w:val="auto"/>
        </w:rPr>
        <w:t>Basis of Financial Statements</w:t>
      </w:r>
      <w:r>
        <w:rPr>
          <w:rFonts w:ascii="Arial" w:cs="Arial" w:eastAsia="Arial" w:hAnsi="Arial"/>
          <w:sz w:val="18"/>
          <w:szCs w:val="18"/>
          <w:color w:val="auto"/>
        </w:rPr>
        <w:t xml:space="preserve"> for further information on the impact of the adoption of ASU No. 2016-01.</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Level 3 fair value measures for other long term investments are provided by a third-party pricing service. We utilize one firm to value our Level 3 other long term investment. The pricing service is a leading global provider of financial market data, analytics and related services to financial institutions. We utilize the income approach and a discounted cash flow analysis in determining the fair value of our Level 3 other long term investment. The primary unobservable input utilized in this pricing methodology is the discount rate used which is determined based on underwriting yield, credit spreads, yields on benchmark indices, and comparable public company debt. The discount rate used in our determination of the fair value of our Level 3 other long term investment as of March 31, 2018 was 8.0%. Based on the total fair value of our Level 3 other long term investment as of March 31, 2018, changes in the discount rate utilized will not result in a fair value significantly different than the amount recorded.</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a summary of the changes in the fair values of Level 3 assets, measured on a recurring basis, for the three months ended March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31, 2018</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8"/>
        </w:trPr>
        <w:tc>
          <w:tcPr>
            <w:tcW w:w="6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Other long-term</w:t>
            </w:r>
          </w:p>
        </w:tc>
        <w:tc>
          <w:tcPr>
            <w:tcW w:w="200" w:type="dxa"/>
            <w:vAlign w:val="bottom"/>
          </w:tcPr>
          <w:p>
            <w:pPr>
              <w:spacing w:after="0"/>
              <w:rPr>
                <w:sz w:val="22"/>
                <w:szCs w:val="2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Corporate debt</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6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8"/>
              </w:rPr>
              <w:t>investments</w:t>
            </w: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 millions)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Fair value of assets associated with the adoption of ASU 2016-01</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Transfers from Level 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Paid-in-kind dividends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114</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Transfers into or out of the Level 3 fair value category occur when unobservable inputs become more or less significant to the fair value measurement or upon a change in valuation technique. For the three months ended March 31, 2018, transfers between Level 2 and Level 3 were based on changes in significance of unobservable inputs used associated with a change in the valuation technique used for certain of the Company’s corporate debt securities and are not considered material to the Company's financial position or results of operations. The Company’s policy is to recognize transfers between levels in the fair value hierarchy at the end of the reporting period.</w:t>
      </w:r>
    </w:p>
    <w:p>
      <w:pPr>
        <w:spacing w:after="0" w:line="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recorded no realized or unrealized gains or losses in net earnings or other comprehensive (loss) earnings related to the change in fair value or sales of assets measured using Level 3 inputs in the three months ended March 31, 2018 or 2017.</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March 31, 2017, we held no material assets or liabilities measured at fair value using Level 3 inputs.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amounts of short-term investments, accounts receivable and notes receivable approximate fair value due to their short-term nature.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 information regarding the fair value of our investment portfolio is included in Note D. </w:t>
      </w:r>
      <w:r>
        <w:rPr>
          <w:rFonts w:ascii="Arial" w:cs="Arial" w:eastAsia="Arial" w:hAnsi="Arial"/>
          <w:sz w:val="18"/>
          <w:szCs w:val="18"/>
          <w:i w:val="1"/>
          <w:iCs w:val="1"/>
          <w:color w:val="auto"/>
        </w:rPr>
        <w:t>Investments</w:t>
      </w:r>
      <w:r>
        <w:rPr>
          <w:rFonts w:ascii="Arial" w:cs="Arial" w:eastAsia="Arial" w:hAnsi="Arial"/>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and fair values of our available for sale securities at March 31, 2018 and December 31, 2017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6"/>
              </w:rPr>
              <w:t>March 31, 2018</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245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1,196</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58</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1,782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9"/>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58"/>
        </w:trPr>
        <w:tc>
          <w:tcPr>
            <w:tcW w:w="5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2"/>
                <w:szCs w:val="22"/>
                <w:color w:val="auto"/>
              </w:rPr>
            </w:pPr>
          </w:p>
        </w:tc>
        <w:tc>
          <w:tcPr>
            <w:tcW w:w="880" w:type="dxa"/>
            <w:vAlign w:val="bottom"/>
          </w:tcPr>
          <w:p>
            <w:pPr>
              <w:ind w:left="1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880" w:type="dxa"/>
            <w:vAlign w:val="bottom"/>
          </w:tcPr>
          <w:p>
            <w:pPr>
              <w:jc w:val="center"/>
              <w:ind w:right="174"/>
              <w:spacing w:after="0"/>
              <w:rPr>
                <w:sz w:val="20"/>
                <w:szCs w:val="20"/>
                <w:color w:val="auto"/>
              </w:rPr>
            </w:pPr>
            <w:r>
              <w:rPr>
                <w:rFonts w:ascii="Arial" w:cs="Arial" w:eastAsia="Arial" w:hAnsi="Arial"/>
                <w:sz w:val="14"/>
                <w:szCs w:val="14"/>
                <w:b w:val="1"/>
                <w:bCs w:val="1"/>
                <w:color w:val="auto"/>
              </w:rPr>
              <w:t>Fair</w:t>
            </w:r>
          </w:p>
        </w:tc>
      </w:tr>
      <w:tr>
        <w:trPr>
          <w:trHeight w:val="276"/>
        </w:trPr>
        <w:tc>
          <w:tcPr>
            <w:tcW w:w="5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Basis</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1,117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681</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2,816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accreted discount since the date of purchase.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conjunction with our adoption of ASU No. 2016-01, beginning January 1, 2018, unrealized gains and losses on equity and preferred securities are included in Realized gains and losses, net on the Condensed Consolidated Statement of Earnings for the three months ended March 31, 2018. Accordingly, they are excluded from the table as of March 31, 2018 above. Refer to discussion under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included in Note A. </w:t>
      </w:r>
      <w:r>
        <w:rPr>
          <w:rFonts w:ascii="Arial" w:cs="Arial" w:eastAsia="Arial" w:hAnsi="Arial"/>
          <w:sz w:val="18"/>
          <w:szCs w:val="18"/>
          <w:i w:val="1"/>
          <w:iCs w:val="1"/>
          <w:color w:val="auto"/>
        </w:rPr>
        <w:t>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for further discussion of the effects of the adoption of ASU 2016-01.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March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1220" w:type="dxa"/>
            <w:vAlign w:val="bottom"/>
            <w:tcBorders>
              <w:bottom w:val="single" w:sz="8" w:color="auto"/>
            </w:tcBorders>
          </w:tcPr>
          <w:p>
            <w:pPr>
              <w:spacing w:after="0"/>
              <w:rPr>
                <w:sz w:val="16"/>
                <w:szCs w:val="16"/>
                <w:color w:val="auto"/>
              </w:rPr>
            </w:pPr>
          </w:p>
        </w:tc>
      </w:tr>
      <w:tr>
        <w:trPr>
          <w:trHeight w:val="258"/>
        </w:trPr>
        <w:tc>
          <w:tcPr>
            <w:tcW w:w="6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 of</w:t>
            </w:r>
          </w:p>
        </w:tc>
      </w:tr>
      <w:tr>
        <w:trPr>
          <w:trHeight w:val="276"/>
        </w:trPr>
        <w:tc>
          <w:tcPr>
            <w:tcW w:w="6400" w:type="dxa"/>
            <w:vAlign w:val="bottom"/>
            <w:gridSpan w:val="2"/>
          </w:tcPr>
          <w:p>
            <w:pPr>
              <w:ind w:left="40"/>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Cost</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50"/>
        </w:trPr>
        <w:tc>
          <w:tcPr>
            <w:tcW w:w="6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220" w:type="dxa"/>
            <w:vAlign w:val="bottom"/>
            <w:tcBorders>
              <w:top w:val="single" w:sz="8" w:color="auto"/>
            </w:tcBorders>
          </w:tcPr>
          <w:p>
            <w:pPr>
              <w:spacing w:after="0"/>
              <w:rPr>
                <w:sz w:val="21"/>
                <w:szCs w:val="21"/>
                <w:color w:val="auto"/>
              </w:rPr>
            </w:pPr>
          </w:p>
        </w:tc>
      </w:tr>
      <w:tr>
        <w:trPr>
          <w:trHeight w:val="256"/>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one year through five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71</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After ten years</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w:t>
            </w:r>
          </w:p>
        </w:tc>
      </w:tr>
      <w:tr>
        <w:trPr>
          <w:trHeight w:val="257"/>
        </w:trPr>
        <w:tc>
          <w:tcPr>
            <w:tcW w:w="640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Because of the potential for prepayment on mortgage-backed and asset-backed securities, they are not categorized by contractual maturity.</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unrealized losses on investment securities and the fair value of the related securities, aggregated by investment category and length of time that individual securities have been in a continuous unrealized loss position at March 31, 2018 and December 31, 2017, were as follows (in millions):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89"/>
              </w:rPr>
              <w:t>U.S. government and agencies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Mortgage-backed/asset-backed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92"/>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1,088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22"/>
                <w:szCs w:val="2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22"/>
                <w:szCs w:val="22"/>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22"/>
                <w:szCs w:val="22"/>
                <w:color w:val="auto"/>
              </w:rPr>
            </w:pPr>
          </w:p>
        </w:tc>
        <w:tc>
          <w:tcPr>
            <w:tcW w:w="780" w:type="dxa"/>
            <w:vAlign w:val="bottom"/>
          </w:tcPr>
          <w:p>
            <w:pPr>
              <w:jc w:val="center"/>
              <w:ind w:right="75"/>
              <w:spacing w:after="0"/>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276"/>
        </w:trPr>
        <w:tc>
          <w:tcPr>
            <w:tcW w:w="40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jc w:val="center"/>
              <w:ind w:right="670"/>
              <w:spacing w:after="0"/>
              <w:rPr>
                <w:sz w:val="20"/>
                <w:szCs w:val="20"/>
                <w:color w:val="auto"/>
              </w:rPr>
            </w:pPr>
            <w:r>
              <w:rPr>
                <w:rFonts w:ascii="Arial" w:cs="Arial" w:eastAsia="Arial" w:hAnsi="Arial"/>
                <w:sz w:val="18"/>
                <w:szCs w:val="18"/>
                <w:color w:val="auto"/>
                <w:w w:val="89"/>
              </w:rPr>
              <w:t>U.S. government and agencies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jc w:val="center"/>
              <w:ind w:right="690"/>
              <w:spacing w:after="0"/>
              <w:rPr>
                <w:sz w:val="20"/>
                <w:szCs w:val="20"/>
                <w:color w:val="auto"/>
              </w:rPr>
            </w:pPr>
            <w:r>
              <w:rPr>
                <w:rFonts w:ascii="Arial" w:cs="Arial" w:eastAsia="Arial" w:hAnsi="Arial"/>
                <w:sz w:val="18"/>
                <w:szCs w:val="18"/>
                <w:color w:val="auto"/>
                <w:w w:val="92"/>
              </w:rPr>
              <w:t>Total temporarily impaired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recorded no impairment charges relating to investments during the three-month periods ended March 31, 2018 or 2017.</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March 31, 2018 and December 31, 2017, we held no investment securities for which an other-than-temporary impairment had been previously recognized. It is possible that future events may lead us to recognize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three-month periods ended March 31, 2018 and 2017,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12"/>
          </w:tcPr>
          <w:p>
            <w:pPr>
              <w:jc w:val="center"/>
              <w:spacing w:after="0"/>
              <w:rPr>
                <w:sz w:val="20"/>
                <w:szCs w:val="20"/>
                <w:color w:val="auto"/>
              </w:rPr>
            </w:pPr>
            <w:r>
              <w:rPr>
                <w:rFonts w:ascii="Arial" w:cs="Arial" w:eastAsia="Arial" w:hAnsi="Arial"/>
                <w:sz w:val="14"/>
                <w:szCs w:val="14"/>
                <w:b w:val="1"/>
                <w:bCs w:val="1"/>
                <w:color w:val="auto"/>
                <w:w w:val="92"/>
              </w:rPr>
              <w:t>Three months ended March 31, 2018</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vMerge w:val="restart"/>
          </w:tcPr>
          <w:p>
            <w:pPr>
              <w:jc w:val="center"/>
              <w:ind w:right="39"/>
              <w:spacing w:after="0"/>
              <w:rPr>
                <w:sz w:val="20"/>
                <w:szCs w:val="20"/>
                <w:color w:val="auto"/>
              </w:rPr>
            </w:pPr>
            <w:r>
              <w:rPr>
                <w:rFonts w:ascii="Arial" w:cs="Arial" w:eastAsia="Arial" w:hAnsi="Arial"/>
                <w:sz w:val="14"/>
                <w:szCs w:val="14"/>
                <w:b w:val="1"/>
                <w:bCs w:val="1"/>
                <w:color w:val="auto"/>
                <w:w w:val="83"/>
              </w:rPr>
              <w:t>Gross</w:t>
            </w:r>
          </w:p>
        </w:tc>
        <w:tc>
          <w:tcPr>
            <w:tcW w:w="9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center"/>
              <w:ind w:right="39"/>
              <w:spacing w:after="0" w:line="149" w:lineRule="exact"/>
              <w:rPr>
                <w:sz w:val="20"/>
                <w:szCs w:val="20"/>
                <w:color w:val="auto"/>
              </w:rPr>
            </w:pPr>
            <w:r>
              <w:rPr>
                <w:rFonts w:ascii="Arial" w:cs="Arial" w:eastAsia="Arial" w:hAnsi="Arial"/>
                <w:sz w:val="14"/>
                <w:szCs w:val="14"/>
                <w:b w:val="1"/>
                <w:bCs w:val="1"/>
                <w:color w:val="auto"/>
                <w:w w:val="94"/>
              </w:rPr>
              <w:t>Realized</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center"/>
              <w:ind w:right="19"/>
              <w:spacing w:after="0"/>
              <w:rPr>
                <w:sz w:val="20"/>
                <w:szCs w:val="20"/>
                <w:color w:val="auto"/>
              </w:rPr>
            </w:pPr>
            <w:r>
              <w:rPr>
                <w:rFonts w:ascii="Arial" w:cs="Arial" w:eastAsia="Arial" w:hAnsi="Arial"/>
                <w:sz w:val="14"/>
                <w:szCs w:val="14"/>
                <w:b w:val="1"/>
                <w:bCs w:val="1"/>
                <w:color w:val="auto"/>
                <w:w w:val="92"/>
              </w:rPr>
              <w:t>Gains</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3"/>
            <w:shd w:val="clear" w:color="auto" w:fill="CCEEFF"/>
          </w:tcPr>
          <w:p>
            <w:pPr>
              <w:jc w:val="center"/>
              <w:ind w:right="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Valuation losses on equity securities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losses on preferred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3"/>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center"/>
              <w:ind w:right="2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12"/>
          </w:tcPr>
          <w:p>
            <w:pPr>
              <w:jc w:val="right"/>
              <w:ind w:right="594"/>
              <w:spacing w:after="0"/>
              <w:rPr>
                <w:sz w:val="20"/>
                <w:szCs w:val="20"/>
                <w:color w:val="auto"/>
              </w:rPr>
            </w:pPr>
            <w:r>
              <w:rPr>
                <w:rFonts w:ascii="Arial" w:cs="Arial" w:eastAsia="Arial" w:hAnsi="Arial"/>
                <w:sz w:val="14"/>
                <w:szCs w:val="14"/>
                <w:b w:val="1"/>
                <w:bCs w:val="1"/>
                <w:color w:val="auto"/>
                <w:w w:val="92"/>
              </w:rPr>
              <w:t>Three months ended March 31, 2017</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vMerge w:val="restart"/>
          </w:tcPr>
          <w:p>
            <w:pPr>
              <w:jc w:val="right"/>
              <w:ind w:right="39"/>
              <w:spacing w:after="0"/>
              <w:rPr>
                <w:sz w:val="20"/>
                <w:szCs w:val="20"/>
                <w:color w:val="auto"/>
              </w:rPr>
            </w:pPr>
            <w:r>
              <w:rPr>
                <w:rFonts w:ascii="Arial" w:cs="Arial" w:eastAsia="Arial" w:hAnsi="Arial"/>
                <w:sz w:val="14"/>
                <w:szCs w:val="14"/>
                <w:b w:val="1"/>
                <w:bCs w:val="1"/>
                <w:color w:val="auto"/>
              </w:rPr>
              <w:t>Gross</w:t>
            </w:r>
          </w:p>
        </w:tc>
        <w:tc>
          <w:tcPr>
            <w:tcW w:w="340" w:type="dxa"/>
            <w:vAlign w:val="bottom"/>
          </w:tcPr>
          <w:p>
            <w:pPr>
              <w:spacing w:after="0"/>
              <w:rPr>
                <w:sz w:val="13"/>
                <w:szCs w:val="13"/>
                <w:color w:val="auto"/>
              </w:rPr>
            </w:pPr>
          </w:p>
        </w:tc>
        <w:tc>
          <w:tcPr>
            <w:tcW w:w="64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88"/>
              </w:rPr>
              <w:t>Gross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88"/>
              </w:rPr>
              <w:t>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Realized</w:t>
            </w:r>
          </w:p>
        </w:tc>
        <w:tc>
          <w:tcPr>
            <w:tcW w:w="340" w:type="dxa"/>
            <w:vAlign w:val="bottom"/>
          </w:tcPr>
          <w:p>
            <w:pPr>
              <w:spacing w:after="0"/>
              <w:rPr>
                <w:sz w:val="12"/>
                <w:szCs w:val="12"/>
                <w:color w:val="auto"/>
              </w:rPr>
            </w:pPr>
          </w:p>
        </w:tc>
        <w:tc>
          <w:tcPr>
            <w:tcW w:w="6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Realized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Gains</w:t>
            </w:r>
          </w:p>
        </w:tc>
        <w:tc>
          <w:tcPr>
            <w:tcW w:w="3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gridSpan w:val="8"/>
          </w:tcPr>
          <w:p>
            <w:pPr>
              <w:jc w:val="right"/>
              <w:ind w:right="40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Loss on debt redemptions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b w:val="1"/>
                <w:bCs w:val="1"/>
                <w:color w:val="auto"/>
              </w:rPr>
              <w:t>Note E —Notes Payable</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60" w:type="dxa"/>
            <w:vAlign w:val="bottom"/>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5"/>
          </w:tcPr>
          <w:p>
            <w:pPr>
              <w:jc w:val="center"/>
              <w:ind w:right="4"/>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5"/>
          </w:tcPr>
          <w:p>
            <w:pPr>
              <w:jc w:val="right"/>
              <w:ind w:right="154"/>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jc w:val="right"/>
              <w:ind w:right="10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474"/>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8"/>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8"/>
          </w:tcPr>
          <w:p>
            <w:pPr>
              <w:jc w:val="center"/>
              <w:ind w:left="500"/>
              <w:spacing w:after="0"/>
              <w:rPr>
                <w:sz w:val="20"/>
                <w:szCs w:val="20"/>
                <w:color w:val="auto"/>
              </w:rPr>
            </w:pPr>
            <w:r>
              <w:rPr>
                <w:rFonts w:ascii="Arial" w:cs="Arial" w:eastAsia="Arial" w:hAnsi="Arial"/>
                <w:sz w:val="18"/>
                <w:szCs w:val="18"/>
                <w:b w:val="1"/>
                <w:bCs w:val="1"/>
                <w:color w:val="auto"/>
                <w:w w:val="94"/>
              </w:rPr>
              <w:t>(In millions)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60" w:type="dxa"/>
            <w:vAlign w:val="bottom"/>
          </w:tcPr>
          <w:p>
            <w:pPr>
              <w:ind w:left="40"/>
              <w:spacing w:after="0"/>
              <w:rPr>
                <w:sz w:val="20"/>
                <w:szCs w:val="20"/>
                <w:color w:val="auto"/>
              </w:rPr>
            </w:pPr>
            <w:r>
              <w:rPr>
                <w:rFonts w:ascii="Arial" w:cs="Arial" w:eastAsia="Arial" w:hAnsi="Arial"/>
                <w:sz w:val="18"/>
                <w:szCs w:val="18"/>
                <w:color w:val="auto"/>
                <w:w w:val="98"/>
              </w:rPr>
              <w:t>Unsecured notes, net of discount, interest payable semi-annually at 5.50%, due September 2022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398</w:t>
            </w:r>
          </w:p>
        </w:tc>
        <w:tc>
          <w:tcPr>
            <w:tcW w:w="54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Unsecured convertible notes, net of discount, interest payable semi-annually at 4.25%, due August 2018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9"/>
        </w:trPr>
        <w:tc>
          <w:tcPr>
            <w:tcW w:w="8480" w:type="dxa"/>
            <w:vAlign w:val="bottom"/>
            <w:gridSpan w:val="5"/>
          </w:tcPr>
          <w:p>
            <w:pPr>
              <w:ind w:left="40"/>
              <w:spacing w:after="0"/>
              <w:rPr>
                <w:sz w:val="20"/>
                <w:szCs w:val="20"/>
                <w:color w:val="auto"/>
              </w:rPr>
            </w:pPr>
            <w:r>
              <w:rPr>
                <w:rFonts w:ascii="Arial" w:cs="Arial" w:eastAsia="Arial" w:hAnsi="Arial"/>
                <w:sz w:val="18"/>
                <w:szCs w:val="18"/>
                <w:color w:val="auto"/>
                <w:w w:val="96"/>
              </w:rPr>
              <w:t>Revolving Credit Facility, unsecured, unused portion of $500, due April 2022 with interest payable quarterly at</w:t>
            </w: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295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7660" w:type="dxa"/>
            <w:vAlign w:val="bottom"/>
          </w:tcPr>
          <w:p>
            <w:pPr>
              <w:ind w:left="40"/>
              <w:spacing w:after="0"/>
              <w:rPr>
                <w:sz w:val="20"/>
                <w:szCs w:val="20"/>
                <w:color w:val="auto"/>
              </w:rPr>
            </w:pPr>
            <w:r>
              <w:rPr>
                <w:rFonts w:ascii="Arial" w:cs="Arial" w:eastAsia="Arial" w:hAnsi="Arial"/>
                <w:sz w:val="18"/>
                <w:szCs w:val="18"/>
                <w:color w:val="auto"/>
              </w:rPr>
              <w:t>LIBOR + 1.40% (3.12% at March 31, 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748</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 March 31, 2018, the estimated fair value of our long-term debt was approximately $899 million, which was $144 million higher than its carrying value, excluding $7 million of net unamortized debt issuance costs and premium/discount. The fair value of our unsecured notes payable was $597 million as of March 31, 2018. The fair values of our unsecured notes payable are based on established market prices for the securities on March 31, 2018 and are considered Level 2 financial liabilities. The carrying value of the Revolving Credit Facility approximates fair value at March 31, 2018, as it is a variable rate instrument with a short reset period (monthly) which reflects current market rates. The revolving credit facilities are considered Level 2 financial liabilities.</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25, 2013, FNF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On April 27, 2017, the Existing Credit Agreement was amended (the "Restated Credit Agreement").The material terms of the Revolving Credit Facility are set forth in our Annual Report for the year ended December 31, 2017. As of March 31, 2018,</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was $295 million outstanding, net of $5 million of unamortized debt issuance costs, and $500 million of remaining borrowing capacity under the Revolving Credit Facility.</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28, 2012, FNF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2017.</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August 2, 2011, FNF completed an offering of $300 million in aggregate principal amount of 4.25% convertible senior notes due August 2018 (the "Notes") in an offering conducted in accordance with Rule 144A under the Securities Act of 1933, as amended. The material terms of the Notes are set forth in our Annual Report for the year ended December 31, 2017. Beginning October 1, 2013, these notes are convertible under the 130% Sale Price Condition described in our Annual Report. During the three months ended March 31, 2018, we repurchased Notes with aggregate principal of $16 million for $47 million. Upon maturity of the Notes in August 2018, we expect to settle in cash, pay approximately $163 million, and record a gain of approximately $6 million based on stock prices and conversion rates as of March 31, 2018.</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principal maturities of notes payable at March 31, 2018 are as follows (in millions):</w:t>
      </w:r>
    </w:p>
    <w:p>
      <w:pPr>
        <w:spacing w:after="0" w:line="63" w:lineRule="exact"/>
        <w:rPr>
          <w:sz w:val="20"/>
          <w:szCs w:val="20"/>
          <w:color w:val="auto"/>
        </w:rPr>
      </w:pPr>
    </w:p>
    <w:p>
      <w:pPr>
        <w:ind w:left="40"/>
        <w:spacing w:after="0"/>
        <w:tabs>
          <w:tab w:leader="none" w:pos="10040" w:val="left"/>
          <w:tab w:leader="none" w:pos="11100" w:val="left"/>
        </w:tabs>
        <w:rPr>
          <w:sz w:val="20"/>
          <w:szCs w:val="20"/>
          <w:color w:val="auto"/>
        </w:rPr>
      </w:pPr>
      <w:r>
        <w:rPr>
          <w:rFonts w:ascii="Arial" w:cs="Arial" w:eastAsia="Arial" w:hAnsi="Arial"/>
          <w:sz w:val="18"/>
          <w:szCs w:val="18"/>
          <w:color w:val="auto"/>
        </w:rPr>
        <w:t>2018 (remaining)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130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1303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0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00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004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0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0040" w:type="dxa"/>
            <w:vAlign w:val="bottom"/>
            <w:gridSpan w:val="2"/>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7"/>
        </w:trPr>
        <w:tc>
          <w:tcPr>
            <w:tcW w:w="1060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 Commitments and Contingencies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4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Additionally, like other companies, our ordinary course litigation includes a number of class action and purported class action lawsuits, which make allegations related to aspects of our operations. We believe that no actions, other than the matters discussed below, if any, depart from customary litigation incidental to our business.</w:t>
      </w:r>
    </w:p>
    <w:p>
      <w:pPr>
        <w:spacing w:after="0" w:line="13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$11 million and $2 million as of March 31, 2018 and December 31, 2017,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01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542"/>
        </w:trPr>
        <w:tc>
          <w:tcPr>
            <w:tcW w:w="1360" w:type="dxa"/>
            <w:vAlign w:val="bottom"/>
            <w:tcBorders>
              <w:top w:val="single" w:sz="8" w:color="0000EE"/>
            </w:tcBorders>
          </w:tcPr>
          <w:p>
            <w:pPr>
              <w:spacing w:after="0"/>
              <w:rPr>
                <w:sz w:val="24"/>
                <w:szCs w:val="24"/>
                <w:color w:val="auto"/>
              </w:rPr>
            </w:pPr>
          </w:p>
        </w:tc>
        <w:tc>
          <w:tcPr>
            <w:tcW w:w="8800" w:type="dxa"/>
            <w:vAlign w:val="bottom"/>
          </w:tcPr>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1360" w:type="dxa"/>
            <w:vAlign w:val="bottom"/>
          </w:tcPr>
          <w:p>
            <w:pPr>
              <w:spacing w:after="0"/>
              <w:rPr>
                <w:sz w:val="20"/>
                <w:szCs w:val="20"/>
                <w:color w:val="auto"/>
              </w:rPr>
            </w:pPr>
          </w:p>
        </w:tc>
        <w:tc>
          <w:tcPr>
            <w:tcW w:w="880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NOTES TO CONDENSED CONSOLIDATED FINANCIAL STATEMENTS (UNAUDITED) — continued</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10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Leases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4"/>
        </w:trPr>
        <w:tc>
          <w:tcPr>
            <w:tcW w:w="10160" w:type="dxa"/>
            <w:vAlign w:val="bottom"/>
            <w:gridSpan w:val="2"/>
          </w:tcPr>
          <w:p>
            <w:pPr>
              <w:ind w:left="34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 (remaining)</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1360" w:type="dxa"/>
            <w:vAlign w:val="bottom"/>
          </w:tcPr>
          <w:p>
            <w:pPr>
              <w:ind w:left="40"/>
              <w:spacing w:after="0"/>
              <w:rPr>
                <w:sz w:val="20"/>
                <w:szCs w:val="20"/>
                <w:color w:val="auto"/>
              </w:rPr>
            </w:pPr>
            <w:r>
              <w:rPr>
                <w:rFonts w:ascii="Arial" w:cs="Arial" w:eastAsia="Arial" w:hAnsi="Arial"/>
                <w:sz w:val="18"/>
                <w:szCs w:val="18"/>
                <w:color w:val="auto"/>
              </w:rPr>
              <w:t>2019</w:t>
            </w:r>
          </w:p>
        </w:tc>
        <w:tc>
          <w:tcPr>
            <w:tcW w:w="8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13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1360" w:type="dxa"/>
            <w:vAlign w:val="bottom"/>
          </w:tcPr>
          <w:p>
            <w:pPr>
              <w:ind w:left="40"/>
              <w:spacing w:after="0"/>
              <w:rPr>
                <w:sz w:val="20"/>
                <w:szCs w:val="20"/>
                <w:color w:val="auto"/>
              </w:rPr>
            </w:pPr>
            <w:r>
              <w:rPr>
                <w:rFonts w:ascii="Arial" w:cs="Arial" w:eastAsia="Arial" w:hAnsi="Arial"/>
                <w:sz w:val="18"/>
                <w:szCs w:val="18"/>
                <w:color w:val="auto"/>
              </w:rPr>
              <w:t>2021</w:t>
            </w:r>
          </w:p>
        </w:tc>
        <w:tc>
          <w:tcPr>
            <w:tcW w:w="8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1360" w:type="dxa"/>
            <w:vAlign w:val="bottom"/>
          </w:tcPr>
          <w:p>
            <w:pPr>
              <w:spacing w:after="0"/>
              <w:rPr>
                <w:sz w:val="2"/>
                <w:szCs w:val="2"/>
                <w:color w:val="auto"/>
              </w:rPr>
            </w:pPr>
          </w:p>
        </w:tc>
        <w:tc>
          <w:tcPr>
            <w:tcW w:w="8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1360" w:type="dxa"/>
            <w:vAlign w:val="bottom"/>
            <w:tcBorders>
              <w:bottom w:val="single" w:sz="8" w:color="CCEEFF"/>
            </w:tcBorders>
          </w:tcPr>
          <w:p>
            <w:pPr>
              <w:spacing w:after="0"/>
              <w:rPr>
                <w:sz w:val="2"/>
                <w:szCs w:val="2"/>
                <w:color w:val="auto"/>
              </w:rPr>
            </w:pPr>
          </w:p>
        </w:tc>
        <w:tc>
          <w:tcPr>
            <w:tcW w:w="88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0"/>
        </w:trPr>
        <w:tc>
          <w:tcPr>
            <w:tcW w:w="136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Dividends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2, 2018, our Board of Directors declared cash dividends of $0.30 per share, payable on June 29, 2018, to FNF common shareholders of record as of June 15, 2018.</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08"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Segment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concerning our reportable segments is shown in the following tables.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March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13"/>
                <w:szCs w:val="13"/>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(In millions)</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1,036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618</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1,654</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1,590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1,693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8,276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9,018</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313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2,747</w:t>
            </w:r>
          </w:p>
        </w:tc>
        <w:tc>
          <w:tcPr>
            <w:tcW w:w="0" w:type="dxa"/>
            <w:vAlign w:val="bottom"/>
          </w:tcPr>
          <w:p>
            <w:pPr>
              <w:spacing w:after="0"/>
              <w:rPr>
                <w:sz w:val="1"/>
                <w:szCs w:val="1"/>
                <w:color w:val="auto"/>
              </w:rPr>
            </w:pPr>
          </w:p>
        </w:tc>
      </w:tr>
      <w:tr>
        <w:trPr>
          <w:trHeight w:val="336"/>
        </w:trPr>
        <w:tc>
          <w:tcPr>
            <w:tcW w:w="8120" w:type="dxa"/>
            <w:vAlign w:val="bottom"/>
          </w:tcPr>
          <w:p>
            <w:pPr>
              <w:ind w:left="340"/>
              <w:spacing w:after="0"/>
              <w:rPr>
                <w:sz w:val="20"/>
                <w:szCs w:val="20"/>
                <w:color w:val="auto"/>
              </w:rPr>
            </w:pPr>
            <w:r>
              <w:rPr>
                <w:rFonts w:ascii="Arial" w:cs="Arial" w:eastAsia="Arial" w:hAnsi="Arial"/>
                <w:sz w:val="18"/>
                <w:szCs w:val="18"/>
                <w:color w:val="auto"/>
              </w:rPr>
              <w:t>As of and for the three months ended March 31, 2017:</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color w:val="auto"/>
                <w:w w:val="86"/>
              </w:rPr>
              <w:t>Corporate and</w:t>
            </w:r>
          </w:p>
        </w:tc>
        <w:tc>
          <w:tcPr>
            <w:tcW w:w="240" w:type="dxa"/>
            <w:vAlign w:val="bottom"/>
          </w:tcPr>
          <w:p>
            <w:pPr>
              <w:spacing w:after="0"/>
              <w:rPr>
                <w:sz w:val="24"/>
                <w:szCs w:val="24"/>
                <w:color w:val="auto"/>
              </w:rPr>
            </w:pPr>
          </w:p>
        </w:tc>
        <w:tc>
          <w:tcPr>
            <w:tcW w:w="78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8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92"/>
              </w:rPr>
              <w:t>Other</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1,048</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571</w:t>
            </w:r>
          </w:p>
        </w:tc>
        <w:tc>
          <w:tcPr>
            <w:tcW w:w="0" w:type="dxa"/>
            <w:vAlign w:val="bottom"/>
          </w:tcPr>
          <w:p>
            <w:pPr>
              <w:spacing w:after="0"/>
              <w:rPr>
                <w:sz w:val="1"/>
                <w:szCs w:val="1"/>
                <w:color w:val="auto"/>
              </w:rPr>
            </w:pPr>
          </w:p>
        </w:tc>
      </w:tr>
      <w:tr>
        <w:trPr>
          <w:trHeight w:val="25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1,619</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and investment income, including realized gains and losses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5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1,570</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1,643</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43</w:t>
            </w: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income taxes and equity in earnings (losses) of unconsolidated affiliates</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69</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4"/>
                <w:szCs w:val="14"/>
                <w:color w:val="auto"/>
              </w:rPr>
              <w:t>Earnings (loss) from continuing operations, before equity in earnings (losses) of unconsolidated affiliates</w:t>
            </w:r>
          </w:p>
        </w:tc>
        <w:tc>
          <w:tcPr>
            <w:tcW w:w="240" w:type="dxa"/>
            <w:vAlign w:val="bottom"/>
          </w:tcPr>
          <w:p>
            <w:pPr>
              <w:spacing w:after="0"/>
              <w:rPr>
                <w:sz w:val="21"/>
                <w:szCs w:val="21"/>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(losses) of unconsolidated affiliates</w:t>
            </w: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83"/>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60</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14,178</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2,347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b w:val="1"/>
                <w:bCs w:val="1"/>
                <w:color w:val="auto"/>
              </w:rPr>
              <w:t>2,562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90" w:lineRule="exact"/>
        <w:rPr>
          <w:sz w:val="20"/>
          <w:szCs w:val="20"/>
          <w:color w:val="auto"/>
        </w:rPr>
      </w:pPr>
    </w:p>
    <w:p>
      <w:pPr>
        <w:jc w:val="both"/>
        <w:ind w:left="660" w:hanging="409"/>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ectPr>
          <w:pgSz w:w="11900" w:h="16838" w:orient="portrait"/>
          <w:cols w:equalWidth="0" w:num="1">
            <w:col w:w="11420"/>
          </w:cols>
          <w:pgMar w:left="240" w:top="121"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238" w:lineRule="exact"/>
        <w:rPr>
          <w:sz w:val="20"/>
          <w:szCs w:val="20"/>
          <w:color w:val="auto"/>
        </w:rPr>
      </w:pPr>
    </w:p>
    <w:p>
      <w:pPr>
        <w:jc w:val="both"/>
        <w:ind w:left="660" w:hanging="409"/>
        <w:spacing w:after="0" w:line="31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This segment consists of the operations of the parent holding company, our various real estate brokerage businesses,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real estate technology subsidiaries. This segment also includes certain other unallocated corporate overhead expenses and eliminations of revenues and expenses between it and our Title segment, as well as the assets of discontinued operations of Black Knight and FNFV as of March 31,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Supplemental Cash Flow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supplemental cash flow information is provided with respect to certain non-cash investing and financing activities.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238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rPr>
              <w:t>Three months ended March 31,</w:t>
            </w:r>
          </w:p>
        </w:tc>
      </w:tr>
      <w:tr>
        <w:trPr>
          <w:trHeight w:val="276"/>
        </w:trPr>
        <w:tc>
          <w:tcPr>
            <w:tcW w:w="9000" w:type="dxa"/>
            <w:vAlign w:val="bottom"/>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Cash paid for:</w:t>
            </w: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w:t>
            </w:r>
          </w:p>
        </w:tc>
      </w:tr>
      <w:tr>
        <w:trPr>
          <w:trHeight w:val="243"/>
        </w:trPr>
        <w:tc>
          <w:tcPr>
            <w:tcW w:w="900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7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investing and financing activities: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58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1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7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proceeds of sales of investments available for sale receivable in period</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19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7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9"/>
        </w:trPr>
        <w:tc>
          <w:tcPr>
            <w:tcW w:w="758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43"/>
        </w:trPr>
        <w:tc>
          <w:tcPr>
            <w:tcW w:w="758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19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7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Accrual for unsettled debt service payments related to the Notes</w:t>
            </w:r>
          </w:p>
        </w:tc>
        <w:tc>
          <w:tcPr>
            <w:tcW w:w="19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Accrual for the equity portion of unsettled repurchases of the Notes</w:t>
            </w:r>
          </w:p>
        </w:tc>
        <w:tc>
          <w:tcPr>
            <w:tcW w:w="192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Revenue Recognition</w:t>
      </w:r>
    </w:p>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 2018, we adopted ASC Topic 606 by applying the modified retrospective method. Results for reporting periods beginning after January 1, 2018 are presented under Topic 606, while prior period amounts are not adjusted and continue to be reported under the accounting standards in effect for the prior period.</w:t>
      </w:r>
    </w:p>
    <w:p>
      <w:pPr>
        <w:spacing w:after="0" w:line="12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adoption of ASC Topic 606 did not have an impact on the recognition of our primary sources of revenue, direct and agency title premiums, as those revenue streams are subject to the accounting and reporting requirements under ASC Topic 944. Timing of recognition of substantially all of our remaining revenue was also not impacted and we therefore did not record any cumulative effect adjustment to opening equity.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(UNAUDITED) — continued</w:t>
      </w:r>
    </w:p>
    <w:p>
      <w:pPr>
        <w:sectPr>
          <w:pgSz w:w="11900" w:h="16838" w:orient="portrait"/>
          <w:cols w:equalWidth="0" w:num="1">
            <w:col w:w="11420"/>
          </w:cols>
          <w:pgMar w:left="240" w:top="121" w:right="239" w:bottom="1440" w:gutter="0" w:footer="0" w:header="0"/>
        </w:sectPr>
      </w:pPr>
    </w:p>
    <w:p>
      <w:pPr>
        <w:spacing w:after="0" w:line="330" w:lineRule="exact"/>
        <w:rPr>
          <w:sz w:val="20"/>
          <w:szCs w:val="20"/>
          <w:color w:val="auto"/>
        </w:rPr>
      </w:pPr>
    </w:p>
    <w:p>
      <w:pPr>
        <w:jc w:val="right"/>
        <w:ind w:right="2080"/>
        <w:spacing w:after="0"/>
        <w:rPr>
          <w:sz w:val="20"/>
          <w:szCs w:val="20"/>
          <w:color w:val="auto"/>
        </w:rPr>
      </w:pPr>
      <w:r>
        <w:rPr>
          <w:rFonts w:ascii="Arial" w:cs="Arial" w:eastAsia="Arial" w:hAnsi="Arial"/>
          <w:sz w:val="15"/>
          <w:szCs w:val="15"/>
          <w:b w:val="1"/>
          <w:bCs w:val="1"/>
          <w:i w:val="1"/>
          <w:iCs w:val="1"/>
          <w:color w:val="auto"/>
        </w:rPr>
        <w:t>Disaggregation of Revenue</w:t>
      </w:r>
    </w:p>
    <w:p>
      <w:pPr>
        <w:spacing w:after="0" w:line="206" w:lineRule="exact"/>
        <w:rPr>
          <w:sz w:val="20"/>
          <w:szCs w:val="20"/>
          <w:color w:val="auto"/>
        </w:rPr>
      </w:pPr>
    </w:p>
    <w:p>
      <w:pPr>
        <w:jc w:val="right"/>
        <w:ind w:right="2020"/>
        <w:spacing w:after="0"/>
        <w:rPr>
          <w:sz w:val="20"/>
          <w:szCs w:val="20"/>
          <w:color w:val="auto"/>
        </w:rPr>
      </w:pPr>
      <w:r>
        <w:rPr>
          <w:rFonts w:ascii="Arial" w:cs="Arial" w:eastAsia="Arial" w:hAnsi="Arial"/>
          <w:sz w:val="18"/>
          <w:szCs w:val="18"/>
          <w:color w:val="auto"/>
        </w:rPr>
        <w:t>Our revenue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Revenue 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97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insurance contracts:</w:t>
      </w:r>
    </w:p>
    <w:p>
      <w:pPr>
        <w:spacing w:after="0" w:line="28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Title insurance premiums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Home warranty</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 from insurance contracts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Revenue from contracts with customers: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Escrow fees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title-related fees and income</w:t>
      </w:r>
    </w:p>
    <w:p>
      <w:pPr>
        <w:spacing w:after="0" w:line="73" w:lineRule="exact"/>
        <w:rPr>
          <w:sz w:val="20"/>
          <w:szCs w:val="20"/>
          <w:color w:val="auto"/>
        </w:rPr>
      </w:pPr>
    </w:p>
    <w:p>
      <w:pPr>
        <w:ind w:left="180" w:right="280"/>
        <w:spacing w:after="0" w:line="293" w:lineRule="auto"/>
        <w:rPr>
          <w:sz w:val="20"/>
          <w:szCs w:val="20"/>
          <w:color w:val="auto"/>
        </w:rPr>
      </w:pPr>
      <w:r>
        <w:rPr>
          <w:rFonts w:ascii="Arial" w:cs="Arial" w:eastAsia="Arial" w:hAnsi="Arial"/>
          <w:sz w:val="16"/>
          <w:szCs w:val="16"/>
          <w:color w:val="auto"/>
        </w:rPr>
        <w:t>ServiceLink, excluding title premiums, escrow fees, and subservicing fees</w:t>
      </w:r>
    </w:p>
    <w:p>
      <w:pPr>
        <w:spacing w:after="0" w:line="21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 estate brokerage</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 estate technology</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 from contracts with customers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Loan subservicing revenue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and investment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Realized gains and losses, net</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Three months ended March 31,</w:t>
            </w:r>
          </w:p>
        </w:tc>
      </w:tr>
      <w:tr>
        <w:trPr>
          <w:trHeight w:val="80"/>
        </w:trPr>
        <w:tc>
          <w:tcPr>
            <w:tcW w:w="2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258"/>
        </w:trPr>
        <w:tc>
          <w:tcPr>
            <w:tcW w:w="2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3080" w:type="dxa"/>
            <w:vAlign w:val="bottom"/>
            <w:gridSpan w:val="2"/>
          </w:tcPr>
          <w:p>
            <w:pPr>
              <w:ind w:left="500"/>
              <w:spacing w:after="0"/>
              <w:rPr>
                <w:sz w:val="20"/>
                <w:szCs w:val="20"/>
                <w:color w:val="auto"/>
              </w:rPr>
            </w:pPr>
            <w:r>
              <w:rPr>
                <w:rFonts w:ascii="Arial" w:cs="Arial" w:eastAsia="Arial" w:hAnsi="Arial"/>
                <w:sz w:val="14"/>
                <w:szCs w:val="14"/>
                <w:b w:val="1"/>
                <w:bCs w:val="1"/>
                <w:color w:val="auto"/>
              </w:rPr>
              <w:t>Income Statement Classification</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21"/>
                <w:szCs w:val="21"/>
                <w:color w:val="auto"/>
              </w:rPr>
            </w:pPr>
          </w:p>
        </w:tc>
        <w:tc>
          <w:tcPr>
            <w:tcW w:w="20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Total Revenue</w:t>
            </w:r>
          </w:p>
        </w:tc>
      </w:tr>
      <w:tr>
        <w:trPr>
          <w:trHeight w:val="258"/>
        </w:trPr>
        <w:tc>
          <w:tcPr>
            <w:tcW w:w="2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gridSpan w:val="3"/>
          </w:tcPr>
          <w:p>
            <w:pPr>
              <w:jc w:val="center"/>
              <w:ind w:left="501"/>
              <w:spacing w:after="0"/>
              <w:rPr>
                <w:sz w:val="20"/>
                <w:szCs w:val="20"/>
                <w:color w:val="auto"/>
              </w:rPr>
            </w:pPr>
            <w:r>
              <w:rPr>
                <w:rFonts w:ascii="Arial" w:cs="Arial" w:eastAsia="Arial" w:hAnsi="Arial"/>
                <w:sz w:val="14"/>
                <w:szCs w:val="14"/>
                <w:color w:val="auto"/>
              </w:rPr>
              <w:t>(in millions)</w:t>
            </w:r>
          </w:p>
        </w:tc>
        <w:tc>
          <w:tcPr>
            <w:tcW w:w="680" w:type="dxa"/>
            <w:vAlign w:val="bottom"/>
            <w:tcBorders>
              <w:top w:val="single" w:sz="8" w:color="auto"/>
            </w:tcBorders>
          </w:tcPr>
          <w:p>
            <w:pPr>
              <w:spacing w:after="0"/>
              <w:rPr>
                <w:sz w:val="22"/>
                <w:szCs w:val="22"/>
                <w:color w:val="auto"/>
              </w:rPr>
            </w:pPr>
          </w:p>
        </w:tc>
      </w:tr>
      <w:tr>
        <w:trPr>
          <w:trHeight w:val="232"/>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Direct title insurance premiums;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06"/>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Agency title insurance premiums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1,036</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1,048</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41</w:t>
            </w: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1,081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1,089</w:t>
            </w:r>
          </w:p>
        </w:tc>
      </w:tr>
      <w:tr>
        <w:trPr>
          <w:trHeight w:val="540"/>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174</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138</w:t>
            </w:r>
          </w:p>
        </w:tc>
      </w:tr>
      <w:tr>
        <w:trPr>
          <w:trHeight w:val="459"/>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106</w:t>
            </w:r>
          </w:p>
        </w:tc>
      </w:tr>
      <w:tr>
        <w:trPr>
          <w:trHeight w:val="253"/>
        </w:trPr>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Corporate and</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6"/>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other</w:t>
            </w: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253"/>
        </w:trPr>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Corporate and</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6"/>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other</w:t>
            </w: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15</w:t>
            </w:r>
          </w:p>
        </w:tc>
      </w:tr>
      <w:tr>
        <w:trPr>
          <w:trHeight w:val="253"/>
        </w:trPr>
        <w:tc>
          <w:tcPr>
            <w:tcW w:w="2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Corporate and</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6"/>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other</w:t>
            </w:r>
          </w:p>
        </w:tc>
        <w:tc>
          <w:tcPr>
            <w:tcW w:w="12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w:t>
            </w: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492</w:t>
            </w:r>
          </w:p>
        </w:tc>
      </w:tr>
      <w:tr>
        <w:trPr>
          <w:trHeight w:val="540"/>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Escrow, title-related and other fees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Title</w:t>
            </w:r>
          </w:p>
        </w:tc>
        <w:tc>
          <w:tcPr>
            <w:tcW w:w="120" w:type="dxa"/>
            <w:vAlign w:val="bottom"/>
          </w:tcPr>
          <w:p>
            <w:pPr>
              <w:spacing w:after="0"/>
              <w:rPr>
                <w:sz w:val="24"/>
                <w:szCs w:val="24"/>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38</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Interest and investment income</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28</w:t>
            </w:r>
          </w:p>
        </w:tc>
      </w:tr>
      <w:tr>
        <w:trPr>
          <w:trHeight w:val="270"/>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Realized gains and losses, net</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12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3080" w:type="dxa"/>
            <w:vAlign w:val="bottom"/>
            <w:gridSpan w:val="2"/>
          </w:tcPr>
          <w:p>
            <w:pPr>
              <w:ind w:left="20"/>
              <w:spacing w:after="0"/>
              <w:rPr>
                <w:sz w:val="20"/>
                <w:szCs w:val="20"/>
                <w:color w:val="auto"/>
              </w:rPr>
            </w:pPr>
            <w:r>
              <w:rPr>
                <w:rFonts w:ascii="Arial" w:cs="Arial" w:eastAsia="Arial" w:hAnsi="Arial"/>
                <w:sz w:val="16"/>
                <w:szCs w:val="16"/>
                <w:color w:val="auto"/>
              </w:rPr>
              <w:t>Total revenues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1,693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1,643</w:t>
            </w: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-3054985</wp:posOffset>
            </wp:positionH>
            <wp:positionV relativeFrom="paragraph">
              <wp:posOffset>-3369945</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-2906395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-2563495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-2220595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-1637030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-1054100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-711200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-3054985</wp:posOffset>
            </wp:positionH>
            <wp:positionV relativeFrom="paragraph">
              <wp:posOffset>-368300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4100" w:space="720"/>
            <w:col w:w="6600"/>
          </w:cols>
          <w:pgMar w:left="240" w:top="121" w:right="2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 and the agent has been invoiced.</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our home warranty business are generated from contracts with customers to provide warranty for major home appliances. Contracts are one year in length and revenue is recognized ratably over the term of the contract.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 related activities. Revenue is primarily recognized upon closing of the underlying real estate transaction or completion of services. Cash associated with such revenue is typically collected at closing.</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our ServiceLink subsidiary,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ectPr>
          <w:pgSz w:w="11900" w:h="16838" w:orient="portrait"/>
          <w:cols w:equalWidth="0" w:num="1">
            <w:col w:w="11420"/>
          </w:cols>
          <w:pgMar w:left="240" w:top="121" w:right="23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receivables and deferred revenue:</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March 31,</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w:t>
            </w:r>
          </w:p>
        </w:tc>
      </w:tr>
      <w:tr>
        <w:trPr>
          <w:trHeight w:val="264"/>
        </w:trPr>
        <w:tc>
          <w:tcPr>
            <w:tcW w:w="85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r>
      <w:tr>
        <w:trPr>
          <w:trHeight w:val="196"/>
        </w:trPr>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3"/>
          </w:tcPr>
          <w:p>
            <w:pPr>
              <w:jc w:val="right"/>
              <w:ind w:right="939"/>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288</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292</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Deferred revenue (contract liabilities)</w:t>
            </w:r>
          </w:p>
        </w:tc>
        <w:tc>
          <w:tcPr>
            <w:tcW w:w="24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107</w:t>
            </w: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one year. The unrecognized portion is recorded as deferred revenue in accounts payable and other accrued liabilities in the Condensed Consolidated Balance Sheets. During the three months ended March 31, 2018, we recognized $46 million of revenue which was included in deferred revenue at the beginning of the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Discontinued Operations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Black Knight</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the BK Distribution, we have reclassified the financial results of Black Knight to discontinued operations for all periods presented in our Condensed Consolidated Statements of Operations for the three months ended March 31, 2017. We retained no ownership in Black Knight. Subsequent to the BK Distribution, Black Knight is considered a related party to FNF.</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various agreements with Black Knight to provide technology, data and analytics services, as well as corporate shared services and information technology. We are also a party to certain other agreements under which we incur other expenses or receive revenues from Black Knight. We expect to continue utilizing Black Knight to provide technology and data and analytics services for the foreseeable future. The cash inflows and outflows from and to Black Knight as well as revenues and expenses included in continuing operations in the three months ended March 31, 2018 which were previously eliminated in our condensed consolidated financial statements as intra-entity transactions are not material to our results of operations.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Black Knight to the Statement of Operations is shown below (in millions):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March 31,</w:t>
            </w:r>
          </w:p>
        </w:tc>
      </w:tr>
      <w:tr>
        <w:trPr>
          <w:trHeight w:val="3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(Unaudited)</w:t>
            </w:r>
          </w:p>
        </w:tc>
      </w:tr>
      <w:tr>
        <w:trPr>
          <w:trHeight w:val="270"/>
        </w:trPr>
        <w:tc>
          <w:tcPr>
            <w:tcW w:w="97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17"/>
        </w:trPr>
        <w:tc>
          <w:tcPr>
            <w:tcW w:w="9720" w:type="dxa"/>
            <w:vAlign w:val="bottom"/>
          </w:tcPr>
          <w:p>
            <w:pPr>
              <w:ind w:left="40"/>
              <w:spacing w:after="0"/>
              <w:rPr>
                <w:sz w:val="20"/>
                <w:szCs w:val="20"/>
                <w:color w:val="auto"/>
              </w:rPr>
            </w:pPr>
            <w:r>
              <w:rPr>
                <w:rFonts w:ascii="Arial" w:cs="Arial" w:eastAsia="Arial" w:hAnsi="Arial"/>
                <w:sz w:val="16"/>
                <w:szCs w:val="16"/>
                <w:color w:val="auto"/>
              </w:rPr>
              <w:t>Net earnings from discontinued operations</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84"/>
        </w:trPr>
        <w:tc>
          <w:tcPr>
            <w:tcW w:w="97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r>
      <w:tr>
        <w:trPr>
          <w:trHeight w:val="257"/>
        </w:trPr>
        <w:tc>
          <w:tcPr>
            <w:tcW w:w="9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37"/>
        </w:trPr>
        <w:tc>
          <w:tcPr>
            <w:tcW w:w="9720" w:type="dxa"/>
            <w:vAlign w:val="bottom"/>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FNFV</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the FNFV Split-Off we have reclassified the financial results of FNFV Group to discontinued operations for the three months ended March 31, 2017 in our Consolidated Statements of Earnings. Subsequent to the FNFV Split-Off, Cannae is considered a related party to FNF. The cash inflows and outflows from and to Cannae as well as revenues and expenses included in continuing operations in the three months ended March 31, 2018 which were previously eliminated in our condensed consolidated financial statements as intra-entity transactions, are not material to our results of operations.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conjunction with the FNFV Split-Off, FNTIC, Chicago Title, and Commonwealth Title contributed an aggregate of $100 million to Cannae in exchange for 5,706,134 shares of Cannae common stock. As of March 31, 2018, we own approximately 8.1% of Cannae's outstanding common equity. In addition, we issued to Cannae a revolver note (the "Cannae Revolver") in the aggregate principal amount of up to $100 million, which accrues interest at LIBOR plus 450 basis points and matures on the five-year anniversary of the date of the Cannae Revolver. The maturity date is automatically extended for additional five-year terms unless notice of non-renewal is otherwise provided by either FNF or Cannae, in their sole discretion. As of March 31, 2018, there is no outstanding balance under the Cannae Revolver.</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FNFV Split-Off, the following material agreements were entered into by and between the Company and Cannae (the “Split-Off Agreements”):</w:t>
      </w:r>
    </w:p>
    <w:p>
      <w:pPr>
        <w:spacing w:after="0" w:line="170" w:lineRule="exact"/>
        <w:rPr>
          <w:sz w:val="20"/>
          <w:szCs w:val="20"/>
          <w:color w:val="auto"/>
        </w:rPr>
      </w:pPr>
    </w:p>
    <w:p>
      <w:pPr>
        <w:jc w:val="both"/>
        <w:ind w:left="660" w:firstLine="320"/>
        <w:spacing w:after="0" w:line="311"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Reorganization Agreement, dated as of November 17, 2017, by and between the Company and Cannae, which provides for, among other things, the principal corporate transactions required to effect the Split-Off, certain conditions to the Split-Off and provisions governing the relationship between the Company and Cannae with respect to and resulting from the Split-Off;</w:t>
      </w:r>
    </w:p>
    <w:p>
      <w:pPr>
        <w:spacing w:after="0" w:line="154" w:lineRule="exact"/>
        <w:rPr>
          <w:rFonts w:ascii="Arial" w:cs="Arial" w:eastAsia="Arial" w:hAnsi="Arial"/>
          <w:sz w:val="18"/>
          <w:szCs w:val="18"/>
          <w:color w:val="auto"/>
        </w:rPr>
      </w:pPr>
    </w:p>
    <w:p>
      <w:pPr>
        <w:jc w:val="both"/>
        <w:ind w:left="660" w:firstLine="320"/>
        <w:spacing w:after="0" w:line="311"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Tax Matters Agreement, dated as of November 17, 2017, by and between the Company and Cannae, which governs the Company’s and Cannae’s respective rights, responsibilities and obligations with respect to taxes and tax benefits, the filing of tax returns, the control of audits and other tax matters; and</w:t>
      </w:r>
    </w:p>
    <w:p>
      <w:pPr>
        <w:spacing w:after="0" w:line="154" w:lineRule="exact"/>
        <w:rPr>
          <w:rFonts w:ascii="Arial" w:cs="Arial" w:eastAsia="Arial" w:hAnsi="Arial"/>
          <w:sz w:val="18"/>
          <w:szCs w:val="18"/>
          <w:color w:val="auto"/>
        </w:rPr>
      </w:pPr>
    </w:p>
    <w:p>
      <w:pPr>
        <w:jc w:val="both"/>
        <w:ind w:left="660" w:firstLine="320"/>
        <w:spacing w:after="0" w:line="306" w:lineRule="auto"/>
        <w:tabs>
          <w:tab w:leader="none" w:pos="1371" w:val="left"/>
        </w:tabs>
        <w:numPr>
          <w:ilvl w:val="0"/>
          <w:numId w:val="8"/>
        </w:numPr>
        <w:rPr>
          <w:rFonts w:ascii="Arial" w:cs="Arial" w:eastAsia="Arial" w:hAnsi="Arial"/>
          <w:sz w:val="18"/>
          <w:szCs w:val="18"/>
          <w:color w:val="auto"/>
        </w:rPr>
      </w:pPr>
      <w:r>
        <w:rPr>
          <w:rFonts w:ascii="Arial" w:cs="Arial" w:eastAsia="Arial" w:hAnsi="Arial"/>
          <w:sz w:val="18"/>
          <w:szCs w:val="18"/>
          <w:color w:val="auto"/>
        </w:rPr>
        <w:t>a Voting Agreement, dated as of November 17, 2017, by and between the Company and Cannae, pursuant to which the Company agrees to appear or cause all shares of Cannae common stock that the Company or its subsidiaries, as applicable, own after the Split-Off to be counted as present at any meeting of the stockholders of Cannae for the purpose of establishing a quorum, and agrees to vote all of such shares of Cannae common stock (or cause them to be voted) in</w:t>
      </w:r>
    </w:p>
    <w:p>
      <w:pPr>
        <w:sectPr>
          <w:pgSz w:w="11900" w:h="16838" w:orient="portrait"/>
          <w:cols w:equalWidth="0" w:num="1">
            <w:col w:w="11420"/>
          </w:cols>
          <w:pgMar w:left="240" w:top="121" w:right="239" w:bottom="1149"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149"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 — continued</w:t>
      </w:r>
    </w:p>
    <w:p>
      <w:pPr>
        <w:spacing w:after="0" w:line="346"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the same manner as, and in the same proportion to, all shares voted by holders of Cannae common stock (other than the Company and its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operations of FNFV included in discontinued operations is shown below:</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4"/>
              </w:rPr>
              <w:t>March 31,</w:t>
            </w:r>
          </w:p>
        </w:tc>
      </w:tr>
      <w:tr>
        <w:trPr>
          <w:trHeight w:val="3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2"/>
              </w:rPr>
              <w:t>(Unaudited)</w:t>
            </w:r>
          </w:p>
        </w:tc>
      </w:tr>
      <w:tr>
        <w:trPr>
          <w:trHeight w:val="270"/>
        </w:trPr>
        <w:tc>
          <w:tcPr>
            <w:tcW w:w="972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title-related and other fees</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49</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12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273</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and investment income</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Realized gains and losses, net</w:t>
            </w:r>
          </w:p>
        </w:tc>
        <w:tc>
          <w:tcPr>
            <w:tcW w:w="12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5</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revenues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328</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Expenses:</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Personnel costs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25</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restaurant revenue</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236</w:t>
            </w:r>
          </w:p>
        </w:tc>
      </w:tr>
      <w:tr>
        <w:trPr>
          <w:trHeight w:val="224"/>
        </w:trPr>
        <w:tc>
          <w:tcPr>
            <w:tcW w:w="972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9"/>
                <w:szCs w:val="19"/>
                <w:color w:val="auto"/>
              </w:rPr>
            </w:pP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16</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w:t>
            </w:r>
          </w:p>
        </w:tc>
      </w:tr>
      <w:tr>
        <w:trPr>
          <w:trHeight w:val="217"/>
        </w:trPr>
        <w:tc>
          <w:tcPr>
            <w:tcW w:w="9720" w:type="dxa"/>
            <w:vAlign w:val="bottom"/>
          </w:tcPr>
          <w:p>
            <w:pPr>
              <w:ind w:left="820"/>
              <w:spacing w:after="0"/>
              <w:rPr>
                <w:sz w:val="20"/>
                <w:szCs w:val="20"/>
                <w:color w:val="auto"/>
              </w:rPr>
            </w:pPr>
            <w:r>
              <w:rPr>
                <w:rFonts w:ascii="Arial" w:cs="Arial" w:eastAsia="Arial" w:hAnsi="Arial"/>
                <w:sz w:val="16"/>
                <w:szCs w:val="16"/>
                <w:color w:val="auto"/>
              </w:rPr>
              <w:t>Total expenses</w:t>
            </w:r>
          </w:p>
        </w:tc>
        <w:tc>
          <w:tcPr>
            <w:tcW w:w="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327</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discontinued operations before income taxes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from continuing operations before equity in (losses) earnings of unconsolidated affiliates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Equity in (losses) earnings of unconsolidated affiliates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(loss) from discontinued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Less: Net earnings attributable to non-controlling interests</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7"/>
        </w:trPr>
        <w:tc>
          <w:tcPr>
            <w:tcW w:w="9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 from discontinued operations data:</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4"/>
        </w:trPr>
        <w:tc>
          <w:tcPr>
            <w:tcW w:w="9720" w:type="dxa"/>
            <w:vAlign w:val="bottom"/>
          </w:tcPr>
          <w:p>
            <w:pPr>
              <w:ind w:left="40"/>
              <w:spacing w:after="0"/>
              <w:rPr>
                <w:sz w:val="20"/>
                <w:szCs w:val="20"/>
                <w:color w:val="auto"/>
              </w:rPr>
            </w:pPr>
            <w:r>
              <w:rPr>
                <w:rFonts w:ascii="Arial" w:cs="Arial" w:eastAsia="Arial" w:hAnsi="Arial"/>
                <w:sz w:val="16"/>
                <w:szCs w:val="16"/>
                <w:color w:val="auto"/>
              </w:rPr>
              <w:t>Net cash provided by operations</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8"/>
              <w:spacing w:after="0"/>
              <w:rPr>
                <w:sz w:val="20"/>
                <w:szCs w:val="20"/>
                <w:color w:val="auto"/>
              </w:rPr>
            </w:pPr>
            <w:r>
              <w:rPr>
                <w:rFonts w:ascii="Arial" w:cs="Arial" w:eastAsia="Arial" w:hAnsi="Arial"/>
                <w:sz w:val="16"/>
                <w:szCs w:val="16"/>
                <w:color w:val="auto"/>
              </w:rPr>
              <w:t>15</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324"/>
        </w:trPr>
        <w:tc>
          <w:tcPr>
            <w:tcW w:w="972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to Consolidated Financial Statements</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97"/>
        </w:trPr>
        <w:tc>
          <w:tcPr>
            <w:tcW w:w="9720" w:type="dxa"/>
            <w:vAlign w:val="bottom"/>
          </w:tcPr>
          <w:p>
            <w:pPr>
              <w:ind w:left="340"/>
              <w:spacing w:after="0"/>
              <w:rPr>
                <w:sz w:val="20"/>
                <w:szCs w:val="20"/>
                <w:color w:val="auto"/>
              </w:rPr>
            </w:pPr>
            <w:r>
              <w:rPr>
                <w:rFonts w:ascii="Arial" w:cs="Arial" w:eastAsia="Arial" w:hAnsi="Arial"/>
                <w:sz w:val="18"/>
                <w:szCs w:val="18"/>
                <w:color w:val="auto"/>
              </w:rPr>
              <w:t>A reconciliation of the net earnings of Black Knight and FNFV to the Statement of Earnings is shown below:</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67"/>
        </w:trPr>
        <w:tc>
          <w:tcPr>
            <w:tcW w:w="9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4"/>
              </w:rPr>
              <w:t>March 31,</w:t>
            </w:r>
          </w:p>
        </w:tc>
      </w:tr>
      <w:tr>
        <w:trPr>
          <w:trHeight w:val="3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5"/>
              </w:rPr>
              <w:t>2017</w:t>
            </w:r>
          </w:p>
        </w:tc>
      </w:tr>
      <w:tr>
        <w:trPr>
          <w:trHeight w:val="33"/>
        </w:trPr>
        <w:tc>
          <w:tcPr>
            <w:tcW w:w="9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7"/>
        </w:trPr>
        <w:tc>
          <w:tcPr>
            <w:tcW w:w="9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center"/>
              <w:ind w:right="38"/>
              <w:spacing w:after="0"/>
              <w:rPr>
                <w:sz w:val="20"/>
                <w:szCs w:val="20"/>
                <w:color w:val="auto"/>
              </w:rPr>
            </w:pPr>
            <w:r>
              <w:rPr>
                <w:rFonts w:ascii="Arial" w:cs="Arial" w:eastAsia="Arial" w:hAnsi="Arial"/>
                <w:sz w:val="16"/>
                <w:szCs w:val="16"/>
                <w:b w:val="1"/>
                <w:bCs w:val="1"/>
                <w:color w:val="auto"/>
                <w:w w:val="92"/>
              </w:rPr>
              <w:t>(Unaudited)</w:t>
            </w:r>
          </w:p>
        </w:tc>
      </w:tr>
      <w:tr>
        <w:trPr>
          <w:trHeight w:val="33"/>
        </w:trPr>
        <w:tc>
          <w:tcPr>
            <w:tcW w:w="9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attributable to Black Knight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Loss from discontinued operations attributable to FNFV</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earnings from discontinued operations, net of tax</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21</w:t>
            </w: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w:t>
      </w:r>
    </w:p>
    <w:p>
      <w:pPr>
        <w:sectPr>
          <w:pgSz w:w="11900" w:h="16838" w:orient="portrait"/>
          <w:cols w:equalWidth="0" w:num="1">
            <w:col w:w="11420"/>
          </w:cols>
          <w:pgMar w:left="240" w:top="121" w:right="239" w:bottom="987"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987"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business and political conditions, including changes in the financial markets; continued weakness or adverse changes in the level of real estate activity, which may be caused by, among other things, high or increasing interest rates, a limited supply of mortgage funding or a weak U.S. economy; our potential inability to find suitable acquisition candidates, acquisitions in lines of business that will not necessarily be limited to our traditional areas of focus, or difficulties in integrating acquisitions; our dependence on distributions from our title insurance underwriters as our main source of cash flow; significant competition that our operating subsidiaries face; compliance with extensive government regulation of our operating subsidiaries and adverse changes in applicable laws or regulations or in their application by regulators and other risks detailed in the “Statement Regarding Forward-Looking Information,” “Risk Factors” and other sections of our Annual Report on Form 10-K (our "Annual Report") for the year ended December 31, 2017 and other filings with the SEC.</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 for the year ended December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For a description of our business, including descriptions of segments and recent business developments, see the discussion under </w:t>
      </w:r>
      <w:r>
        <w:rPr>
          <w:rFonts w:ascii="Arial" w:cs="Arial" w:eastAsia="Arial" w:hAnsi="Arial"/>
          <w:sz w:val="18"/>
          <w:szCs w:val="18"/>
          <w:i w:val="1"/>
          <w:iCs w:val="1"/>
          <w:color w:val="auto"/>
        </w:rPr>
        <w:t>Basis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 Note A to the Condensed Consolidated Financial Statements included in Item 1 of Part I of this Report, which is incorporated by reference into</w:t>
      </w:r>
      <w:r>
        <w:rPr>
          <w:rFonts w:ascii="Arial" w:cs="Arial" w:eastAsia="Arial" w:hAnsi="Arial"/>
          <w:sz w:val="18"/>
          <w:szCs w:val="18"/>
          <w:i w:val="1"/>
          <w:iCs w:val="1"/>
          <w:color w:val="auto"/>
        </w:rPr>
        <w:t xml:space="preserve"> </w:t>
      </w:r>
      <w:r>
        <w:rPr>
          <w:rFonts w:ascii="Arial" w:cs="Arial" w:eastAsia="Arial" w:hAnsi="Arial"/>
          <w:sz w:val="18"/>
          <w:szCs w:val="18"/>
          <w:color w:val="auto"/>
        </w:rPr>
        <w:t>this Part I, Item 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Title segment revenue is closely related to the level of real estate activity which includes sales, mortgage financing and mortgage refinancing.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strength of the United States economy, including employment levels.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April 24, 2018, the Mortgage Bankers Association ("MBA") estimated the size of the U.S. mortgage originations market as shown in the following table for 2017 - 2020 in its "Mortgage Finance Forecast" (in trillions):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transactions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Refinance transactions</w:t>
            </w: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U.S. mortgage originations forecast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2017, total originations were reflective of a generally improving residential real estate market driven by increasing home prices and historically low mortgage interest rates. Mortgage interest rates increased slightly in 2017 from 2016, but remained low compared to historical rates. Refinance transactions decreased in 2017 from the historically high levels experienced in recent years through 2016. Existing home sales increased and there was a decline in total housing inventory. In 2018 and beyond, increasing mortgage interest rates driven by gradual increases in the target federal funds rate are expected to adversely impact mortgage originations. In a rising interest rate environment, refinance transactions are expected to continue to decline. The MBA predicts overall mortgage originations in 2018 through 2019 will decrease compared to the 2017 period due to a decrease in refinance transactions, offset by a slight increase in purchase transactions. Purchase transactions involve the issuance of both a lender’s policy and an owner’s policy, resulting in higher title premiums, whereas refinance transactions only require a lender’s policy, resulting in lower title premiums.</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projected increases in mortgage interest rates present a potential headwind for mortgage originations, other economic indicators used to measure the health of the United States economy, including the unemployment rate and consumer confidence, have improved in recent years. According to the United States Department of Labor's Bureau of Labor, the unemployment rate has dropped from 7.4% in 2013 to 4.1% in March 2018. Additionally, the Conference Board's monthly Consumer Confidence Index has remained at historically high levels through 2018. We believe that improvements in both of these economic indicators, among other indicators which support a generally strong United States economy, present potential tailwinds for mortgage originations and support recent home price trends.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be certain how, if at all, the positive effects of a change in mix of purchase to refinance transactions and of a generally strong United States economy and the negative effects of projected decreases in overall originations and increases in interest rates will impact our future results of operations. We continually monitor origination trends and believe that, based on our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ability to produce industry leading operating margins through all economic cycles, we are well positioned to adjust our operations for adverse changes in real estate activity.</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Over the last couple of years, we have continued to experience strong demand in commercial real estate markets. In 2016 and 2017, the volume and fee-per-file of our commercial transactions were at historical highs. Through the first quarter of 2018, we have continued to see strong demand for commercial transactions.</w:t>
      </w:r>
    </w:p>
    <w:p>
      <w:pPr>
        <w:spacing w:after="0" w:line="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real estate transactions have produced seasonal revenue fluctuations in the real estate industry. The first calendar quarter is typically the weakest quarter in terms of revenue due to the generally low volume of home sales during January and February. The third calendar quarter is typically the strongest quarter in terms of revenue, primarily due to a higher volume of home sales in the summer months. The fourth quarter is typically also strong due to the desire of commercial entities to complete transactions by year-end. We have noted short-term fluctuations through recent years in resale and refinance transactions as a result of changes in interest rates.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465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571</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1,643</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Expenses: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446</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 unconsolidated affiliates</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in earnings of unconsolidated affiliates</w:t>
            </w: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revenues increased by $50 million in the three months ended March 31, 2018, compared to the corresponding period in 2017.</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from continuing operations increased by $38 million in the three months ended March 31, 2018, compared to the corresponding period in 2017.</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operating expenses consist primarily of Personnel costs; Other operating expenses, which in our title business are incurred as orders are received and processed; and Agent commissions, which are incurred as title agency revenue is recognized.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short-term lag exists in reducing controllable fixed costs and certain fixed costs are incurred regardless of revenue levels.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Agent commissions represent the portion of premiums retained by our third-party agents pursuant to the terms of their respective agency contracts.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ServiceLink product offerings and other title-related products, postage and courier services, computer services, professional services, travel expenses, general insurance, and bad debt expense on our trade and notes receivable.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Income tax expense was $31 million and $69 million in the three-month periods ended March 31, 2018 and 2017, respectively. Income tax expense as a percentage of earnings before income taxes was 24% and 54% for the three-month periods ended March 31, 2018 and 2017, respectively. Income tax expense as a percentage of earnings before income taxes fluctuates depending on our estimate of ultimate income tax liability and changes in the characteristics of net earnings, such as the weighting of operating income versus investment income. On December 22, 2017, the U.S. government enacted comprehensive tax legislation commonly referred to as the Tax Cuts and Jobs Act (the “Tax Reform Act”). Among other provisions, the Tax Reform Act reduced the Federal statutory corporate income tax rate from 35% to 21% and limited or eliminated certain deductions. The decrease in income tax as a percentage of earnings before income taxes from the three-month period ended March 31, 2017 to the comparable 2018 period was primarily driven by the Tax Reform Act and increased tax expense in the 2017 period of $21 million resulting from a change in judgment of the tax deductibility of legal settlements finalized in the period.</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in earnings of unconsolidated affiliates was $2 million and $1 million for the three-month periods ended March 31, 2018 and 2017. The equity in earnings in 2018 and 2017 are attributable to various individually immaterial unconsolidated affiliates.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Group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90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r>
      <w:tr>
        <w:trPr>
          <w:trHeight w:val="190"/>
        </w:trPr>
        <w:tc>
          <w:tcPr>
            <w:tcW w:w="9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6"/>
                <w:szCs w:val="16"/>
                <w:color w:val="auto"/>
              </w:rPr>
            </w:pPr>
          </w:p>
        </w:tc>
      </w:tr>
      <w:tr>
        <w:trPr>
          <w:trHeight w:val="255"/>
        </w:trPr>
        <w:tc>
          <w:tcPr>
            <w:tcW w:w="9020" w:type="dxa"/>
            <w:vAlign w:val="bottom"/>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Direct title insurance premiums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Agency title insurance premiums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583</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Escrow, title-related and other fees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9020" w:type="dxa"/>
            <w:vAlign w:val="bottom"/>
          </w:tcPr>
          <w:p>
            <w:pPr>
              <w:ind w:left="5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1,590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1,570</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335</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Provision for title claim losses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9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1,419</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Earnings from continuing operations, before income taxes and equity in earnings of unconsolidated affiliates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151</w:t>
            </w:r>
          </w:p>
        </w:tc>
      </w:tr>
      <w:tr>
        <w:trPr>
          <w:trHeight w:val="23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thousands)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thousands)</w:t>
            </w:r>
          </w:p>
        </w:tc>
        <w:tc>
          <w:tcPr>
            <w:tcW w:w="2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334</w:t>
            </w:r>
          </w:p>
        </w:tc>
      </w:tr>
      <w:tr>
        <w:trPr>
          <w:trHeight w:val="27"/>
        </w:trPr>
        <w:tc>
          <w:tcPr>
            <w:tcW w:w="9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Fee per file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2,344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r>
      <w:tr>
        <w:trPr>
          <w:trHeight w:val="27"/>
        </w:trPr>
        <w:tc>
          <w:tcPr>
            <w:tcW w:w="90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revenues for the Title segment increased by $20 million, or 1%, in the three months ended March 31, 2018 from the corresponding period in 2017.</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4"/>
              </w:rPr>
              <w:t>Three months ended March 31,</w:t>
            </w:r>
          </w:p>
        </w:tc>
        <w:tc>
          <w:tcPr>
            <w:tcW w:w="720" w:type="dxa"/>
            <w:vAlign w:val="bottom"/>
            <w:tcBorders>
              <w:bottom w:val="single" w:sz="8" w:color="auto"/>
            </w:tcBorders>
          </w:tcPr>
          <w:p>
            <w:pPr>
              <w:spacing w:after="0"/>
              <w:rPr>
                <w:sz w:val="16"/>
                <w:szCs w:val="16"/>
                <w:color w:val="auto"/>
              </w:rPr>
            </w:pPr>
          </w:p>
        </w:tc>
      </w:tr>
      <w:tr>
        <w:trPr>
          <w:trHeight w:val="258"/>
        </w:trPr>
        <w:tc>
          <w:tcPr>
            <w:tcW w:w="7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 of</w:t>
            </w:r>
          </w:p>
        </w:tc>
      </w:tr>
      <w:tr>
        <w:trPr>
          <w:trHeight w:val="276"/>
        </w:trPr>
        <w:tc>
          <w:tcPr>
            <w:tcW w:w="7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Total</w:t>
            </w:r>
          </w:p>
        </w:tc>
      </w:tr>
      <w:tr>
        <w:trPr>
          <w:trHeight w:val="196"/>
        </w:trPr>
        <w:tc>
          <w:tcPr>
            <w:tcW w:w="7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(Dollars in millions)</w:t>
            </w:r>
          </w:p>
        </w:tc>
        <w:tc>
          <w:tcPr>
            <w:tcW w:w="72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21"/>
                <w:szCs w:val="21"/>
                <w:color w:val="auto"/>
              </w:rPr>
            </w:pPr>
          </w:p>
        </w:tc>
        <w:tc>
          <w:tcPr>
            <w:tcW w:w="620" w:type="dxa"/>
            <w:vAlign w:val="bottom"/>
          </w:tcPr>
          <w:p>
            <w:pPr>
              <w:jc w:val="right"/>
              <w:ind w:right="34"/>
              <w:spacing w:after="0"/>
              <w:rPr>
                <w:sz w:val="20"/>
                <w:szCs w:val="20"/>
                <w:color w:val="auto"/>
              </w:rPr>
            </w:pPr>
            <w:r>
              <w:rPr>
                <w:rFonts w:ascii="Arial" w:cs="Arial" w:eastAsia="Arial" w:hAnsi="Arial"/>
                <w:sz w:val="18"/>
                <w:szCs w:val="18"/>
                <w:color w:val="auto"/>
              </w:rPr>
              <w:t>564</w:t>
            </w:r>
          </w:p>
        </w:tc>
        <w:tc>
          <w:tcPr>
            <w:tcW w:w="960" w:type="dxa"/>
            <w:vAlign w:val="bottom"/>
            <w:gridSpan w:val="2"/>
          </w:tcPr>
          <w:p>
            <w:pPr>
              <w:jc w:val="right"/>
              <w:ind w:right="108"/>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56</w:t>
            </w:r>
          </w:p>
        </w:tc>
      </w:tr>
      <w:tr>
        <w:trPr>
          <w:trHeight w:val="27"/>
        </w:trPr>
        <w:tc>
          <w:tcPr>
            <w:tcW w:w="7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1,036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Title premiums decreased by 1% in the three months ended March 31, 2018 as compared to the corresponding period in 2017. The decrease is comprised of an increase in Title premiums from direct operations of $7 million, or 2%, and a decrease in Title premiums from agency operations of $19 million, or 3%, in the three months ended March 31, 2018.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the percentages of open and closed title insurance orders generated by purchase and refinance transactions by our direct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64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780" w:type="dxa"/>
            <w:vAlign w:val="bottom"/>
          </w:tcPr>
          <w:p>
            <w:pPr>
              <w:spacing w:after="0"/>
              <w:rPr>
                <w:sz w:val="22"/>
                <w:szCs w:val="22"/>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8780" w:type="dxa"/>
            <w:vAlign w:val="bottom"/>
            <w:tcBorders>
              <w:bottom w:val="single" w:sz="8" w:color="CCEEFF"/>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7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80" w:type="dxa"/>
            <w:vAlign w:val="bottom"/>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7"/>
        </w:trPr>
        <w:tc>
          <w:tcPr>
            <w:tcW w:w="878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8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vMerge w:val="continue"/>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78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780" w:type="dxa"/>
            <w:vAlign w:val="bottom"/>
          </w:tcPr>
          <w:p>
            <w:pPr>
              <w:spacing w:after="0"/>
              <w:rPr>
                <w:sz w:val="20"/>
                <w:szCs w:val="20"/>
                <w:color w:val="auto"/>
              </w:rPr>
            </w:pPr>
            <w:r>
              <w:rPr>
                <w:rFonts w:ascii="Arial" w:cs="Arial" w:eastAsia="Arial" w:hAnsi="Arial"/>
                <w:sz w:val="18"/>
                <w:szCs w:val="18"/>
                <w:color w:val="auto"/>
              </w:rPr>
              <w:t>(1)  Percentages exclude consideration of an immaterial number of non-purchase and non-refinance orders.</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Title premiums from direct operations increased in the three months ended March 31, 2018 as compared to the corresponding period in 2017. The increase is primarily attributable to an increase in the fee per file driven by a favorable change in the mix of closed orders from purchase and refinance transactions, partially offset by a decrease in closed order volume. We experienced an increase in closed title insurance order volumes from purchase transactions which was more than offset by a decrease in closed title insurance order volumes from refinance transactions in the three ended March 31, 2018 as compared to the corresponding period in 2017. Total closed order volumes were 313,000 in the three months ended March 31, 2018 compared with 334,000 in the three months ended March 31, 2017. This represented an overall decrease of 6%. Open title orders remained relatively flat over the three months ended March 31, 2018 as compared to the corresponding period in 2017.</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average fee per file in our direct operations was $2,344 in the three months ended March 31, 2018, compared to $2,148 in the three months ended March 31, 2017. The increase in average fee per file reflects the favorable change in mix of closed orders from purchase and refinance transactions.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title premiums from agency operations is a result of a decrease in remitted agency premiums. The decrease is consistent with the aforementioned decrease in closed order volumes from direct operations.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Escrow, title-related and other fees increased by $20 million, or 4%, in the three months ended March 31, 2018 from the corresponding period in 2017. Escrow fees, which are more closely related to our direct operations, increased by $10 million, or 6%, in the three months ended March 31, 2018 compared to the corresponding period in 2017. The increase is representative of the favorable increase in closed title insurance orders from purchase transactions previously discussed. Other fees in the Title segment, excluding escrow fees, increased $10 million, or 3%, in the three months ended March 31, 2018, from the corresponding period in 2017. This increase is primarily attributable to revenue growth associated with our home warranty businesses and increased subservicing revenue at ServiceLink, partially offset by decreases at certain other ServiceLink subsidiaries.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increased by $9 million in the three months ended March 31, 2018 compared to the corresponding period in 2017. The increase was primarily driven by increased interest rates earned in our tax-deferred property exchange business and dividends from other long term investments, partially offset by a decrease in our fixed maturity holdings period over period.</w:t>
      </w:r>
    </w:p>
    <w:p>
      <w:pPr>
        <w:spacing w:after="0" w:line="18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Personnel costs increased $31 million, or 6% in the three-month period ended March 31, 2018 compared to the corresponding period in 2017. The increase in the 2018 period is primarily due to higher commissions and bonuses associated with increased headcount to process increased closed order counts from purchase transactions and increased expense associated with acquisitions. Personnel costs as a percentage of total revenues from direct title premiums and escrow, title-related and other fees were 59% for the three-month period ended March 31, 2018 and 57% for the three-month period ended March 31, 2017. The increase in personnel cost as a percentage of total revenues from direct title premiums and escrow, title-related and other fees was primarily driven by the change in mix of title premiums from purchase and refinance transactions and to increased cost of employee group insurance premiums. Average employee count in the Title segment was 23,011 and 22,569 in the three-month periods ended March 31, 2018 and 2017, respectively.</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decreased by $5 million, or 1% in the three months ended March 31, 2018 from the corresponding period in 2017. Other operating expenses as a percentage of total revenue excluding agency premiums, interest and investment income, and realized gains and losses decreased approximately 2% in the three months ended March 31, 2018 from the comparable period in 2017. The decrease is primarily driven by lower title plant costs associated with lower order counts and other miscellaneous cost reductions.</w:t>
      </w:r>
    </w:p>
    <w:p>
      <w:pPr>
        <w:spacing w:after="0" w:line="7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have remained relatively consistent since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4"/>
                <w:szCs w:val="14"/>
                <w:b w:val="1"/>
                <w:bCs w:val="1"/>
                <w:color w:val="auto"/>
                <w:w w:val="96"/>
              </w:rPr>
              <w:t>Three months ended March 31,</w:t>
            </w:r>
          </w:p>
        </w:tc>
        <w:tc>
          <w:tcPr>
            <w:tcW w:w="9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ind w:left="440"/>
              <w:spacing w:after="0"/>
              <w:rPr>
                <w:sz w:val="20"/>
                <w:szCs w:val="20"/>
                <w:color w:val="auto"/>
              </w:rPr>
            </w:pPr>
            <w:r>
              <w:rPr>
                <w:rFonts w:ascii="Arial" w:cs="Arial" w:eastAsia="Arial" w:hAnsi="Arial"/>
                <w:sz w:val="14"/>
                <w:szCs w:val="14"/>
                <w:b w:val="1"/>
                <w:bCs w:val="1"/>
                <w:color w:val="auto"/>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premiums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Depreciation and amortization increased by $2 million in the three months ended March 31, 2018 compared to the corresponding period in 2017.</w:t>
      </w:r>
    </w:p>
    <w:p>
      <w:pPr>
        <w:spacing w:after="0" w:line="1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claim loss provision for title insurance was $47 million and $52 million for the three-month periods ended March 31, 2018 and 2017, respectively, and reflects an average provision rate of 4.5% and 5.0% of title premiums, respectively.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FNF Group Corporate and Other segment consists of the operations of the parent holding company, certain other unallocated corporate overhead expenses, and other smaller real estate operations.</w:t>
      </w:r>
    </w:p>
    <w:p>
      <w:pPr>
        <w:spacing w:after="0" w:line="6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FNF Group Corporate and Other segment generated revenues of $103 million and $73 million for the three months ended March 31, 2018 and 2017, respectively. The revenue in all periods represents revenue generated by our real estate brokerage and technology subsidiaries offset by the elimination of certain revenues between segments. The increase of $30 million, or 41%, in the three-month period is primarily attributable to growth in our real estate brokerage businesses of $20 million, and acquisitions and growth in our real estate technology businesses resulting in increased revenue of $9 million.</w:t>
      </w:r>
    </w:p>
    <w:p>
      <w:pPr>
        <w:spacing w:after="0" w:line="4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Personnel costs in our Corporate and Other segment were $28 million and $21 million for the three months ended March 31, 2018 and 2017, respectively. Both periods reflect expenses at our real estate brokerage subsidiaries and other real estate related companies. The increase of $7 million, or 33%, in the three-month period ended March 31, 2018 from the corresponding 2017 period is primarily attributable to increased costs associated with the increase in revenue.</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expenses in our Corporate and Other segment were $93 million and $54 million for the three months ended March 31, 2018 and 2017, respectively. Both periods reflect expenses at our real estate brokerage subsidiaries and other real estate related companies. The increase of $39 million, or 72%, in the three-month period ended March 31, 2018 from the corresponding 2017 period is primarily attributable to increased costs associated with the increase in revenue.</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was $11 million and $16 million for the three months ended March 31, 2018 and 2017, respectively. The decrease is primarily attributable to decreased interest on our convertible Notes resulting from redemptions subsequent to the 2017 period.</w:t>
      </w:r>
    </w:p>
    <w:p>
      <w:pPr>
        <w:spacing w:after="0" w:line="6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segment generated pretax losses of $36 million and $23 million for the three months ended March 31, 2018 and 2017, respectively. The increased losses are attributable to the factors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As a result of the FNFV Split-Off and BK Distribution, the results of operations of FNFV and Black Knight are included in discontinued operations. Earnings from discontinued operations, net of tax, were $21 million in the three months ended March 31, 2017. Refer to Note K.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to our Condensed Consolidated Financial Statements in Item 1 of Part I of this Quarterly Report for further information, including a breakout of the results of operations of both FNFV and Black Knight.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on our debt, capital expenditures, business acquisitions, stock repurchases and dividends on our common stock. We paid dividends of $0.30 per share in the first quarter of 2018, or approximately $82 million to our FNF Group common shareholders. On May 2, 2018, our Board of Directors declared cash dividends of $0.30 per share, payable on June 29, 2018, to FNF Group common shareholders of record as of June 15, 2018.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title claim loss reserves, we do not specifically match durations of our investments to the cash outflows required to pay claims, but do manage outflows on a shorter time frame.</w:t>
      </w:r>
    </w:p>
    <w:p>
      <w:pPr>
        <w:spacing w:after="0" w:line="16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2017, $1,700 million of our net assets were restricted from dividend payments without prior approval from the relevant departments of insurance. We anticipate that our title insurance subsidiaries will pay or make dividends in the remainder of 2018 of approximately $273 million. Our underwritten title companies and non-insurance subsidiaries are not regulated to the same extent as our insurance subsidiaries.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core operations, repay debt, pay dividends, repurchase stock, pursue other strategic initiatives and/or conserve cash.</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Operating Cash Flow</w:t>
      </w:r>
      <w:r>
        <w:rPr>
          <w:rFonts w:ascii="Arial" w:cs="Arial" w:eastAsia="Arial" w:hAnsi="Arial"/>
          <w:sz w:val="18"/>
          <w:szCs w:val="18"/>
          <w:color w:val="auto"/>
        </w:rPr>
        <w:t>. Our cash flows provided by operations for the three months ended March 31, 2018 and 2017 totaled $18 million and $4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of $14 million is primarily attributable to increased net earnings of $25 million, decreased payments for income taxes in the current period of $10 million, and the payment of legal settlements of $65 million in the 2017 period, offset by $64 million of cash flow from operating activities attributable to discontinued operations in the 2017 period. The remaining variance is attributable to timing of receipt and payment of receivables and payables.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Our cash (used in) provided by investing activities for the three months ended March 31, 2018 and 2017 were $(32)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$224 million, respectively. The decrease in cash provided by (increase in cash used in) investing activities of $256 million in the 2018 period from the 2017 period is primarily attributable to a $330 million decrease in net inflows from the sales of, and distributions from, equity and fixed income investments, net of purchases and additional investments in unconsolidated investees, partially offset by the proceeds from the sale of property and equipment of $21 million, lower cash paid for acquisitions of $27 million and decreased capital expenditures of $26 million in the 2018 period compared to the corresponding period in 2017.</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$20 million and $46 million for the three-month periods ended March 31, 2018 and 2017, respectively. The decrease is primarily attributable to capital expenditures at Black Knight and FNFV in the 2017 period.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Our cash flows used in financing activities for the three months ended March 31, 2018 and 2017 were $136 million and $249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The decrease in cash used in financing activities of $113 million from the 2018 period to the 2017 period is primarily attributable to a decrease in the change in secured trust deposits of $107 million and decreased net debt service payments, net of borrowings, of $17 million, partially offset by an increase in dividends paid of $14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E.</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March 31, 2018, we repurchased $16 million of principal of our 4.25% convertible senior notes due August 2018 ("Notes") for $47 million. As of March 31, 2018, we had outstanding Notes of $53 million, net of unamortized debt issuance costs. Upon maturity of the Notes in August 2018, we expect to settle in cash, pay approximately $163 million, and record a gain of approximately $6 million based on stock prices and conversion rates as of March 31, 2018.</w:t>
      </w:r>
    </w:p>
    <w:p>
      <w:pPr>
        <w:spacing w:after="0" w:line="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levels for the real estate industry including title insurers.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purchase and refinance transactions as a result of changes in interest rates.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There have been no significant changes to our long-term contractual obligations since our Annual Report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2017.</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Capital Stock Transactions</w:t>
      </w:r>
      <w:r>
        <w:rPr>
          <w:rFonts w:ascii="Arial" w:cs="Arial" w:eastAsia="Arial" w:hAnsi="Arial"/>
          <w:sz w:val="18"/>
          <w:szCs w:val="18"/>
          <w:color w:val="auto"/>
        </w:rPr>
        <w:t>. On July 20, 2015, our Board of Directors approved a three-year stock repurchase program under which we can purchase up</w:t>
      </w:r>
      <w:r>
        <w:rPr>
          <w:rFonts w:ascii="Arial" w:cs="Arial" w:eastAsia="Arial" w:hAnsi="Arial"/>
          <w:sz w:val="18"/>
          <w:szCs w:val="18"/>
          <w:i w:val="1"/>
          <w:iCs w:val="1"/>
          <w:color w:val="auto"/>
        </w:rPr>
        <w:t xml:space="preserve"> </w:t>
      </w:r>
      <w:r>
        <w:rPr>
          <w:rFonts w:ascii="Arial" w:cs="Arial" w:eastAsia="Arial" w:hAnsi="Arial"/>
          <w:sz w:val="18"/>
          <w:szCs w:val="18"/>
          <w:color w:val="auto"/>
        </w:rPr>
        <w:t>to 25 million shares of our FNF common stock through July 30, 2018. We may make repurchases from time to time in the open market, in block purchases or in privately negotiated transactions, depending on market conditions and other factors. Since the original commencement of the plan through market close on May 3, 2018, we have repurchased a total of 10,589,000 FNF common shares for $372 million, or an average of $35.10 per share, and there are 14,411,000 shares available to be repurchased under this program. We have not made any repurchases under this program in the three months ended March 31, 2018 or in the subsequent period ended May 3, 2018.</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Equity and Preferred Security Investments. </w:t>
      </w:r>
      <w:r>
        <w:rPr>
          <w:rFonts w:ascii="Arial" w:cs="Arial" w:eastAsia="Arial" w:hAnsi="Arial"/>
          <w:sz w:val="16"/>
          <w:szCs w:val="16"/>
          <w:color w:val="auto"/>
        </w:rPr>
        <w:t>Our equity and preferred security investments may be subject to significant volatility. Should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There have been no significant changes to our off-balance sheet arrangements since our Annual Report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have been no material changes to our critical accounting policies described in our Annual Report for our fiscal year ended December 31, 2017.</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2017.</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2018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discussion of legal proceedings in Note F to the Condensed Consolidated Financial Statements included in Item 1 of Part I of this Quarterly Report, which is incorporated by reference into this Item 1 of Part II.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significant risks and uncertainties described in our Annual Report, we identified the following additional risk as a result of the pending Stewart Merger. See "Recent Developments" in Note A to our Condensed Consolidated Financial Statements included in Item 1 of Part 1 of this report for further discussion of the Stewart Merger.</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pending acquisition of Stewart may expose us to certain risks.</w:t>
      </w:r>
    </w:p>
    <w:p>
      <w:pPr>
        <w:spacing w:after="0" w:line="19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March 19, 2018, we signed a merger agreement (the "Merger Agreement") to acquire Stewart Information Services Corporation ("Stewart") (NYSE: STC) (the "Stewart Merger"). The closing of the Stewart Merger is subject to certain closing conditions, including Stewart stockholder approval, federal and state regulatory approvals and the satisfaction of other customary closing conditions. Closing of the Stewart Merger is expected in the first or second quarter of 2019. If the Stewart Merger is not completed for failure to obtain the required regulatory approvals, we are required to pay a reverse break-up fee of $50 million to Stewart. If the Stewart Merger is completed, we may face challenges in integrating Stewart. These challenges include eliminating redundant operations, facilities and systems, coordinating management and personnel, retaining key employees, managing different corporate cultures, and achieving cost reductions. There can be no assurance that we will be able to fully integrate all aspects of the acquired business successfully, and the process of integrating this acquisition may disrupt our business and divert our resources.</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1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520" w:type="dxa"/>
            <w:vAlign w:val="bottom"/>
          </w:tcPr>
          <w:p>
            <w:pPr>
              <w:ind w:left="240"/>
              <w:spacing w:after="0"/>
              <w:rPr>
                <w:sz w:val="20"/>
                <w:szCs w:val="20"/>
                <w:color w:val="auto"/>
              </w:rPr>
            </w:pPr>
            <w:r>
              <w:rPr>
                <w:rFonts w:ascii="Arial" w:cs="Arial" w:eastAsia="Arial" w:hAnsi="Arial"/>
                <w:sz w:val="18"/>
                <w:szCs w:val="18"/>
                <w:color w:val="auto"/>
              </w:rPr>
              <w:t>(a) Exhibits:</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7"/>
              </w:rPr>
              <w:t>2.1</w:t>
            </w:r>
          </w:p>
        </w:tc>
        <w:tc>
          <w:tcPr>
            <w:tcW w:w="9880" w:type="dxa"/>
            <w:vAlign w:val="bottom"/>
            <w:gridSpan w:val="6"/>
          </w:tcPr>
          <w:p>
            <w:pPr>
              <w:spacing w:after="0"/>
              <w:rPr>
                <w:rFonts w:ascii="Arial" w:cs="Arial" w:eastAsia="Arial" w:hAnsi="Arial"/>
                <w:sz w:val="18"/>
                <w:szCs w:val="18"/>
                <w:color w:val="0000FF"/>
                <w:w w:val="92"/>
              </w:rPr>
            </w:pPr>
            <w:hyperlink r:id="rId25">
              <w:r>
                <w:rPr>
                  <w:rFonts w:ascii="Arial" w:cs="Arial" w:eastAsia="Arial" w:hAnsi="Arial"/>
                  <w:sz w:val="18"/>
                  <w:szCs w:val="18"/>
                  <w:color w:val="0000FF"/>
                  <w:w w:val="92"/>
                </w:rPr>
                <w:t>Agreement and Plan of Merger, dated as of March 18, 2018, by and among Stewart Information Services Corporation, Fidelity National</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Financial, Inc., A Holdco Corp., and S Holdco LLC (incorporated by reference to Exhibit 2.1 to the Registrant's Current Report on Form</w:t>
              </w:r>
            </w:hyperlink>
          </w:p>
        </w:tc>
      </w:tr>
      <w:tr>
        <w:trPr>
          <w:trHeight w:val="196"/>
        </w:trPr>
        <w:tc>
          <w:tcPr>
            <w:tcW w:w="1520" w:type="dxa"/>
            <w:vAlign w:val="bottom"/>
          </w:tcPr>
          <w:p>
            <w:pPr>
              <w:spacing w:after="0"/>
              <w:rPr>
                <w:sz w:val="17"/>
                <w:szCs w:val="17"/>
                <w:color w:val="auto"/>
              </w:rPr>
            </w:pPr>
          </w:p>
        </w:tc>
        <w:tc>
          <w:tcPr>
            <w:tcW w:w="214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8-K filed on March 19, 2018)</w:t>
              </w:r>
            </w:hyperlink>
          </w:p>
        </w:tc>
        <w:tc>
          <w:tcPr>
            <w:tcW w:w="7740" w:type="dxa"/>
            <w:vAlign w:val="bottom"/>
            <w:gridSpan w:val="4"/>
          </w:tcPr>
          <w:p>
            <w:pPr>
              <w:spacing w:after="0"/>
              <w:rPr>
                <w:sz w:val="17"/>
                <w:szCs w:val="17"/>
                <w:color w:val="auto"/>
              </w:rPr>
            </w:pPr>
          </w:p>
        </w:tc>
      </w:tr>
      <w:tr>
        <w:trPr>
          <w:trHeight w:val="588"/>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31.1</w:t>
            </w:r>
          </w:p>
        </w:tc>
        <w:tc>
          <w:tcPr>
            <w:tcW w:w="72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Certification of Chief Executive Officer pursuant to Section 302 of the Sarbanes-Oxley Act of 2002.</w:t>
              </w:r>
            </w:hyperlink>
          </w:p>
        </w:tc>
        <w:tc>
          <w:tcPr>
            <w:tcW w:w="2640" w:type="dxa"/>
            <w:vAlign w:val="bottom"/>
            <w:gridSpan w:val="2"/>
          </w:tcPr>
          <w:p>
            <w:pPr>
              <w:spacing w:after="0"/>
              <w:rPr>
                <w:sz w:val="24"/>
                <w:szCs w:val="24"/>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31.2</w:t>
            </w:r>
          </w:p>
        </w:tc>
        <w:tc>
          <w:tcPr>
            <w:tcW w:w="9880" w:type="dxa"/>
            <w:vAlign w:val="bottom"/>
            <w:gridSpan w:val="6"/>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60" w:type="dxa"/>
            <w:vAlign w:val="bottom"/>
            <w:gridSpan w:val="2"/>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32.1</w:t>
            </w:r>
          </w:p>
        </w:tc>
        <w:tc>
          <w:tcPr>
            <w:tcW w:w="9880" w:type="dxa"/>
            <w:vAlign w:val="bottom"/>
            <w:gridSpan w:val="6"/>
          </w:tcPr>
          <w:p>
            <w:pPr>
              <w:spacing w:after="0"/>
              <w:rPr>
                <w:rFonts w:ascii="Arial" w:cs="Arial" w:eastAsia="Arial" w:hAnsi="Arial"/>
                <w:sz w:val="18"/>
                <w:szCs w:val="18"/>
                <w:color w:val="0000FF"/>
                <w:w w:val="94"/>
              </w:rPr>
            </w:pPr>
            <w:hyperlink w:anchor="page39">
              <w:r>
                <w:rPr>
                  <w:rFonts w:ascii="Arial" w:cs="Arial" w:eastAsia="Arial" w:hAnsi="Arial"/>
                  <w:sz w:val="18"/>
                  <w:szCs w:val="18"/>
                  <w:color w:val="0000FF"/>
                  <w:w w:val="94"/>
                </w:rPr>
                <w:t>Certification by Chief Executive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39">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520" w:type="dxa"/>
            <w:vAlign w:val="bottom"/>
          </w:tcPr>
          <w:p>
            <w:pPr>
              <w:jc w:val="center"/>
              <w:ind w:right="370"/>
              <w:spacing w:after="0"/>
              <w:rPr>
                <w:sz w:val="20"/>
                <w:szCs w:val="20"/>
                <w:color w:val="auto"/>
              </w:rPr>
            </w:pPr>
            <w:r>
              <w:rPr>
                <w:rFonts w:ascii="Arial" w:cs="Arial" w:eastAsia="Arial" w:hAnsi="Arial"/>
                <w:sz w:val="18"/>
                <w:szCs w:val="18"/>
                <w:color w:val="auto"/>
                <w:w w:val="85"/>
              </w:rPr>
              <w:t>32.2</w:t>
            </w:r>
          </w:p>
        </w:tc>
        <w:tc>
          <w:tcPr>
            <w:tcW w:w="9880" w:type="dxa"/>
            <w:vAlign w:val="bottom"/>
            <w:gridSpan w:val="6"/>
          </w:tcPr>
          <w:p>
            <w:pPr>
              <w:spacing w:after="0"/>
              <w:rPr>
                <w:rFonts w:ascii="Arial" w:cs="Arial" w:eastAsia="Arial" w:hAnsi="Arial"/>
                <w:sz w:val="18"/>
                <w:szCs w:val="18"/>
                <w:color w:val="0000FF"/>
                <w:w w:val="94"/>
              </w:rPr>
            </w:pPr>
            <w:hyperlink w:anchor="page40">
              <w:r>
                <w:rPr>
                  <w:rFonts w:ascii="Arial" w:cs="Arial" w:eastAsia="Arial" w:hAnsi="Arial"/>
                  <w:sz w:val="18"/>
                  <w:szCs w:val="18"/>
                  <w:color w:val="0000FF"/>
                  <w:w w:val="94"/>
                </w:rPr>
                <w:t>Certification by Chief Financial Officer of Periodic Financial Reports pursuant to Section 906 of the Sarbanes-Oxley Act of 2002, 18</w:t>
              </w:r>
            </w:hyperlink>
          </w:p>
        </w:tc>
      </w:tr>
      <w:tr>
        <w:trPr>
          <w:trHeight w:val="196"/>
        </w:trPr>
        <w:tc>
          <w:tcPr>
            <w:tcW w:w="1520" w:type="dxa"/>
            <w:vAlign w:val="bottom"/>
          </w:tcPr>
          <w:p>
            <w:pPr>
              <w:spacing w:after="0"/>
              <w:rPr>
                <w:sz w:val="17"/>
                <w:szCs w:val="17"/>
                <w:color w:val="auto"/>
              </w:rPr>
            </w:pPr>
          </w:p>
        </w:tc>
        <w:tc>
          <w:tcPr>
            <w:tcW w:w="98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0">
              <w:r>
                <w:rPr>
                  <w:rFonts w:ascii="Arial" w:cs="Arial" w:eastAsia="Arial" w:hAnsi="Arial"/>
                  <w:sz w:val="18"/>
                  <w:szCs w:val="18"/>
                  <w:color w:val="0000FF"/>
                </w:rPr>
                <w:t>U.S.C. Section 1350.</w:t>
              </w:r>
            </w:hyperlink>
          </w:p>
        </w:tc>
        <w:tc>
          <w:tcPr>
            <w:tcW w:w="20" w:type="dxa"/>
            <w:vAlign w:val="bottom"/>
          </w:tcPr>
          <w:p>
            <w:pPr>
              <w:spacing w:after="0"/>
              <w:rPr>
                <w:sz w:val="17"/>
                <w:szCs w:val="17"/>
                <w:color w:val="auto"/>
              </w:rPr>
            </w:pPr>
          </w:p>
        </w:tc>
      </w:tr>
      <w:tr>
        <w:trPr>
          <w:trHeight w:val="20"/>
        </w:trPr>
        <w:tc>
          <w:tcPr>
            <w:tcW w:w="15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1520" w:hanging="1127"/>
        <w:spacing w:after="0" w:line="257"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Fidelity National Financial, Inc.'s Quarterly Report on Form 10-Q for the quarter ended March 31, 2018, formatted in Extensible Business Reporting Language (XBRL): (i) the Condensed Consolidated Balance Sheets, (ii) the Condensed Consolidated Statements of Earnings, (iii) the Condensed Consolidated Statements of Comprehensive Earnings, (iv) the Condensed Consolidated Statements of Stockholders' Equity, (v) the Condensed Consolidated Statements of Cash Flows, and (vi)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380"/>
          </w:cols>
          <w:pgMar w:left="240" w:top="121" w:right="279" w:bottom="1440" w:gutter="0" w:footer="0" w:header="0"/>
        </w:sectPr>
      </w:pP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Date: May 3, 2018</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ectPr>
          <w:pgSz w:w="11900" w:h="16838" w:orient="portrait"/>
          <w:cols w:equalWidth="0" w:num="2">
            <w:col w:w="4780" w:space="720"/>
            <w:col w:w="5880"/>
          </w:cols>
          <w:pgMar w:left="240" w:top="121" w:right="279" w:bottom="1440" w:gutter="0" w:footer="0" w:header="0"/>
          <w:type w:val="continuous"/>
        </w:sectPr>
      </w:pPr>
    </w:p>
    <w:p>
      <w:pPr>
        <w:spacing w:after="0" w:line="6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46355</wp:posOffset>
            </wp:positionV>
            <wp:extent cx="27273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5760" w:space="180"/>
            <w:col w:w="5440"/>
          </w:cols>
          <w:pgMar w:left="240" w:top="121" w:right="279" w:bottom="1440" w:gutter="0" w:footer="0" w:header="0"/>
          <w:type w:val="continuous"/>
        </w:sectPr>
      </w:pPr>
    </w:p>
    <w:p>
      <w:pPr>
        <w:ind w:left="59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380"/>
          </w:cols>
          <w:pgMar w:left="240" w:top="121" w:right="27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171"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Raymond R. Quirk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4" w:lineRule="auto"/>
        <w:tabs>
          <w:tab w:leader="none" w:pos="1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hanging="966"/>
        <w:spacing w:after="0" w:line="342" w:lineRule="auto"/>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460" w:hanging="966"/>
        <w:spacing w:after="0" w:line="264"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1460" w:hanging="966"/>
        <w:spacing w:after="0" w:line="308" w:lineRule="auto"/>
        <w:tabs>
          <w:tab w:leader="none" w:pos="14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460" w:hanging="966"/>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333" w:lineRule="exact"/>
        <w:rPr>
          <w:sz w:val="20"/>
          <w:szCs w:val="20"/>
          <w:color w:val="auto"/>
        </w:rPr>
      </w:pPr>
    </w:p>
    <w:p>
      <w:pPr>
        <w:ind w:left="320"/>
        <w:spacing w:after="0"/>
        <w:tabs>
          <w:tab w:leader="none" w:pos="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31750</wp:posOffset>
            </wp:positionV>
            <wp:extent cx="21780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firstLine="36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3, 2018</w:t>
      </w:r>
    </w:p>
    <w:p>
      <w:pPr>
        <w:spacing w:after="0" w:line="11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2744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796"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7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70"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70" w:lineRule="exact"/>
        <w:rPr>
          <w:sz w:val="20"/>
          <w:szCs w:val="20"/>
          <w:color w:val="auto"/>
        </w:rPr>
      </w:pPr>
    </w:p>
    <w:p>
      <w:pPr>
        <w:ind w:right="1760" w:firstLine="225"/>
        <w:spacing w:after="0" w:line="465"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May 3, 2018</w:t>
      </w:r>
    </w:p>
    <w:p>
      <w:pPr>
        <w:spacing w:after="0" w:line="116"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274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25" Type="http://schemas.openxmlformats.org/officeDocument/2006/relationships/hyperlink" Target="http://www.sec.gov/Archives/edgar/data/1331875/000110465918018663/a18-8535_1ex2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2019-12-28T22:17:34Z</dcterms:created>
  <dcterms:modified xsi:type="dcterms:W3CDTF">2019-12-28T22:17:34Z</dcterms:modified>
</cp:coreProperties>
</file>